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E9F99">
      <w:pPr>
        <w:spacing w:after="0" w:line="480" w:lineRule="auto"/>
        <w:jc w:val="center"/>
        <w:rPr>
          <w:rFonts w:hint="eastAsia" w:ascii="黑体" w:hAnsi="黑体" w:eastAsia="黑体"/>
          <w:color w:val="000000"/>
          <w:sz w:val="32"/>
          <w:szCs w:val="32"/>
        </w:rPr>
      </w:pPr>
      <w:bookmarkStart w:id="2" w:name="_GoBack"/>
      <w:bookmarkEnd w:id="2"/>
      <w:r>
        <w:rPr>
          <w:rFonts w:hint="eastAsia" w:ascii="黑体" w:hAnsi="黑体" w:eastAsia="黑体"/>
          <w:color w:val="000000"/>
          <w:sz w:val="32"/>
          <w:szCs w:val="32"/>
        </w:rPr>
        <w:t>冠昊生物科技股份有限公司</w:t>
      </w:r>
    </w:p>
    <w:p w14:paraId="575D8C5E">
      <w:pPr>
        <w:spacing w:after="0" w:line="480" w:lineRule="auto"/>
        <w:jc w:val="center"/>
        <w:rPr>
          <w:rFonts w:hint="eastAsia"/>
          <w:b/>
          <w:bCs/>
          <w:color w:val="000000"/>
        </w:rPr>
      </w:pPr>
      <w:r>
        <w:rPr>
          <w:rFonts w:hint="eastAsia" w:ascii="黑体" w:hAnsi="黑体" w:eastAsia="黑体"/>
          <w:color w:val="000000"/>
          <w:sz w:val="32"/>
          <w:szCs w:val="32"/>
        </w:rPr>
        <w:t>内部审计制度</w:t>
      </w:r>
    </w:p>
    <w:p w14:paraId="1332B8D5">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第一章 总则</w:t>
      </w:r>
    </w:p>
    <w:p w14:paraId="744D48F3">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lang w:eastAsia="zh-CN"/>
        </w:rPr>
      </w:pPr>
      <w:bookmarkStart w:id="0" w:name="OLE_LINK3"/>
      <w:r>
        <w:rPr>
          <w:rFonts w:hint="eastAsia" w:ascii="宋体" w:hAnsi="宋体" w:eastAsia="宋体" w:cs="宋体"/>
          <w:color w:val="auto"/>
          <w:kern w:val="0"/>
          <w:sz w:val="24"/>
          <w:szCs w:val="24"/>
          <w:lang w:val="en-US" w:eastAsia="zh-CN" w:bidi="zh-CN"/>
          <w14:ligatures w14:val="none"/>
        </w:rPr>
        <w:t xml:space="preserve"> </w:t>
      </w:r>
      <w:r>
        <w:rPr>
          <w:rFonts w:hint="eastAsia" w:ascii="宋体" w:hAnsi="宋体" w:eastAsia="宋体"/>
          <w:color w:val="000000"/>
          <w:sz w:val="24"/>
        </w:rPr>
        <w:t>为</w:t>
      </w:r>
      <w:r>
        <w:rPr>
          <w:rFonts w:hint="eastAsia" w:ascii="宋体" w:hAnsi="宋体" w:eastAsia="宋体"/>
          <w:color w:val="000000"/>
          <w:sz w:val="24"/>
          <w:lang w:val="en-US" w:eastAsia="zh-CN"/>
        </w:rPr>
        <w:t>进一步规范</w:t>
      </w:r>
      <w:r>
        <w:rPr>
          <w:rFonts w:hint="eastAsia" w:ascii="宋体" w:hAnsi="宋体" w:eastAsia="宋体"/>
          <w:color w:val="000000"/>
          <w:sz w:val="24"/>
        </w:rPr>
        <w:t>冠昊生物科技股份有限公司（以下简称“公司”）</w:t>
      </w:r>
      <w:r>
        <w:rPr>
          <w:rFonts w:hint="eastAsia" w:ascii="宋体" w:hAnsi="宋体" w:eastAsia="宋体"/>
          <w:color w:val="000000"/>
          <w:sz w:val="24"/>
          <w:lang w:val="en-US" w:eastAsia="zh-CN"/>
        </w:rPr>
        <w:t>内部审计工作</w:t>
      </w:r>
      <w:r>
        <w:rPr>
          <w:rFonts w:hint="eastAsia" w:ascii="宋体" w:hAnsi="宋体" w:eastAsia="宋体"/>
          <w:color w:val="000000"/>
          <w:sz w:val="24"/>
        </w:rPr>
        <w:t>，明确内部审计机构和人员的责任</w:t>
      </w:r>
      <w:r>
        <w:rPr>
          <w:rFonts w:hint="eastAsia" w:ascii="宋体" w:hAnsi="宋体" w:eastAsia="宋体"/>
          <w:color w:val="000000"/>
          <w:sz w:val="24"/>
          <w:lang w:eastAsia="zh-CN"/>
        </w:rPr>
        <w:t>，</w:t>
      </w:r>
      <w:r>
        <w:rPr>
          <w:rFonts w:hint="eastAsia" w:ascii="宋体" w:hAnsi="宋体" w:eastAsia="宋体"/>
          <w:color w:val="000000"/>
          <w:sz w:val="24"/>
        </w:rPr>
        <w:t>发挥</w:t>
      </w:r>
      <w:r>
        <w:rPr>
          <w:rFonts w:hint="eastAsia"/>
          <w:color w:val="000000"/>
          <w:sz w:val="24"/>
          <w:lang w:val="en-US" w:eastAsia="zh-CN"/>
        </w:rPr>
        <w:t>内部</w:t>
      </w:r>
      <w:r>
        <w:rPr>
          <w:rFonts w:hint="eastAsia" w:ascii="宋体" w:hAnsi="宋体" w:eastAsia="宋体"/>
          <w:color w:val="000000"/>
          <w:sz w:val="24"/>
        </w:rPr>
        <w:t>审计</w:t>
      </w:r>
      <w:r>
        <w:rPr>
          <w:rFonts w:hint="eastAsia"/>
          <w:color w:val="000000"/>
          <w:sz w:val="24"/>
          <w:lang w:val="en-US" w:eastAsia="zh-CN"/>
        </w:rPr>
        <w:t>在强化内部控制、改善经营管理、提高经济效益等方面的</w:t>
      </w:r>
      <w:r>
        <w:rPr>
          <w:rFonts w:hint="eastAsia" w:ascii="宋体" w:hAnsi="宋体" w:eastAsia="宋体"/>
          <w:color w:val="000000"/>
          <w:sz w:val="24"/>
        </w:rPr>
        <w:t>作用，促进公司</w:t>
      </w:r>
      <w:r>
        <w:rPr>
          <w:rFonts w:hint="eastAsia"/>
          <w:color w:val="000000"/>
          <w:sz w:val="24"/>
          <w:lang w:val="en-US" w:eastAsia="zh-CN"/>
        </w:rPr>
        <w:t>健康稳定</w:t>
      </w:r>
      <w:r>
        <w:rPr>
          <w:rFonts w:hint="eastAsia" w:ascii="宋体" w:hAnsi="宋体" w:eastAsia="宋体"/>
          <w:color w:val="000000"/>
          <w:sz w:val="24"/>
        </w:rPr>
        <w:t>可持续发展，</w:t>
      </w:r>
      <w:bookmarkEnd w:id="0"/>
      <w:r>
        <w:rPr>
          <w:rFonts w:hint="eastAsia" w:ascii="宋体" w:hAnsi="宋体" w:eastAsia="宋体"/>
          <w:color w:val="000000"/>
          <w:sz w:val="24"/>
        </w:rPr>
        <w:t>根据</w:t>
      </w:r>
      <w:r>
        <w:rPr>
          <w:rFonts w:hint="eastAsia"/>
          <w:color w:val="000000"/>
          <w:sz w:val="24"/>
          <w:lang w:eastAsia="zh-CN"/>
        </w:rPr>
        <w:t>《</w:t>
      </w:r>
      <w:r>
        <w:rPr>
          <w:rFonts w:hint="eastAsia"/>
          <w:color w:val="000000"/>
          <w:sz w:val="24"/>
          <w:lang w:val="en-US" w:eastAsia="zh-CN"/>
        </w:rPr>
        <w:t>公司法</w:t>
      </w:r>
      <w:r>
        <w:rPr>
          <w:rFonts w:hint="eastAsia"/>
          <w:color w:val="000000"/>
          <w:sz w:val="24"/>
          <w:lang w:eastAsia="zh-CN"/>
        </w:rPr>
        <w:t>》</w:t>
      </w:r>
      <w:r>
        <w:rPr>
          <w:rFonts w:hint="eastAsia" w:ascii="宋体" w:hAnsi="宋体" w:eastAsia="宋体"/>
          <w:color w:val="000000"/>
          <w:sz w:val="24"/>
        </w:rPr>
        <w:t>《审计法》《中国内部审计准则》《</w:t>
      </w:r>
      <w:r>
        <w:rPr>
          <w:rFonts w:hint="eastAsia"/>
          <w:color w:val="000000"/>
          <w:sz w:val="24"/>
          <w:lang w:val="en-US" w:eastAsia="zh-CN"/>
        </w:rPr>
        <w:t>上市公司治理准则</w:t>
      </w:r>
      <w:r>
        <w:rPr>
          <w:rFonts w:hint="eastAsia" w:ascii="宋体" w:hAnsi="宋体" w:eastAsia="宋体"/>
          <w:color w:val="000000"/>
          <w:sz w:val="24"/>
        </w:rPr>
        <w:t>》</w:t>
      </w:r>
      <w:bookmarkStart w:id="1" w:name="OLE_LINK1"/>
      <w:r>
        <w:rPr>
          <w:rFonts w:hint="eastAsia" w:ascii="宋体" w:hAnsi="宋体" w:eastAsia="宋体"/>
          <w:color w:val="000000"/>
          <w:sz w:val="24"/>
        </w:rPr>
        <w:t>《深圳证券交易所上市公司自律监管指引第</w:t>
      </w:r>
      <w:r>
        <w:rPr>
          <w:rFonts w:hint="default" w:ascii="Times New Roman" w:hAnsi="Times New Roman" w:eastAsia="宋体" w:cs="Times New Roman"/>
          <w:color w:val="000000"/>
          <w:sz w:val="24"/>
        </w:rPr>
        <w:t>2</w:t>
      </w:r>
      <w:r>
        <w:rPr>
          <w:rFonts w:hint="eastAsia" w:ascii="宋体" w:hAnsi="宋体" w:eastAsia="宋体"/>
          <w:color w:val="000000"/>
          <w:sz w:val="24"/>
        </w:rPr>
        <w:t>号</w:t>
      </w:r>
      <w:r>
        <w:rPr>
          <w:rFonts w:hint="eastAsia"/>
          <w:color w:val="000000"/>
          <w:sz w:val="24"/>
          <w:lang w:eastAsia="zh-CN"/>
        </w:rPr>
        <w:t>——</w:t>
      </w:r>
      <w:r>
        <w:rPr>
          <w:rFonts w:hint="eastAsia" w:ascii="宋体" w:hAnsi="宋体" w:eastAsia="宋体"/>
          <w:color w:val="000000"/>
          <w:sz w:val="24"/>
        </w:rPr>
        <w:t>创业板上市公司规范运作》</w:t>
      </w:r>
      <w:bookmarkEnd w:id="1"/>
      <w:r>
        <w:rPr>
          <w:rFonts w:hint="eastAsia" w:ascii="宋体" w:hAnsi="宋体" w:eastAsia="宋体"/>
          <w:color w:val="000000"/>
          <w:sz w:val="24"/>
        </w:rPr>
        <w:t>等法律法规</w:t>
      </w:r>
      <w:r>
        <w:rPr>
          <w:rFonts w:hint="eastAsia" w:ascii="宋体" w:hAnsi="宋体" w:eastAsia="宋体"/>
          <w:color w:val="000000"/>
          <w:sz w:val="24"/>
          <w:lang w:eastAsia="zh-CN"/>
        </w:rPr>
        <w:t>、</w:t>
      </w:r>
      <w:r>
        <w:rPr>
          <w:rFonts w:hint="eastAsia" w:ascii="宋体" w:hAnsi="宋体" w:eastAsia="宋体"/>
          <w:color w:val="000000"/>
          <w:sz w:val="24"/>
          <w:lang w:val="en-US" w:eastAsia="zh-CN"/>
        </w:rPr>
        <w:t>规范性文件及</w:t>
      </w:r>
      <w:r>
        <w:rPr>
          <w:rFonts w:hint="eastAsia" w:ascii="宋体" w:hAnsi="宋体" w:eastAsia="宋体"/>
          <w:color w:val="000000"/>
          <w:sz w:val="24"/>
        </w:rPr>
        <w:t>《公司章程》</w:t>
      </w:r>
      <w:r>
        <w:rPr>
          <w:rFonts w:hint="eastAsia" w:ascii="宋体" w:hAnsi="宋体" w:eastAsia="宋体"/>
          <w:color w:val="000000"/>
          <w:sz w:val="24"/>
          <w:lang w:val="en-US" w:eastAsia="zh-CN"/>
        </w:rPr>
        <w:t>等</w:t>
      </w:r>
      <w:r>
        <w:rPr>
          <w:rFonts w:hint="eastAsia" w:ascii="宋体" w:hAnsi="宋体" w:eastAsia="宋体"/>
          <w:color w:val="000000"/>
          <w:sz w:val="24"/>
        </w:rPr>
        <w:t>有关规定，结合公司实际，制定本制度。</w:t>
      </w:r>
    </w:p>
    <w:p w14:paraId="0EB339C1">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本制度所称内部审计，是指由公司内部审计机构或人员，对公司内部控制和风险管理的有效性、财务信息的真实性和完整性以及经营活动的效率和效果等开展的一种评价活动</w:t>
      </w:r>
      <w:r>
        <w:rPr>
          <w:rFonts w:hint="eastAsia" w:ascii="宋体" w:hAnsi="宋体" w:eastAsia="宋体"/>
          <w:color w:val="000000"/>
          <w:sz w:val="24"/>
          <w:lang w:eastAsia="zh-CN"/>
        </w:rPr>
        <w:t>。</w:t>
      </w:r>
    </w:p>
    <w:p w14:paraId="0CB3AB79">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color w:val="000000"/>
          <w:sz w:val="24"/>
          <w:lang w:val="en-US" w:eastAsia="zh-CN"/>
        </w:rPr>
        <w:t xml:space="preserve"> 本制度所称内部控制，是指由公司董事会、审计委员会、高级管理人员和全体员工实施的、旨在实现控制目标的过程。</w:t>
      </w:r>
    </w:p>
    <w:p w14:paraId="63334C7D">
      <w:pPr>
        <w:pStyle w:val="12"/>
        <w:keepNext w:val="0"/>
        <w:keepLines w:val="0"/>
        <w:pageBreakBefore w:val="0"/>
        <w:widowControl w:val="0"/>
        <w:numPr>
          <w:ilvl w:val="0"/>
          <w:numId w:val="0"/>
        </w:numPr>
        <w:tabs>
          <w:tab w:val="left" w:pos="20"/>
        </w:tabs>
        <w:kinsoku/>
        <w:wordWrap/>
        <w:overflowPunct/>
        <w:topLinePunct w:val="0"/>
        <w:bidi w:val="0"/>
        <w:adjustRightInd/>
        <w:snapToGrid/>
        <w:spacing w:before="0" w:beforeLines="0" w:after="0" w:afterLines="0" w:line="500" w:lineRule="exact"/>
        <w:ind w:right="0" w:rightChars="0" w:firstLine="480" w:firstLineChars="200"/>
        <w:textAlignment w:val="auto"/>
        <w:rPr>
          <w:rFonts w:hint="eastAsia" w:ascii="宋体" w:hAnsi="宋体" w:eastAsia="宋体"/>
          <w:color w:val="000000"/>
          <w:sz w:val="24"/>
        </w:rPr>
      </w:pPr>
      <w:r>
        <w:rPr>
          <w:rFonts w:hint="eastAsia"/>
          <w:color w:val="000000"/>
          <w:sz w:val="24"/>
          <w:lang w:val="en-US" w:eastAsia="zh-CN"/>
        </w:rPr>
        <w:t>内部控制的目标是合理保证公司经营管理合法合规、资产安全、财务报告及相关信息真实完整，提高经营效率和效果，促进公司实现发展战略。</w:t>
      </w:r>
    </w:p>
    <w:p w14:paraId="7D883BCB">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w:t>
      </w:r>
      <w:r>
        <w:rPr>
          <w:rFonts w:hint="eastAsia"/>
          <w:color w:val="000000"/>
          <w:sz w:val="24"/>
          <w:lang w:val="en-US" w:eastAsia="zh-CN"/>
        </w:rPr>
        <w:t>公司</w:t>
      </w:r>
      <w:r>
        <w:rPr>
          <w:rFonts w:hint="eastAsia" w:ascii="宋体" w:hAnsi="宋体" w:eastAsia="宋体"/>
          <w:color w:val="000000"/>
          <w:sz w:val="24"/>
        </w:rPr>
        <w:t>控股子公司以及对公司具有重大影响的参股公司</w:t>
      </w:r>
      <w:r>
        <w:rPr>
          <w:rFonts w:hint="eastAsia"/>
          <w:color w:val="000000"/>
          <w:sz w:val="24"/>
          <w:lang w:eastAsia="zh-CN"/>
        </w:rPr>
        <w:t>的</w:t>
      </w:r>
      <w:r>
        <w:rPr>
          <w:rFonts w:hint="eastAsia"/>
          <w:color w:val="000000"/>
          <w:sz w:val="24"/>
          <w:lang w:val="en-US" w:eastAsia="zh-CN"/>
        </w:rPr>
        <w:t>内部审计工作参照本制度执行</w:t>
      </w:r>
      <w:r>
        <w:rPr>
          <w:rFonts w:hint="eastAsia" w:ascii="宋体" w:hAnsi="宋体" w:eastAsia="宋体"/>
          <w:color w:val="000000"/>
          <w:sz w:val="24"/>
        </w:rPr>
        <w:t>。</w:t>
      </w:r>
    </w:p>
    <w:p w14:paraId="2EA4D0CF">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第二章 内部审计机构和人员</w:t>
      </w:r>
    </w:p>
    <w:p w14:paraId="15CA1DD4">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公司董事会下设立审计委员会，负责审核公司财务信息及其披露、监督及评估内外部审计工作和内部控制。</w:t>
      </w:r>
    </w:p>
    <w:p w14:paraId="09DBDC0B">
      <w:pPr>
        <w:pStyle w:val="12"/>
        <w:keepNext w:val="0"/>
        <w:keepLines w:val="0"/>
        <w:pageBreakBefore w:val="0"/>
        <w:widowControl w:val="0"/>
        <w:numPr>
          <w:ilvl w:val="0"/>
          <w:numId w:val="0"/>
        </w:numPr>
        <w:tabs>
          <w:tab w:val="left" w:pos="20"/>
        </w:tabs>
        <w:kinsoku/>
        <w:wordWrap/>
        <w:overflowPunct/>
        <w:topLinePunct w:val="0"/>
        <w:bidi w:val="0"/>
        <w:adjustRightInd/>
        <w:snapToGrid/>
        <w:spacing w:before="0" w:beforeLines="0" w:after="0" w:afterLines="0" w:line="500" w:lineRule="exact"/>
        <w:ind w:firstLine="480" w:firstLineChars="200"/>
        <w:textAlignment w:val="auto"/>
        <w:rPr>
          <w:rFonts w:hint="eastAsia" w:ascii="宋体" w:hAnsi="宋体" w:eastAsia="宋体"/>
          <w:color w:val="000000"/>
          <w:sz w:val="24"/>
        </w:rPr>
      </w:pPr>
      <w:r>
        <w:rPr>
          <w:rFonts w:hint="eastAsia" w:ascii="宋体" w:hAnsi="宋体" w:eastAsia="宋体"/>
          <w:color w:val="000000"/>
          <w:sz w:val="24"/>
        </w:rPr>
        <w:t>公司设立内审部，对公司财务信息的真实性和完整性、内部控制制度的建立和实施等情况进行检查监督。</w:t>
      </w:r>
      <w:r>
        <w:rPr>
          <w:rFonts w:ascii="宋体" w:hAnsi="宋体" w:eastAsia="宋体" w:cs="宋体"/>
          <w:sz w:val="24"/>
          <w:szCs w:val="24"/>
        </w:rPr>
        <w:t>内审部应当保持独立性，配备专职审计人员，不得置于财务部门领导之下，也不得与财务部门合署办公。</w:t>
      </w:r>
    </w:p>
    <w:p w14:paraId="52975F74">
      <w:pPr>
        <w:pStyle w:val="12"/>
        <w:keepNext w:val="0"/>
        <w:keepLines w:val="0"/>
        <w:pageBreakBefore w:val="0"/>
        <w:widowControl w:val="0"/>
        <w:numPr>
          <w:ilvl w:val="0"/>
          <w:numId w:val="0"/>
        </w:numPr>
        <w:tabs>
          <w:tab w:val="left" w:pos="20"/>
        </w:tabs>
        <w:kinsoku/>
        <w:wordWrap/>
        <w:overflowPunct/>
        <w:topLinePunct w:val="0"/>
        <w:bidi w:val="0"/>
        <w:adjustRightInd/>
        <w:snapToGrid/>
        <w:spacing w:before="0" w:beforeLines="0" w:after="0" w:afterLines="0" w:line="500" w:lineRule="exact"/>
        <w:ind w:firstLine="480" w:firstLineChars="200"/>
        <w:textAlignment w:val="auto"/>
        <w:rPr>
          <w:rFonts w:hint="eastAsia" w:ascii="宋体" w:hAnsi="宋体" w:eastAsia="宋体"/>
          <w:color w:val="000000"/>
          <w:sz w:val="24"/>
        </w:rPr>
      </w:pPr>
      <w:r>
        <w:rPr>
          <w:rFonts w:ascii="宋体" w:hAnsi="宋体" w:eastAsia="宋体" w:cs="宋体"/>
          <w:sz w:val="24"/>
          <w:szCs w:val="24"/>
        </w:rPr>
        <w:t>内审部在审计委员会指导下独立开展审计工作，对董事会负责，向审计委员会报告工作。审计委员会参与对内部审计负责人的考核。</w:t>
      </w:r>
    </w:p>
    <w:p w14:paraId="290F63E6">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内部审计人员应具备良好的职业道德和会计、审计管理方面的专业知识，熟悉公司的经营活动和内部控制程序，</w:t>
      </w:r>
      <w:r>
        <w:rPr>
          <w:rFonts w:ascii="宋体" w:hAnsi="宋体" w:eastAsia="宋体" w:cs="宋体"/>
          <w:sz w:val="24"/>
          <w:szCs w:val="24"/>
        </w:rPr>
        <w:t>在执行审计过程中保持应有的职业谨慎</w:t>
      </w:r>
      <w:r>
        <w:rPr>
          <w:rFonts w:hint="eastAsia" w:ascii="宋体" w:hAnsi="宋体" w:eastAsia="宋体"/>
          <w:color w:val="000000"/>
          <w:sz w:val="24"/>
        </w:rPr>
        <w:t>。</w:t>
      </w:r>
    </w:p>
    <w:p w14:paraId="5ADA71F7">
      <w:pPr>
        <w:pStyle w:val="12"/>
        <w:keepNext w:val="0"/>
        <w:keepLines w:val="0"/>
        <w:pageBreakBefore w:val="0"/>
        <w:widowControl w:val="0"/>
        <w:numPr>
          <w:ilvl w:val="0"/>
          <w:numId w:val="0"/>
        </w:numPr>
        <w:tabs>
          <w:tab w:val="left" w:pos="20"/>
        </w:tabs>
        <w:kinsoku/>
        <w:wordWrap/>
        <w:overflowPunct/>
        <w:topLinePunct w:val="0"/>
        <w:bidi w:val="0"/>
        <w:adjustRightInd/>
        <w:snapToGrid/>
        <w:spacing w:before="0" w:beforeLines="0" w:after="0" w:afterLines="0" w:line="500" w:lineRule="exact"/>
        <w:ind w:firstLine="480" w:firstLineChars="200"/>
        <w:textAlignment w:val="auto"/>
        <w:rPr>
          <w:rFonts w:hint="default" w:ascii="宋体" w:hAnsi="宋体" w:eastAsia="宋体"/>
          <w:color w:val="auto"/>
          <w:sz w:val="24"/>
        </w:rPr>
      </w:pPr>
      <w:r>
        <w:rPr>
          <w:rFonts w:ascii="宋体" w:hAnsi="宋体" w:eastAsia="宋体" w:cs="宋体"/>
          <w:sz w:val="24"/>
          <w:szCs w:val="24"/>
        </w:rPr>
        <w:t>内部审计人员办理审计事项，与被审计对象或审计事项存在利害关系，应主动申请回避；不得滥用职权、徇私舞弊、玩忽职守或泄露所知悉的秘密。</w:t>
      </w:r>
    </w:p>
    <w:p w14:paraId="48ED09B6">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公司为</w:t>
      </w:r>
      <w:r>
        <w:rPr>
          <w:rFonts w:hint="eastAsia"/>
          <w:color w:val="000000"/>
          <w:sz w:val="24"/>
          <w:lang w:val="en-US" w:eastAsia="zh-CN"/>
        </w:rPr>
        <w:t>内部</w:t>
      </w:r>
      <w:r>
        <w:rPr>
          <w:rFonts w:hint="eastAsia" w:ascii="宋体" w:hAnsi="宋体" w:eastAsia="宋体"/>
          <w:color w:val="000000"/>
          <w:sz w:val="24"/>
        </w:rPr>
        <w:t>审计工作正常开展提供必要条件，内审部履行职责所需经费，应给予保障并列入公司预算。</w:t>
      </w:r>
    </w:p>
    <w:p w14:paraId="77C98C71">
      <w:pPr>
        <w:pStyle w:val="12"/>
        <w:keepNext w:val="0"/>
        <w:keepLines w:val="0"/>
        <w:pageBreakBefore w:val="0"/>
        <w:widowControl w:val="0"/>
        <w:numPr>
          <w:ilvl w:val="0"/>
          <w:numId w:val="0"/>
        </w:numPr>
        <w:tabs>
          <w:tab w:val="left" w:pos="20"/>
        </w:tabs>
        <w:kinsoku/>
        <w:wordWrap/>
        <w:overflowPunct/>
        <w:topLinePunct w:val="0"/>
        <w:bidi w:val="0"/>
        <w:adjustRightInd/>
        <w:snapToGrid/>
        <w:spacing w:before="0" w:beforeLines="0" w:after="0" w:afterLines="0" w:line="500" w:lineRule="exact"/>
        <w:ind w:firstLine="480" w:firstLineChars="200"/>
        <w:textAlignment w:val="auto"/>
        <w:rPr>
          <w:rFonts w:hint="default" w:ascii="宋体" w:hAnsi="宋体" w:eastAsia="宋体"/>
          <w:color w:val="auto"/>
          <w:sz w:val="24"/>
        </w:rPr>
      </w:pPr>
      <w:r>
        <w:rPr>
          <w:rFonts w:ascii="宋体" w:hAnsi="宋体" w:eastAsia="宋体"/>
          <w:color w:val="auto"/>
          <w:sz w:val="24"/>
        </w:rPr>
        <w:t>公司各内部机构、控股子公司以及具有重大影响的参股公司</w:t>
      </w:r>
      <w:r>
        <w:rPr>
          <w:rFonts w:hint="eastAsia"/>
          <w:color w:val="auto"/>
          <w:sz w:val="24"/>
          <w:lang w:eastAsia="zh-CN"/>
        </w:rPr>
        <w:t>，</w:t>
      </w:r>
      <w:r>
        <w:rPr>
          <w:rFonts w:ascii="宋体" w:hAnsi="宋体" w:eastAsia="宋体"/>
          <w:color w:val="auto"/>
          <w:sz w:val="24"/>
        </w:rPr>
        <w:t>应当配合内审部依法履行职责，不得妨碍内审部的工作。</w:t>
      </w:r>
      <w:r>
        <w:rPr>
          <w:rFonts w:ascii="宋体" w:hAnsi="宋体" w:eastAsia="宋体" w:cs="宋体"/>
          <w:sz w:val="24"/>
          <w:szCs w:val="24"/>
        </w:rPr>
        <w:t>被审计</w:t>
      </w:r>
      <w:r>
        <w:rPr>
          <w:rFonts w:hint="eastAsia" w:cs="宋体"/>
          <w:sz w:val="24"/>
          <w:szCs w:val="24"/>
          <w:lang w:val="en-US" w:eastAsia="zh-CN"/>
        </w:rPr>
        <w:t>对象</w:t>
      </w:r>
      <w:r>
        <w:rPr>
          <w:rFonts w:ascii="宋体" w:hAnsi="宋体" w:eastAsia="宋体" w:cs="宋体"/>
          <w:sz w:val="24"/>
          <w:szCs w:val="24"/>
        </w:rPr>
        <w:t>应</w:t>
      </w:r>
      <w:r>
        <w:rPr>
          <w:rFonts w:hint="eastAsia" w:cs="宋体"/>
          <w:sz w:val="24"/>
          <w:szCs w:val="24"/>
          <w:lang w:val="en-US" w:eastAsia="zh-CN"/>
        </w:rPr>
        <w:t>按要求</w:t>
      </w:r>
      <w:r>
        <w:rPr>
          <w:rFonts w:ascii="宋体" w:hAnsi="宋体" w:eastAsia="宋体" w:cs="宋体"/>
          <w:sz w:val="24"/>
          <w:szCs w:val="24"/>
        </w:rPr>
        <w:t>及时向审计人员提供有关资料，不得拒绝、阻挠、破坏或打击报复。</w:t>
      </w:r>
    </w:p>
    <w:p w14:paraId="19434105">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default" w:ascii="宋体" w:hAnsi="宋体" w:eastAsia="宋体"/>
          <w:b/>
          <w:bCs/>
          <w:color w:val="000000"/>
          <w:sz w:val="24"/>
          <w:szCs w:val="24"/>
          <w:lang w:val="en-US" w:eastAsia="zh-CN"/>
        </w:rPr>
      </w:pPr>
      <w:r>
        <w:rPr>
          <w:rFonts w:hint="eastAsia" w:ascii="宋体" w:hAnsi="宋体" w:eastAsia="宋体"/>
          <w:b/>
          <w:bCs/>
          <w:color w:val="000000"/>
          <w:sz w:val="24"/>
          <w:szCs w:val="24"/>
        </w:rPr>
        <w:t xml:space="preserve">第三章 </w:t>
      </w:r>
      <w:r>
        <w:rPr>
          <w:rFonts w:hint="eastAsia" w:ascii="宋体" w:hAnsi="宋体" w:eastAsia="宋体"/>
          <w:b/>
          <w:bCs/>
          <w:color w:val="000000"/>
          <w:sz w:val="24"/>
          <w:szCs w:val="24"/>
          <w:lang w:val="en-US" w:eastAsia="zh-CN"/>
        </w:rPr>
        <w:t>内部审计主要职责及权限</w:t>
      </w:r>
    </w:p>
    <w:p w14:paraId="6BBDA90F">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审计委员会在指导和监督内审部工作时，应当履行以下主要职责：</w:t>
      </w:r>
    </w:p>
    <w:p w14:paraId="660B9E48">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（一）指导和监督内部审计制度的建立和实施；</w:t>
      </w:r>
    </w:p>
    <w:p w14:paraId="66C4177B">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（二）审阅公司年度内部审计工作计划；</w:t>
      </w:r>
    </w:p>
    <w:p w14:paraId="0F375E79">
      <w:pPr>
        <w:keepNext w:val="0"/>
        <w:keepLines w:val="0"/>
        <w:pageBreakBefore w:val="0"/>
        <w:widowControl w:val="0"/>
        <w:numPr>
          <w:ilvl w:val="0"/>
          <w:numId w:val="2"/>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督促公司内部审计计划的实施；</w:t>
      </w:r>
    </w:p>
    <w:p w14:paraId="7F7E4042">
      <w:pPr>
        <w:keepNext w:val="0"/>
        <w:keepLines w:val="0"/>
        <w:pageBreakBefore w:val="0"/>
        <w:widowControl w:val="0"/>
        <w:numPr>
          <w:ilvl w:val="0"/>
          <w:numId w:val="2"/>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指导内审部的有效运作；</w:t>
      </w:r>
    </w:p>
    <w:p w14:paraId="0BC5B609">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（五）向董事会报告内部审计工作进度、质量以及发现的重大问题等；</w:t>
      </w:r>
    </w:p>
    <w:p w14:paraId="3AE51D69">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（六）协调内审部与会计师事务所、国家审计机构等外部审计单位之间的关系。</w:t>
      </w:r>
    </w:p>
    <w:p w14:paraId="02A60A15">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内审部应当履行以下主要职责：</w:t>
      </w:r>
    </w:p>
    <w:p w14:paraId="36DD7F4D">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b/>
          <w:bCs/>
          <w:color w:val="000000"/>
          <w:sz w:val="24"/>
        </w:rPr>
      </w:pPr>
      <w:r>
        <w:rPr>
          <w:rFonts w:hint="eastAsia" w:ascii="宋体" w:hAnsi="宋体" w:eastAsia="宋体"/>
          <w:color w:val="000000"/>
          <w:sz w:val="24"/>
        </w:rPr>
        <w:t>（一）对公司各内部机构、控股子公司以及具有重大影响的参股公司的内部控制制度的完整性、合理性及其实施的有效性进行检查和评估；</w:t>
      </w:r>
    </w:p>
    <w:p w14:paraId="6A69853D">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b/>
          <w:bCs/>
          <w:color w:val="000000"/>
          <w:sz w:val="24"/>
        </w:rPr>
      </w:pPr>
      <w:r>
        <w:rPr>
          <w:rFonts w:hint="eastAsia" w:ascii="宋体" w:hAnsi="宋体" w:eastAsia="宋体"/>
          <w:color w:val="000000"/>
          <w:sz w:val="24"/>
        </w:rPr>
        <w:t>（二）对公司各内部机构、控股子公司以及具有重大影响的参股公司的会计资料及其他有关经济资料，以及所反映的财务收支及有关的经济活动的合法性、合规性、真实性、完整性和效益性进行审计；</w:t>
      </w:r>
    </w:p>
    <w:p w14:paraId="6D2964F3">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b/>
          <w:bCs/>
          <w:color w:val="000000"/>
          <w:sz w:val="24"/>
        </w:rPr>
      </w:pPr>
      <w:r>
        <w:rPr>
          <w:rFonts w:hint="eastAsia" w:ascii="宋体" w:hAnsi="宋体" w:eastAsia="宋体"/>
          <w:color w:val="000000"/>
          <w:sz w:val="24"/>
        </w:rPr>
        <w:t>（三）协助建立健全反舞弊机制，确定反舞弊的重点领域、关键环节和主要内容，并在内部审计过程中合理关注和检查可能存在的舞弊行为，发现公司相关重大问题或线索的，应当立即向审计委员会直接报告；</w:t>
      </w:r>
    </w:p>
    <w:p w14:paraId="61B22B33">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lang w:eastAsia="zh-CN"/>
        </w:rPr>
      </w:pPr>
      <w:r>
        <w:rPr>
          <w:rFonts w:hint="eastAsia" w:ascii="宋体" w:hAnsi="宋体" w:eastAsia="宋体"/>
          <w:color w:val="000000"/>
          <w:sz w:val="24"/>
        </w:rPr>
        <w:t>（四）至少每季度向董事会或审计委员会报告一次，内容包括但不限于内部审计计划的执行情况以及内部审计工作中发现的问题</w:t>
      </w:r>
      <w:r>
        <w:rPr>
          <w:rFonts w:hint="eastAsia" w:ascii="宋体" w:hAnsi="宋体" w:eastAsia="宋体"/>
          <w:color w:val="000000"/>
          <w:sz w:val="24"/>
          <w:lang w:val="en-US" w:eastAsia="zh-CN"/>
        </w:rPr>
        <w:t>及其整改情况</w:t>
      </w:r>
      <w:r>
        <w:rPr>
          <w:rFonts w:hint="eastAsia" w:ascii="宋体" w:hAnsi="宋体" w:eastAsia="宋体"/>
          <w:color w:val="000000"/>
          <w:sz w:val="24"/>
          <w:lang w:eastAsia="zh-CN"/>
        </w:rPr>
        <w:t>；</w:t>
      </w:r>
    </w:p>
    <w:p w14:paraId="6812BEC7">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（五）积极配合审计委员会与会计师事务所、国家审计机构等外部审计单位进行沟通，并提供必要的支持和协作。</w:t>
      </w:r>
    </w:p>
    <w:p w14:paraId="236F8602">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333333"/>
          <w:sz w:val="24"/>
        </w:rPr>
        <w:t xml:space="preserve"> </w:t>
      </w:r>
      <w:r>
        <w:rPr>
          <w:rFonts w:hint="eastAsia" w:ascii="宋体" w:hAnsi="宋体" w:eastAsia="宋体"/>
          <w:color w:val="000000"/>
          <w:sz w:val="24"/>
        </w:rPr>
        <w:t>内部审计通常应当涵盖公司经营活动中与财务报告相关的所有业务环节，包括但不限于：销货及收款、采购及付款、存货管理、固定资产管理、资金管理、投资与融资管理、人力资源管理、信息系统管理等。</w:t>
      </w:r>
    </w:p>
    <w:p w14:paraId="4AFA0ECB">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333333"/>
          <w:sz w:val="24"/>
        </w:rPr>
        <w:t xml:space="preserve"> </w:t>
      </w:r>
      <w:r>
        <w:rPr>
          <w:rFonts w:hint="eastAsia" w:ascii="宋体" w:hAnsi="宋体" w:eastAsia="宋体"/>
          <w:color w:val="000000"/>
          <w:sz w:val="24"/>
        </w:rPr>
        <w:t>内部审计人员获取的审计证据应当具备充分性、相关性和可靠性。内部审计人员应当将获取审计证据的名称、来源、内容、时间等信息清晰、完整地记录在工作底稿中</w:t>
      </w:r>
      <w:r>
        <w:rPr>
          <w:rFonts w:hint="eastAsia" w:ascii="宋体" w:hAnsi="宋体" w:eastAsia="宋体"/>
          <w:color w:val="000000"/>
          <w:sz w:val="24"/>
          <w:lang w:eastAsia="zh-CN"/>
        </w:rPr>
        <w:t>；</w:t>
      </w:r>
      <w:r>
        <w:rPr>
          <w:rFonts w:hint="eastAsia" w:ascii="宋体" w:hAnsi="宋体" w:eastAsia="宋体"/>
          <w:color w:val="000000"/>
          <w:sz w:val="24"/>
        </w:rPr>
        <w:t>应当按照有关规定编制与复核审计工作底稿，并在审计项目完成后，及时对审计工作底稿进行分类整理并归档。</w:t>
      </w:r>
    </w:p>
    <w:p w14:paraId="0E3D0281">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内审部应建立工作底稿制度和档案管理制度，审计档案管理参照公司档案管理、保密管理等办法执行，审计档案查阅必须履行批准手续。内部审计工作报告、工作底稿及相关资料的保存时间不得低于</w:t>
      </w:r>
      <w:r>
        <w:rPr>
          <w:rFonts w:hint="default" w:ascii="Times New Roman" w:hAnsi="Times New Roman" w:eastAsia="宋体" w:cs="Times New Roman"/>
          <w:color w:val="000000"/>
          <w:sz w:val="24"/>
        </w:rPr>
        <w:t>10</w:t>
      </w:r>
      <w:r>
        <w:rPr>
          <w:rFonts w:hint="eastAsia" w:ascii="宋体" w:hAnsi="宋体" w:eastAsia="宋体"/>
          <w:color w:val="000000"/>
          <w:sz w:val="24"/>
        </w:rPr>
        <w:t>年。</w:t>
      </w:r>
    </w:p>
    <w:p w14:paraId="6FE5FCA7">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highlight w:val="none"/>
        </w:rPr>
      </w:pPr>
      <w:r>
        <w:rPr>
          <w:rFonts w:hint="eastAsia"/>
          <w:color w:val="000000"/>
          <w:sz w:val="24"/>
          <w:highlight w:val="none"/>
          <w:lang w:val="en-US" w:eastAsia="zh-CN"/>
        </w:rPr>
        <w:t xml:space="preserve"> </w:t>
      </w:r>
      <w:r>
        <w:rPr>
          <w:rFonts w:hint="eastAsia" w:ascii="宋体" w:hAnsi="宋体" w:eastAsia="宋体"/>
          <w:color w:val="000000"/>
          <w:sz w:val="24"/>
          <w:highlight w:val="none"/>
        </w:rPr>
        <w:t>内审部应当在每个会计年度结束后向审计委员会提交上年度内部审计工作报告、上年度内部控制评价报告、本年度审计工作计划。</w:t>
      </w:r>
      <w:r>
        <w:rPr>
          <w:rFonts w:ascii="宋体" w:hAnsi="宋体" w:eastAsia="宋体" w:cs="宋体"/>
          <w:sz w:val="24"/>
          <w:szCs w:val="24"/>
        </w:rPr>
        <w:t>内审部在审</w:t>
      </w:r>
      <w:r>
        <w:rPr>
          <w:rFonts w:hint="eastAsia" w:cs="宋体"/>
          <w:sz w:val="24"/>
          <w:szCs w:val="24"/>
          <w:lang w:val="en-US" w:eastAsia="zh-CN"/>
        </w:rPr>
        <w:t>计</w:t>
      </w:r>
      <w:r>
        <w:rPr>
          <w:rFonts w:ascii="宋体" w:hAnsi="宋体" w:eastAsia="宋体" w:cs="宋体"/>
          <w:sz w:val="24"/>
          <w:szCs w:val="24"/>
        </w:rPr>
        <w:t>过程中如发现内部控制存在重大缺陷或者重大风险，应当及时向董事会或者审计委员会报告。</w:t>
      </w:r>
    </w:p>
    <w:p w14:paraId="47667721">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highlight w:val="none"/>
        </w:rPr>
      </w:pPr>
      <w:r>
        <w:rPr>
          <w:rFonts w:hint="eastAsia" w:cs="宋体"/>
          <w:sz w:val="24"/>
          <w:szCs w:val="24"/>
          <w:lang w:val="en-US" w:eastAsia="zh-CN"/>
        </w:rPr>
        <w:t xml:space="preserve"> </w:t>
      </w:r>
      <w:r>
        <w:rPr>
          <w:rFonts w:hint="eastAsia" w:ascii="宋体" w:hAnsi="宋体" w:eastAsia="宋体"/>
          <w:color w:val="000000"/>
          <w:sz w:val="24"/>
        </w:rPr>
        <w:t>内审部</w:t>
      </w:r>
      <w:r>
        <w:rPr>
          <w:rFonts w:ascii="宋体" w:hAnsi="宋体" w:eastAsia="宋体" w:cs="宋体"/>
          <w:sz w:val="24"/>
          <w:szCs w:val="24"/>
        </w:rPr>
        <w:t>在审计过程中可以行使下列权限：</w:t>
      </w:r>
    </w:p>
    <w:p w14:paraId="692BA963">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s="宋体"/>
          <w:color w:val="000000"/>
          <w:sz w:val="24"/>
        </w:rPr>
        <w:t>（一）</w:t>
      </w:r>
      <w:r>
        <w:rPr>
          <w:rFonts w:hint="eastAsia" w:ascii="宋体" w:hAnsi="宋体" w:eastAsia="宋体"/>
          <w:color w:val="000000"/>
          <w:sz w:val="24"/>
        </w:rPr>
        <w:t>召开与审计事项有关的会议</w:t>
      </w:r>
      <w:r>
        <w:rPr>
          <w:rFonts w:hint="eastAsia" w:ascii="宋体" w:hAnsi="宋体" w:eastAsia="宋体"/>
          <w:color w:val="000000"/>
          <w:sz w:val="24"/>
          <w:lang w:eastAsia="zh-CN"/>
        </w:rPr>
        <w:t>，</w:t>
      </w:r>
      <w:r>
        <w:rPr>
          <w:rFonts w:hint="eastAsia" w:ascii="宋体" w:hAnsi="宋体" w:eastAsia="宋体"/>
          <w:color w:val="000000"/>
          <w:sz w:val="24"/>
          <w:lang w:val="en-US" w:eastAsia="zh-CN"/>
        </w:rPr>
        <w:t>参加或列席与内部审计相关的公司生产经营和财务管理方面的会议</w:t>
      </w:r>
      <w:r>
        <w:rPr>
          <w:rFonts w:hint="eastAsia" w:ascii="宋体" w:hAnsi="宋体" w:eastAsia="宋体"/>
          <w:color w:val="000000"/>
          <w:sz w:val="24"/>
        </w:rPr>
        <w:t>；</w:t>
      </w:r>
    </w:p>
    <w:p w14:paraId="4B0E30AD">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s="宋体"/>
          <w:color w:val="000000"/>
          <w:sz w:val="24"/>
        </w:rPr>
        <w:t>（二）</w:t>
      </w:r>
      <w:r>
        <w:rPr>
          <w:rFonts w:hint="eastAsia" w:ascii="宋体" w:hAnsi="宋体" w:eastAsia="宋体"/>
          <w:color w:val="000000"/>
          <w:sz w:val="24"/>
        </w:rPr>
        <w:t>检查会计凭证、会计账簿、会计报表以及与财务收支有关的资料和资产；</w:t>
      </w:r>
    </w:p>
    <w:p w14:paraId="7A6E4465">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（三）检查被审计</w:t>
      </w:r>
      <w:r>
        <w:rPr>
          <w:rFonts w:hint="eastAsia" w:ascii="宋体" w:hAnsi="宋体" w:eastAsia="宋体"/>
          <w:color w:val="000000"/>
          <w:sz w:val="24"/>
          <w:lang w:val="en-US" w:eastAsia="zh-CN"/>
        </w:rPr>
        <w:t>对象</w:t>
      </w:r>
      <w:r>
        <w:rPr>
          <w:rFonts w:hint="eastAsia" w:ascii="宋体" w:hAnsi="宋体" w:eastAsia="宋体"/>
          <w:color w:val="000000"/>
          <w:sz w:val="24"/>
        </w:rPr>
        <w:t>经营管理的计算机系统及其所反映的有关电子信息资料；</w:t>
      </w:r>
    </w:p>
    <w:p w14:paraId="7342D7F1">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（四）对审计事项的有关问题，向有关单位和个人进行调查并要求提供书面材料；</w:t>
      </w:r>
    </w:p>
    <w:p w14:paraId="66631F20">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（五）对正在进行的严重违反财经纪律、严重损失浪费行为，经主管领导同意，可作出临时制止决定，制止无效的，建议有关部门采取强制措施制止；</w:t>
      </w:r>
    </w:p>
    <w:p w14:paraId="03AE0218">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（六）提出纠正、处理违反财经纪律行为的意见以及改进管理、提高效益的建议；</w:t>
      </w:r>
    </w:p>
    <w:p w14:paraId="459302AC">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lang w:eastAsia="zh-CN"/>
        </w:rPr>
      </w:pPr>
      <w:r>
        <w:rPr>
          <w:rFonts w:hint="eastAsia" w:ascii="宋体" w:hAnsi="宋体" w:eastAsia="宋体"/>
          <w:color w:val="000000"/>
          <w:sz w:val="24"/>
        </w:rPr>
        <w:t>（七）对可能转移、隐匿、篡改、毁弃的会计凭证、会计账簿、会计报表以及其他与财务收支有关的资料，经主管领导及总经理批准，有权暂时予以封存</w:t>
      </w:r>
      <w:r>
        <w:rPr>
          <w:rFonts w:hint="eastAsia" w:ascii="宋体" w:hAnsi="宋体" w:eastAsia="宋体"/>
          <w:color w:val="000000"/>
          <w:sz w:val="24"/>
          <w:lang w:eastAsia="zh-CN"/>
        </w:rPr>
        <w:t>；</w:t>
      </w:r>
    </w:p>
    <w:p w14:paraId="45A979A0">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lang w:eastAsia="zh-CN"/>
        </w:rPr>
      </w:pPr>
      <w:r>
        <w:rPr>
          <w:rFonts w:hint="eastAsia" w:ascii="宋体" w:hAnsi="宋体" w:eastAsia="宋体"/>
          <w:color w:val="000000"/>
          <w:sz w:val="24"/>
          <w:lang w:eastAsia="zh-CN"/>
        </w:rPr>
        <w:t>（</w:t>
      </w:r>
      <w:r>
        <w:rPr>
          <w:rFonts w:hint="eastAsia" w:ascii="宋体" w:hAnsi="宋体" w:eastAsia="宋体"/>
          <w:color w:val="000000"/>
          <w:sz w:val="24"/>
          <w:lang w:val="en-US" w:eastAsia="zh-CN"/>
        </w:rPr>
        <w:t>八</w:t>
      </w:r>
      <w:r>
        <w:rPr>
          <w:rFonts w:hint="eastAsia" w:ascii="宋体" w:hAnsi="宋体" w:eastAsia="宋体"/>
          <w:color w:val="000000"/>
          <w:sz w:val="24"/>
          <w:lang w:eastAsia="zh-CN"/>
        </w:rPr>
        <w:t>）</w:t>
      </w:r>
      <w:r>
        <w:rPr>
          <w:rFonts w:hint="eastAsia" w:ascii="宋体" w:hAnsi="宋体" w:eastAsia="宋体"/>
          <w:color w:val="000000"/>
          <w:sz w:val="24"/>
        </w:rPr>
        <w:t>向董事会审计委员会反映有关情况</w:t>
      </w:r>
      <w:r>
        <w:rPr>
          <w:rFonts w:hint="eastAsia" w:ascii="宋体" w:hAnsi="宋体" w:eastAsia="宋体"/>
          <w:color w:val="000000"/>
          <w:sz w:val="24"/>
          <w:lang w:eastAsia="zh-CN"/>
        </w:rPr>
        <w:t>。</w:t>
      </w:r>
    </w:p>
    <w:p w14:paraId="1BBD14C7">
      <w:pPr>
        <w:pStyle w:val="12"/>
        <w:keepNext w:val="0"/>
        <w:keepLines w:val="0"/>
        <w:pageBreakBefore w:val="0"/>
        <w:widowControl w:val="0"/>
        <w:numPr>
          <w:ilvl w:val="0"/>
          <w:numId w:val="1"/>
        </w:numPr>
        <w:kinsoku/>
        <w:wordWrap/>
        <w:overflowPunct/>
        <w:topLinePunct w:val="0"/>
        <w:bidi w:val="0"/>
        <w:adjustRightInd/>
        <w:snapToGrid/>
        <w:spacing w:beforeLines="0" w:after="0" w:afterLines="0"/>
        <w:ind w:firstLineChars="0"/>
        <w:jc w:val="both"/>
        <w:textAlignment w:val="auto"/>
        <w:rPr>
          <w:rFonts w:hint="eastAsia" w:ascii="宋体" w:hAnsi="宋体" w:eastAsia="宋体"/>
          <w:color w:val="auto"/>
          <w:sz w:val="24"/>
          <w:lang w:eastAsia="zh-CN"/>
        </w:rPr>
      </w:pPr>
      <w:r>
        <w:rPr>
          <w:rFonts w:hint="eastAsia" w:ascii="宋体" w:hAnsi="宋体" w:eastAsia="宋体" w:cs="宋体"/>
          <w:sz w:val="24"/>
          <w:szCs w:val="24"/>
        </w:rPr>
        <w:t xml:space="preserve"> 由于被审计</w:t>
      </w:r>
      <w:r>
        <w:rPr>
          <w:rFonts w:hint="eastAsia" w:cs="宋体"/>
          <w:sz w:val="24"/>
          <w:szCs w:val="24"/>
          <w:lang w:val="en-US" w:eastAsia="zh-CN"/>
        </w:rPr>
        <w:t>对象</w:t>
      </w:r>
      <w:r>
        <w:rPr>
          <w:rFonts w:hint="eastAsia" w:ascii="宋体" w:hAnsi="宋体" w:eastAsia="宋体" w:cs="宋体"/>
          <w:sz w:val="24"/>
          <w:szCs w:val="24"/>
        </w:rPr>
        <w:t>或当事人隐瞒事实或提供虚假证明，造成审计结果与事实不符的，公司应当追究被审计</w:t>
      </w:r>
      <w:r>
        <w:rPr>
          <w:rFonts w:hint="eastAsia" w:cs="宋体"/>
          <w:sz w:val="24"/>
          <w:szCs w:val="24"/>
          <w:lang w:val="en-US" w:eastAsia="zh-CN"/>
        </w:rPr>
        <w:t>对象</w:t>
      </w:r>
      <w:r>
        <w:rPr>
          <w:rFonts w:hint="eastAsia" w:ascii="宋体" w:hAnsi="宋体" w:eastAsia="宋体" w:cs="宋体"/>
          <w:sz w:val="24"/>
          <w:szCs w:val="24"/>
        </w:rPr>
        <w:t>负责人或当事人的责任。</w:t>
      </w:r>
    </w:p>
    <w:p w14:paraId="20110C4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第</w:t>
      </w:r>
      <w:r>
        <w:rPr>
          <w:rFonts w:hint="eastAsia" w:ascii="宋体" w:hAnsi="宋体" w:eastAsia="宋体"/>
          <w:b/>
          <w:bCs/>
          <w:color w:val="000000"/>
          <w:sz w:val="24"/>
          <w:szCs w:val="24"/>
          <w:lang w:val="en-US" w:eastAsia="zh-CN"/>
        </w:rPr>
        <w:t>四</w:t>
      </w:r>
      <w:r>
        <w:rPr>
          <w:rFonts w:hint="eastAsia" w:ascii="宋体" w:hAnsi="宋体" w:eastAsia="宋体"/>
          <w:b/>
          <w:bCs/>
          <w:color w:val="000000"/>
          <w:sz w:val="24"/>
          <w:szCs w:val="24"/>
        </w:rPr>
        <w:t>章 审计工作程序</w:t>
      </w:r>
    </w:p>
    <w:p w14:paraId="0B93B34F">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审计前的工作程序包括：</w:t>
      </w:r>
    </w:p>
    <w:p w14:paraId="147B41D1">
      <w:pPr>
        <w:pStyle w:val="12"/>
        <w:keepNext w:val="0"/>
        <w:keepLines w:val="0"/>
        <w:pageBreakBefore w:val="0"/>
        <w:widowControl w:val="0"/>
        <w:numPr>
          <w:ilvl w:val="0"/>
          <w:numId w:val="3"/>
        </w:numPr>
        <w:tabs>
          <w:tab w:val="left" w:pos="20"/>
        </w:tabs>
        <w:kinsoku/>
        <w:wordWrap/>
        <w:overflowPunct/>
        <w:topLinePunct w:val="0"/>
        <w:bidi w:val="0"/>
        <w:adjustRightInd/>
        <w:snapToGrid/>
        <w:spacing w:before="0" w:beforeLines="0" w:after="0" w:afterLines="0" w:line="500" w:lineRule="exact"/>
        <w:ind w:right="0" w:rightChars="0" w:firstLine="480" w:firstLineChars="200"/>
        <w:textAlignment w:val="auto"/>
        <w:rPr>
          <w:rFonts w:hint="eastAsia" w:ascii="宋体" w:hAnsi="宋体" w:eastAsia="宋体"/>
          <w:color w:val="000000"/>
          <w:sz w:val="24"/>
        </w:rPr>
      </w:pPr>
      <w:r>
        <w:rPr>
          <w:rFonts w:hint="eastAsia" w:ascii="宋体" w:hAnsi="宋体" w:eastAsia="宋体"/>
          <w:color w:val="000000"/>
          <w:sz w:val="24"/>
        </w:rPr>
        <w:t>按照经批准的审计年度计划安排，确定审计对象；</w:t>
      </w:r>
    </w:p>
    <w:p w14:paraId="63465A01">
      <w:pPr>
        <w:pStyle w:val="12"/>
        <w:keepNext w:val="0"/>
        <w:keepLines w:val="0"/>
        <w:pageBreakBefore w:val="0"/>
        <w:widowControl w:val="0"/>
        <w:numPr>
          <w:ilvl w:val="0"/>
          <w:numId w:val="3"/>
        </w:numPr>
        <w:tabs>
          <w:tab w:val="left" w:pos="20"/>
        </w:tabs>
        <w:kinsoku/>
        <w:wordWrap/>
        <w:overflowPunct/>
        <w:topLinePunct w:val="0"/>
        <w:bidi w:val="0"/>
        <w:adjustRightInd/>
        <w:snapToGrid/>
        <w:spacing w:before="0" w:beforeLines="0" w:after="0" w:afterLines="0" w:line="500" w:lineRule="exact"/>
        <w:ind w:right="0" w:rightChars="0" w:firstLine="480" w:firstLineChars="200"/>
        <w:textAlignment w:val="auto"/>
        <w:rPr>
          <w:rFonts w:hint="eastAsia" w:ascii="宋体" w:hAnsi="宋体" w:eastAsia="宋体"/>
          <w:color w:val="000000"/>
          <w:sz w:val="24"/>
        </w:rPr>
      </w:pPr>
      <w:r>
        <w:rPr>
          <w:rFonts w:hint="eastAsia" w:ascii="宋体" w:hAnsi="宋体" w:eastAsia="宋体"/>
          <w:color w:val="000000"/>
          <w:sz w:val="24"/>
        </w:rPr>
        <w:t>编制好审计项目计划，制定出具体审计方案；</w:t>
      </w:r>
    </w:p>
    <w:p w14:paraId="16522830">
      <w:pPr>
        <w:pStyle w:val="12"/>
        <w:keepNext w:val="0"/>
        <w:keepLines w:val="0"/>
        <w:pageBreakBefore w:val="0"/>
        <w:widowControl w:val="0"/>
        <w:numPr>
          <w:ilvl w:val="0"/>
          <w:numId w:val="3"/>
        </w:numPr>
        <w:tabs>
          <w:tab w:val="left" w:pos="20"/>
        </w:tabs>
        <w:kinsoku/>
        <w:wordWrap/>
        <w:overflowPunct/>
        <w:topLinePunct w:val="0"/>
        <w:bidi w:val="0"/>
        <w:adjustRightInd/>
        <w:snapToGrid/>
        <w:spacing w:before="0" w:beforeLines="0" w:after="0" w:afterLines="0" w:line="500" w:lineRule="exact"/>
        <w:ind w:right="0" w:rightChars="0" w:firstLine="480" w:firstLineChars="200"/>
        <w:textAlignment w:val="auto"/>
        <w:rPr>
          <w:rFonts w:hint="eastAsia" w:ascii="宋体" w:hAnsi="宋体" w:eastAsia="宋体"/>
          <w:color w:val="000000"/>
          <w:sz w:val="24"/>
        </w:rPr>
      </w:pPr>
      <w:r>
        <w:rPr>
          <w:rFonts w:hint="eastAsia" w:ascii="宋体" w:hAnsi="宋体" w:eastAsia="宋体"/>
          <w:color w:val="000000"/>
          <w:sz w:val="24"/>
        </w:rPr>
        <w:t>确定审计负责人和审计人员名单；</w:t>
      </w:r>
    </w:p>
    <w:p w14:paraId="2713995A">
      <w:pPr>
        <w:pStyle w:val="12"/>
        <w:keepNext w:val="0"/>
        <w:keepLines w:val="0"/>
        <w:pageBreakBefore w:val="0"/>
        <w:widowControl w:val="0"/>
        <w:numPr>
          <w:ilvl w:val="0"/>
          <w:numId w:val="3"/>
        </w:numPr>
        <w:tabs>
          <w:tab w:val="left" w:pos="20"/>
        </w:tabs>
        <w:kinsoku/>
        <w:wordWrap/>
        <w:overflowPunct/>
        <w:topLinePunct w:val="0"/>
        <w:bidi w:val="0"/>
        <w:adjustRightInd/>
        <w:snapToGrid/>
        <w:spacing w:before="0" w:beforeLines="0" w:after="0" w:afterLines="0" w:line="500" w:lineRule="exact"/>
        <w:ind w:right="0" w:rightChars="0" w:firstLine="480" w:firstLineChars="200"/>
        <w:textAlignment w:val="auto"/>
        <w:rPr>
          <w:rFonts w:hint="eastAsia" w:ascii="宋体" w:hAnsi="宋体" w:eastAsia="宋体"/>
          <w:color w:val="000000"/>
          <w:sz w:val="24"/>
        </w:rPr>
      </w:pPr>
      <w:r>
        <w:rPr>
          <w:rFonts w:hint="eastAsia" w:ascii="宋体" w:hAnsi="宋体" w:eastAsia="宋体"/>
          <w:color w:val="000000"/>
          <w:sz w:val="24"/>
        </w:rPr>
        <w:t>下达《审计通知书》，通知被审计</w:t>
      </w:r>
      <w:r>
        <w:rPr>
          <w:rFonts w:hint="eastAsia"/>
          <w:color w:val="000000"/>
          <w:sz w:val="24"/>
          <w:lang w:val="en-US" w:eastAsia="zh-CN"/>
        </w:rPr>
        <w:t>对象</w:t>
      </w:r>
      <w:r>
        <w:rPr>
          <w:rFonts w:hint="eastAsia" w:ascii="宋体" w:hAnsi="宋体" w:eastAsia="宋体"/>
          <w:color w:val="000000"/>
          <w:sz w:val="24"/>
        </w:rPr>
        <w:t>；</w:t>
      </w:r>
    </w:p>
    <w:p w14:paraId="4911A849">
      <w:pPr>
        <w:pStyle w:val="12"/>
        <w:keepNext w:val="0"/>
        <w:keepLines w:val="0"/>
        <w:pageBreakBefore w:val="0"/>
        <w:widowControl w:val="0"/>
        <w:numPr>
          <w:ilvl w:val="0"/>
          <w:numId w:val="3"/>
        </w:numPr>
        <w:tabs>
          <w:tab w:val="left" w:pos="20"/>
        </w:tabs>
        <w:kinsoku/>
        <w:wordWrap/>
        <w:overflowPunct/>
        <w:topLinePunct w:val="0"/>
        <w:bidi w:val="0"/>
        <w:adjustRightInd/>
        <w:snapToGrid/>
        <w:spacing w:before="0" w:beforeLines="0" w:after="0" w:afterLines="0" w:line="500" w:lineRule="exact"/>
        <w:ind w:right="0" w:rightChars="0" w:firstLine="480" w:firstLineChars="200"/>
        <w:textAlignment w:val="auto"/>
        <w:rPr>
          <w:rFonts w:hint="eastAsia" w:ascii="宋体" w:hAnsi="宋体" w:eastAsia="宋体"/>
          <w:color w:val="000000"/>
          <w:sz w:val="24"/>
        </w:rPr>
      </w:pPr>
      <w:r>
        <w:rPr>
          <w:rFonts w:hint="eastAsia" w:ascii="宋体" w:hAnsi="宋体" w:eastAsia="宋体"/>
          <w:color w:val="000000"/>
          <w:sz w:val="24"/>
        </w:rPr>
        <w:t>被审计</w:t>
      </w:r>
      <w:r>
        <w:rPr>
          <w:rFonts w:hint="eastAsia"/>
          <w:color w:val="000000"/>
          <w:sz w:val="24"/>
          <w:lang w:val="en-US" w:eastAsia="zh-CN"/>
        </w:rPr>
        <w:t>对象</w:t>
      </w:r>
      <w:r>
        <w:rPr>
          <w:rFonts w:hint="eastAsia" w:ascii="宋体" w:hAnsi="宋体" w:eastAsia="宋体"/>
          <w:color w:val="000000"/>
          <w:sz w:val="24"/>
        </w:rPr>
        <w:t>按审计通知书准备相关资料，并提供必要的工作条件。</w:t>
      </w:r>
    </w:p>
    <w:p w14:paraId="4571C8D8">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审计通知书应当在实施审计前</w:t>
      </w:r>
      <w:r>
        <w:rPr>
          <w:rFonts w:hint="default" w:ascii="Times New Roman" w:hAnsi="Times New Roman" w:eastAsia="宋体" w:cs="Times New Roman"/>
          <w:color w:val="000000"/>
          <w:sz w:val="24"/>
        </w:rPr>
        <w:t>3</w:t>
      </w:r>
      <w:r>
        <w:rPr>
          <w:rFonts w:hint="eastAsia" w:ascii="宋体" w:hAnsi="宋体" w:eastAsia="宋体"/>
          <w:color w:val="000000"/>
          <w:sz w:val="24"/>
        </w:rPr>
        <w:t>个工作日向被审计</w:t>
      </w:r>
      <w:r>
        <w:rPr>
          <w:rFonts w:hint="eastAsia"/>
          <w:color w:val="000000"/>
          <w:sz w:val="24"/>
          <w:lang w:val="en-US" w:eastAsia="zh-CN"/>
        </w:rPr>
        <w:t>对象</w:t>
      </w:r>
      <w:r>
        <w:rPr>
          <w:rFonts w:hint="eastAsia" w:ascii="宋体" w:hAnsi="宋体" w:eastAsia="宋体"/>
          <w:color w:val="000000"/>
          <w:sz w:val="24"/>
        </w:rPr>
        <w:t>送达，对于需要突击执行审计的特殊业务，审计通知书可在实施审计时送达。</w:t>
      </w:r>
    </w:p>
    <w:p w14:paraId="3932D585">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审计过程中要</w:t>
      </w:r>
      <w:r>
        <w:rPr>
          <w:rFonts w:hint="eastAsia" w:ascii="宋体" w:hAnsi="宋体" w:eastAsia="宋体"/>
          <w:color w:val="000000"/>
          <w:sz w:val="24"/>
          <w:lang w:eastAsia="zh-CN"/>
        </w:rPr>
        <w:t>做好</w:t>
      </w:r>
      <w:r>
        <w:rPr>
          <w:rFonts w:hint="eastAsia" w:ascii="宋体" w:hAnsi="宋体" w:eastAsia="宋体"/>
          <w:color w:val="000000"/>
          <w:sz w:val="24"/>
        </w:rPr>
        <w:t>审计记录，收集有关审计证据，编制审计工作底稿。</w:t>
      </w:r>
    </w:p>
    <w:p w14:paraId="2CB66DA6">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内部审计人员在出具审计报告前，应当与被审计</w:t>
      </w:r>
      <w:r>
        <w:rPr>
          <w:rFonts w:hint="eastAsia"/>
          <w:color w:val="000000"/>
          <w:sz w:val="24"/>
          <w:lang w:val="en-US" w:eastAsia="zh-CN"/>
        </w:rPr>
        <w:t>对象</w:t>
      </w:r>
      <w:r>
        <w:rPr>
          <w:rFonts w:hint="eastAsia" w:ascii="宋体" w:hAnsi="宋体" w:eastAsia="宋体"/>
          <w:color w:val="000000"/>
          <w:sz w:val="24"/>
        </w:rPr>
        <w:t>负责人交换审计意见，被审计</w:t>
      </w:r>
      <w:r>
        <w:rPr>
          <w:rFonts w:hint="eastAsia"/>
          <w:color w:val="000000"/>
          <w:sz w:val="24"/>
          <w:lang w:val="en-US" w:eastAsia="zh-CN"/>
        </w:rPr>
        <w:t>对象</w:t>
      </w:r>
      <w:r>
        <w:rPr>
          <w:rFonts w:hint="eastAsia" w:ascii="宋体" w:hAnsi="宋体" w:eastAsia="宋体"/>
          <w:color w:val="000000"/>
          <w:sz w:val="24"/>
        </w:rPr>
        <w:t>自接到审计报告</w:t>
      </w:r>
      <w:r>
        <w:rPr>
          <w:rFonts w:hint="eastAsia"/>
          <w:color w:val="000000"/>
          <w:sz w:val="24"/>
          <w:lang w:eastAsia="zh-CN"/>
        </w:rPr>
        <w:t>（</w:t>
      </w:r>
      <w:r>
        <w:rPr>
          <w:rFonts w:hint="eastAsia" w:ascii="宋体" w:hAnsi="宋体" w:eastAsia="宋体"/>
          <w:color w:val="000000"/>
          <w:sz w:val="24"/>
        </w:rPr>
        <w:t>交换意见稿</w:t>
      </w:r>
      <w:r>
        <w:rPr>
          <w:rFonts w:hint="eastAsia"/>
          <w:color w:val="000000"/>
          <w:sz w:val="24"/>
          <w:lang w:eastAsia="zh-CN"/>
        </w:rPr>
        <w:t>）</w:t>
      </w:r>
      <w:r>
        <w:rPr>
          <w:rFonts w:hint="eastAsia" w:ascii="宋体" w:hAnsi="宋体" w:eastAsia="宋体"/>
          <w:color w:val="000000"/>
          <w:sz w:val="24"/>
        </w:rPr>
        <w:t>之日起</w:t>
      </w:r>
      <w:r>
        <w:rPr>
          <w:rFonts w:hint="default" w:ascii="Times New Roman" w:hAnsi="Times New Roman" w:eastAsia="宋体" w:cs="Times New Roman"/>
          <w:color w:val="000000"/>
          <w:sz w:val="24"/>
        </w:rPr>
        <w:t>5</w:t>
      </w:r>
      <w:r>
        <w:rPr>
          <w:rFonts w:hint="eastAsia" w:ascii="宋体" w:hAnsi="宋体" w:eastAsia="宋体"/>
          <w:color w:val="000000"/>
          <w:sz w:val="24"/>
        </w:rPr>
        <w:t>个工作日内提出书面反馈意见和整改计划，逾期不提出的，视为无异议</w:t>
      </w:r>
      <w:r>
        <w:rPr>
          <w:rFonts w:hint="eastAsia"/>
          <w:color w:val="000000"/>
          <w:sz w:val="24"/>
          <w:lang w:eastAsia="zh-CN"/>
        </w:rPr>
        <w:t>；</w:t>
      </w:r>
      <w:r>
        <w:rPr>
          <w:rFonts w:hint="eastAsia" w:ascii="宋体" w:hAnsi="宋体" w:eastAsia="宋体"/>
          <w:color w:val="000000"/>
          <w:sz w:val="24"/>
        </w:rPr>
        <w:t>被审计</w:t>
      </w:r>
      <w:r>
        <w:rPr>
          <w:rFonts w:hint="eastAsia"/>
          <w:color w:val="000000"/>
          <w:sz w:val="24"/>
          <w:lang w:val="en-US" w:eastAsia="zh-CN"/>
        </w:rPr>
        <w:t>对象</w:t>
      </w:r>
      <w:r>
        <w:rPr>
          <w:rFonts w:hint="eastAsia" w:ascii="宋体" w:hAnsi="宋体" w:eastAsia="宋体"/>
          <w:color w:val="000000"/>
          <w:sz w:val="24"/>
        </w:rPr>
        <w:t>若对审计报告有异议且无法协调时，内审部应当将审计报告与被审计</w:t>
      </w:r>
      <w:r>
        <w:rPr>
          <w:rFonts w:hint="eastAsia"/>
          <w:color w:val="000000"/>
          <w:sz w:val="24"/>
          <w:lang w:val="en-US" w:eastAsia="zh-CN"/>
        </w:rPr>
        <w:t>对象</w:t>
      </w:r>
      <w:r>
        <w:rPr>
          <w:rFonts w:hint="eastAsia" w:ascii="宋体" w:hAnsi="宋体" w:eastAsia="宋体"/>
          <w:color w:val="000000"/>
          <w:sz w:val="24"/>
        </w:rPr>
        <w:t>意见一并报审计委员会协调处理。</w:t>
      </w:r>
    </w:p>
    <w:p w14:paraId="6D993804">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审计结果在征求被审计</w:t>
      </w:r>
      <w:r>
        <w:rPr>
          <w:rFonts w:hint="eastAsia"/>
          <w:color w:val="000000"/>
          <w:sz w:val="24"/>
          <w:lang w:val="en-US" w:eastAsia="zh-CN"/>
        </w:rPr>
        <w:t>对象</w:t>
      </w:r>
      <w:r>
        <w:rPr>
          <w:rFonts w:hint="eastAsia" w:ascii="宋体" w:hAnsi="宋体" w:eastAsia="宋体"/>
          <w:color w:val="000000"/>
          <w:sz w:val="24"/>
        </w:rPr>
        <w:t>意见后，内部审计人员整理好有关证据形成正式书面审计报告并向审计委员会、公司管理层汇报，督促有关责任部门落实整改。</w:t>
      </w:r>
    </w:p>
    <w:p w14:paraId="2A06F2EE">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被审计</w:t>
      </w:r>
      <w:r>
        <w:rPr>
          <w:rFonts w:hint="eastAsia"/>
          <w:color w:val="000000"/>
          <w:sz w:val="24"/>
          <w:lang w:val="en-US" w:eastAsia="zh-CN"/>
        </w:rPr>
        <w:t>对象</w:t>
      </w:r>
      <w:r>
        <w:rPr>
          <w:rFonts w:hint="eastAsia" w:ascii="宋体" w:hAnsi="宋体" w:eastAsia="宋体"/>
          <w:color w:val="000000"/>
          <w:sz w:val="24"/>
        </w:rPr>
        <w:t>根据审计沟通结果限期整改，逐条落实整改措施，并将落实情况报</w:t>
      </w:r>
      <w:r>
        <w:rPr>
          <w:rFonts w:hint="eastAsia"/>
          <w:color w:val="000000"/>
          <w:sz w:val="24"/>
          <w:lang w:val="en-US" w:eastAsia="zh-CN"/>
        </w:rPr>
        <w:t>送内审部</w:t>
      </w:r>
      <w:r>
        <w:rPr>
          <w:rFonts w:hint="eastAsia" w:ascii="宋体" w:hAnsi="宋体" w:eastAsia="宋体"/>
          <w:color w:val="000000"/>
          <w:sz w:val="24"/>
        </w:rPr>
        <w:t>，内审部</w:t>
      </w:r>
      <w:r>
        <w:rPr>
          <w:rFonts w:hint="eastAsia"/>
          <w:color w:val="000000"/>
          <w:sz w:val="24"/>
          <w:lang w:val="en-US" w:eastAsia="zh-CN"/>
        </w:rPr>
        <w:t>可以适时</w:t>
      </w:r>
      <w:r>
        <w:rPr>
          <w:rFonts w:hint="eastAsia" w:ascii="宋体" w:hAnsi="宋体" w:eastAsia="宋体"/>
          <w:color w:val="000000"/>
          <w:sz w:val="24"/>
        </w:rPr>
        <w:t>对整改情况进行复查</w:t>
      </w:r>
      <w:r>
        <w:rPr>
          <w:rFonts w:hint="eastAsia"/>
          <w:color w:val="000000"/>
          <w:sz w:val="24"/>
          <w:lang w:val="en-US" w:eastAsia="zh-CN"/>
        </w:rPr>
        <w:t>或开展后续审计</w:t>
      </w:r>
      <w:r>
        <w:rPr>
          <w:rFonts w:hint="eastAsia" w:ascii="宋体" w:hAnsi="宋体" w:eastAsia="宋体"/>
          <w:color w:val="000000"/>
          <w:sz w:val="24"/>
        </w:rPr>
        <w:t>。</w:t>
      </w:r>
    </w:p>
    <w:p w14:paraId="28147DAC">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审计项目结束后，审计人员应及时对该项目进行审计资料的整理归档。审计报告与审计意见书属公司内部(保密)资料，未经公司总经理或公司主管领导同意，任何单位和个人均不得对外泄露或发布信息。</w:t>
      </w:r>
    </w:p>
    <w:p w14:paraId="41D281C6">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内审部应当以业务环节为基础开展审计工作，</w:t>
      </w:r>
      <w:r>
        <w:rPr>
          <w:rFonts w:ascii="宋体" w:hAnsi="宋体" w:eastAsia="宋体"/>
          <w:color w:val="000000"/>
          <w:sz w:val="24"/>
        </w:rPr>
        <w:t>按照有关规定实施适当的审查程序，评价公司内部控制的有效性，并至少每年向审计委员会提交一次内部控制评价报告。</w:t>
      </w:r>
      <w:r>
        <w:rPr>
          <w:rFonts w:hint="eastAsia" w:ascii="宋体" w:hAnsi="宋体" w:eastAsia="宋体"/>
          <w:color w:val="000000"/>
          <w:sz w:val="24"/>
        </w:rPr>
        <w:t>评价报告应当说明审查和评价内部控制的目的、范围、审查结论及对改善内部控制的建议。</w:t>
      </w:r>
    </w:p>
    <w:p w14:paraId="30E9B0BA">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w:t>
      </w:r>
      <w:r>
        <w:rPr>
          <w:rFonts w:ascii="宋体" w:hAnsi="宋体" w:eastAsia="宋体"/>
          <w:color w:val="000000"/>
          <w:sz w:val="24"/>
        </w:rPr>
        <w:t>内审部</w:t>
      </w:r>
      <w:r>
        <w:rPr>
          <w:rFonts w:hint="eastAsia" w:ascii="宋体" w:hAnsi="宋体" w:eastAsia="宋体"/>
          <w:color w:val="000000"/>
          <w:sz w:val="24"/>
        </w:rPr>
        <w:t>对审查过程中发现的内部控制缺陷，应当督促相关责任部门制定整改措施和整改时间，并进行内部控制的后续审查，监督整改措施的落实情况。内审部负责人应当适时安排内部控制的后续审查工作，并将其纳入年度内部审计工作计划。</w:t>
      </w:r>
    </w:p>
    <w:p w14:paraId="01E081EB">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内审部在审查过程中如发现内部控制存在重大缺陷或重大风险，应当及时向审计委员会报告。</w:t>
      </w:r>
    </w:p>
    <w:p w14:paraId="724D1D4A">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审计委员会应当督导内审部至少每半年对下列事项进行一次检查，出具检查报告并提交审计委员会：</w:t>
      </w:r>
    </w:p>
    <w:p w14:paraId="36B1397D">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（一）公司募集资金使用、提供担保、关联交易、证券投资与衍生品交易等高风险投资、提供财务资助、购买或者出售资产、对外投资等重大事件的实施情况；</w:t>
      </w:r>
    </w:p>
    <w:p w14:paraId="7B61AA3D">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（二）公司大额资金往来以及与董事、高级管理人员、控股股东、实际控制人及其关联人资金往来情况。</w:t>
      </w:r>
    </w:p>
    <w:p w14:paraId="5AA48754">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内审部应当在重要的对外投资事项发生后及时进行审计。在审计对外投资事项时，应当重点关注以下内容：</w:t>
      </w:r>
    </w:p>
    <w:p w14:paraId="74E87E20">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（一）对外投资是否按照有关规定履行审批程序；</w:t>
      </w:r>
    </w:p>
    <w:p w14:paraId="6A6BFA87">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（二）是否按照审批内容订立合同，合同是否正常履行；</w:t>
      </w:r>
    </w:p>
    <w:p w14:paraId="3AB567CE">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（三）是否指派专人或成立专门机构负责研究和评估重大投资项目的可行性、投资风险和投资收益，并跟踪监督重大投资项目的进展情况；</w:t>
      </w:r>
    </w:p>
    <w:p w14:paraId="292233C1">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（四）涉及委托理财事项的，关注公司是否将委托理财审批</w:t>
      </w:r>
      <w:r>
        <w:rPr>
          <w:rFonts w:hint="eastAsia" w:ascii="宋体" w:hAnsi="宋体" w:eastAsia="宋体"/>
          <w:color w:val="000000"/>
          <w:sz w:val="24"/>
          <w:lang w:val="en-US" w:eastAsia="zh-CN"/>
        </w:rPr>
        <w:t>权限</w:t>
      </w:r>
      <w:r>
        <w:rPr>
          <w:rFonts w:hint="eastAsia" w:ascii="宋体" w:hAnsi="宋体" w:eastAsia="宋体"/>
          <w:color w:val="000000"/>
          <w:sz w:val="24"/>
        </w:rPr>
        <w:t>授予公司董事个人或经营管理层行使，受托方诚信记录、经营状况和财务状况是否良好，是否指派专人跟踪监督委托理财的进展情况；</w:t>
      </w:r>
    </w:p>
    <w:p w14:paraId="20282B89">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五）涉及证券投资事项的，关注公司是否针对证券投资行为建立专门内部控制制度，投资规模是否影响公司正常经营，资金来源是否为自有资金，投资风险是否超出公司可承受范围，是否使用他人账户或向他人提供资金进行证券投资，独立董事和保荐人(包括保荐机构和保荐代表人，下同)是否发表意见(如适用)。</w:t>
      </w:r>
    </w:p>
    <w:p w14:paraId="401AF7FE">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内审部应当在重要的购买和出售资产事项发生后及时进行审计。在审计购买和出售资产事项时，应当重点关注以下内容：</w:t>
      </w:r>
    </w:p>
    <w:p w14:paraId="6F46A292">
      <w:pPr>
        <w:keepNext w:val="0"/>
        <w:keepLines w:val="0"/>
        <w:pageBreakBefore w:val="0"/>
        <w:widowControl w:val="0"/>
        <w:numPr>
          <w:ilvl w:val="0"/>
          <w:numId w:val="4"/>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购买和出售资产是否按照有关规定履行审批程序；</w:t>
      </w:r>
    </w:p>
    <w:p w14:paraId="6F594BFC">
      <w:pPr>
        <w:keepNext w:val="0"/>
        <w:keepLines w:val="0"/>
        <w:pageBreakBefore w:val="0"/>
        <w:widowControl w:val="0"/>
        <w:numPr>
          <w:ilvl w:val="0"/>
          <w:numId w:val="4"/>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是否按照审批内容订立合同，合同是否正常履行；</w:t>
      </w:r>
    </w:p>
    <w:p w14:paraId="0B4414B2">
      <w:pPr>
        <w:keepNext w:val="0"/>
        <w:keepLines w:val="0"/>
        <w:pageBreakBefore w:val="0"/>
        <w:widowControl w:val="0"/>
        <w:numPr>
          <w:ilvl w:val="0"/>
          <w:numId w:val="4"/>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购入资产的运营状况是否与预期一致；</w:t>
      </w:r>
    </w:p>
    <w:p w14:paraId="5ADDD29F">
      <w:pPr>
        <w:keepNext w:val="0"/>
        <w:keepLines w:val="0"/>
        <w:pageBreakBefore w:val="0"/>
        <w:widowControl w:val="0"/>
        <w:numPr>
          <w:ilvl w:val="0"/>
          <w:numId w:val="4"/>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购入资产有无设定担保、抵押、质押及其他限制转让的情况，是否涉及诉讼、仲裁及其他重大争议事项。</w:t>
      </w:r>
    </w:p>
    <w:p w14:paraId="0AE60730">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内审部应当在重要的对外担保事项发生后及时进行审计。在审计对外担保事项时，应当重点关注以下内容：</w:t>
      </w:r>
    </w:p>
    <w:p w14:paraId="2A151BB1">
      <w:pPr>
        <w:keepNext w:val="0"/>
        <w:keepLines w:val="0"/>
        <w:pageBreakBefore w:val="0"/>
        <w:widowControl w:val="0"/>
        <w:numPr>
          <w:ilvl w:val="0"/>
          <w:numId w:val="5"/>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对外担保是否按照有关规定履行审批程序；</w:t>
      </w:r>
    </w:p>
    <w:p w14:paraId="67FF51B3">
      <w:pPr>
        <w:keepNext w:val="0"/>
        <w:keepLines w:val="0"/>
        <w:pageBreakBefore w:val="0"/>
        <w:widowControl w:val="0"/>
        <w:numPr>
          <w:ilvl w:val="0"/>
          <w:numId w:val="5"/>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担保风险是否超出公司可承受范围，被担保方的诚信记录、经营状况和财务状况是否良好；</w:t>
      </w:r>
    </w:p>
    <w:p w14:paraId="4DDD74E7">
      <w:pPr>
        <w:keepNext w:val="0"/>
        <w:keepLines w:val="0"/>
        <w:pageBreakBefore w:val="0"/>
        <w:widowControl w:val="0"/>
        <w:numPr>
          <w:ilvl w:val="0"/>
          <w:numId w:val="5"/>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被担保方是否提供反担保，反担保是否具有可实施性；</w:t>
      </w:r>
    </w:p>
    <w:p w14:paraId="33C98CF8">
      <w:pPr>
        <w:keepNext w:val="0"/>
        <w:keepLines w:val="0"/>
        <w:pageBreakBefore w:val="0"/>
        <w:widowControl w:val="0"/>
        <w:numPr>
          <w:ilvl w:val="0"/>
          <w:numId w:val="5"/>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独立董事和保荐人是否发表意见(如适用)；</w:t>
      </w:r>
    </w:p>
    <w:p w14:paraId="0DD9BA1F">
      <w:pPr>
        <w:keepNext w:val="0"/>
        <w:keepLines w:val="0"/>
        <w:pageBreakBefore w:val="0"/>
        <w:widowControl w:val="0"/>
        <w:numPr>
          <w:ilvl w:val="0"/>
          <w:numId w:val="5"/>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是否指派专人持续关注被担保方的经营状况和财务状况。</w:t>
      </w:r>
    </w:p>
    <w:p w14:paraId="74C5EEB5">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内审部应当在重要的关联交易事项发生后及时进行审计。在审计关联交易事项时，应当重点关注以下内容：</w:t>
      </w:r>
    </w:p>
    <w:p w14:paraId="62595BF5">
      <w:pPr>
        <w:keepNext w:val="0"/>
        <w:keepLines w:val="0"/>
        <w:pageBreakBefore w:val="0"/>
        <w:widowControl w:val="0"/>
        <w:numPr>
          <w:ilvl w:val="0"/>
          <w:numId w:val="6"/>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是否确定关联方名单，并及时予以更新；</w:t>
      </w:r>
    </w:p>
    <w:p w14:paraId="45B785BD">
      <w:pPr>
        <w:keepNext w:val="0"/>
        <w:keepLines w:val="0"/>
        <w:pageBreakBefore w:val="0"/>
        <w:widowControl w:val="0"/>
        <w:numPr>
          <w:ilvl w:val="0"/>
          <w:numId w:val="6"/>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关联交易是否按照有关规定履行审批程序，审议关联交易时关联股东或关联董事是否回避表决；</w:t>
      </w:r>
    </w:p>
    <w:p w14:paraId="7FF22FF7">
      <w:pPr>
        <w:keepNext w:val="0"/>
        <w:keepLines w:val="0"/>
        <w:pageBreakBefore w:val="0"/>
        <w:widowControl w:val="0"/>
        <w:numPr>
          <w:ilvl w:val="0"/>
          <w:numId w:val="6"/>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独立董事是否事前认可并发表独立意见，保荐人是否发表意见(如适用)；</w:t>
      </w:r>
    </w:p>
    <w:p w14:paraId="3AB6F06F">
      <w:pPr>
        <w:keepNext w:val="0"/>
        <w:keepLines w:val="0"/>
        <w:pageBreakBefore w:val="0"/>
        <w:widowControl w:val="0"/>
        <w:numPr>
          <w:ilvl w:val="0"/>
          <w:numId w:val="6"/>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关联交易是否签订书面协议，交易双方的权利义务及法律责任是否明确；</w:t>
      </w:r>
    </w:p>
    <w:p w14:paraId="1E321918">
      <w:pPr>
        <w:keepNext w:val="0"/>
        <w:keepLines w:val="0"/>
        <w:pageBreakBefore w:val="0"/>
        <w:widowControl w:val="0"/>
        <w:numPr>
          <w:ilvl w:val="0"/>
          <w:numId w:val="6"/>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交易标的有无设定担保、抵押、质押及其他限制转让的情况，是否涉及诉讼、仲裁及其他重大争议事项；</w:t>
      </w:r>
    </w:p>
    <w:p w14:paraId="7DA04674">
      <w:pPr>
        <w:keepNext w:val="0"/>
        <w:keepLines w:val="0"/>
        <w:pageBreakBefore w:val="0"/>
        <w:widowControl w:val="0"/>
        <w:numPr>
          <w:ilvl w:val="0"/>
          <w:numId w:val="6"/>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交易对手方的诚信记录、经营状况和财务状况是否良好；</w:t>
      </w:r>
    </w:p>
    <w:p w14:paraId="77C1D1BD">
      <w:pPr>
        <w:keepNext w:val="0"/>
        <w:keepLines w:val="0"/>
        <w:pageBreakBefore w:val="0"/>
        <w:widowControl w:val="0"/>
        <w:numPr>
          <w:ilvl w:val="0"/>
          <w:numId w:val="6"/>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关联交易定价是否公允，是否已按照有关规定对交易标的进行审计或评估，关联交易是否会侵占上市公司利益。</w:t>
      </w:r>
    </w:p>
    <w:p w14:paraId="619830E0">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b w:val="0"/>
          <w:bCs w:val="0"/>
          <w:color w:val="000000"/>
          <w:sz w:val="24"/>
          <w:lang w:val="en-US" w:eastAsia="zh-CN"/>
        </w:rPr>
        <w:t>公司存在募集资金尚未使用完毕时，</w:t>
      </w:r>
      <w:r>
        <w:rPr>
          <w:rFonts w:hint="eastAsia" w:ascii="宋体" w:hAnsi="宋体" w:eastAsia="宋体"/>
          <w:color w:val="000000"/>
          <w:sz w:val="24"/>
        </w:rPr>
        <w:t>内审部应当至少每半年对募集资金的存放与使用情况进行一次审计，并对募集资金使用的真实性和合规性发表意见。在审计募集资金使用情况时，应当重点关注以下内容：</w:t>
      </w:r>
    </w:p>
    <w:p w14:paraId="1432C553">
      <w:pPr>
        <w:keepNext w:val="0"/>
        <w:keepLines w:val="0"/>
        <w:pageBreakBefore w:val="0"/>
        <w:widowControl w:val="0"/>
        <w:numPr>
          <w:ilvl w:val="0"/>
          <w:numId w:val="7"/>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募集资金是否存放于董事会决定的专项账户集中管理，公司是否与存放募集资金的商业银行、保荐人签订三方监管协议；</w:t>
      </w:r>
    </w:p>
    <w:p w14:paraId="48DF1733">
      <w:pPr>
        <w:keepNext w:val="0"/>
        <w:keepLines w:val="0"/>
        <w:pageBreakBefore w:val="0"/>
        <w:widowControl w:val="0"/>
        <w:numPr>
          <w:ilvl w:val="0"/>
          <w:numId w:val="7"/>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是否按照发行申请文件中承诺的募集资金投资计划使用募集资金，募集资金项目投资进度是否符合计划进度，投资收益是否与预期相符；</w:t>
      </w:r>
    </w:p>
    <w:p w14:paraId="6AC03EDE">
      <w:pPr>
        <w:keepNext w:val="0"/>
        <w:keepLines w:val="0"/>
        <w:pageBreakBefore w:val="0"/>
        <w:widowControl w:val="0"/>
        <w:numPr>
          <w:ilvl w:val="0"/>
          <w:numId w:val="7"/>
        </w:numPr>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是否将募集资金用于质押、委托贷款或其他变相改变募集资金用途的投资，募集资金是否存在被占用或挪用现象；</w:t>
      </w:r>
    </w:p>
    <w:p w14:paraId="07166B88">
      <w:pPr>
        <w:keepNext w:val="0"/>
        <w:keepLines w:val="0"/>
        <w:pageBreakBefore w:val="0"/>
        <w:widowControl w:val="0"/>
        <w:numPr>
          <w:ilvl w:val="0"/>
          <w:numId w:val="7"/>
        </w:numPr>
        <w:kinsoku/>
        <w:wordWrap/>
        <w:overflowPunct/>
        <w:topLinePunct w:val="0"/>
        <w:bidi w:val="0"/>
        <w:adjustRightInd/>
        <w:snapToGrid/>
        <w:spacing w:after="0" w:line="500" w:lineRule="exact"/>
        <w:ind w:firstLine="480" w:firstLineChars="200"/>
        <w:jc w:val="both"/>
        <w:textAlignment w:val="auto"/>
        <w:rPr>
          <w:rFonts w:ascii="宋体" w:hAnsi="宋体" w:eastAsia="宋体"/>
          <w:color w:val="000000"/>
          <w:sz w:val="24"/>
        </w:rPr>
      </w:pPr>
      <w:r>
        <w:rPr>
          <w:rFonts w:hint="eastAsia" w:ascii="宋体" w:hAnsi="宋体" w:eastAsia="宋体"/>
          <w:color w:val="000000"/>
          <w:sz w:val="24"/>
        </w:rPr>
        <w:t>发生以募集资金置换预先已投入募集资金项目的自有资金、用闲置募集资金暂时补充流动资金、变更募集资金投向等事项时，是否按照有关规定履行审批程序和信息披露义务，独立董事和保荐人是否按照有关规定发表意见。</w:t>
      </w:r>
    </w:p>
    <w:p w14:paraId="7BBC6CC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第</w:t>
      </w:r>
      <w:r>
        <w:rPr>
          <w:rFonts w:hint="eastAsia" w:ascii="宋体" w:hAnsi="宋体" w:eastAsia="宋体"/>
          <w:b/>
          <w:bCs/>
          <w:color w:val="000000"/>
          <w:sz w:val="24"/>
          <w:szCs w:val="24"/>
          <w:lang w:val="en-US" w:eastAsia="zh-CN"/>
        </w:rPr>
        <w:t>五</w:t>
      </w:r>
      <w:r>
        <w:rPr>
          <w:rFonts w:hint="eastAsia" w:ascii="宋体" w:hAnsi="宋体" w:eastAsia="宋体"/>
          <w:b/>
          <w:bCs/>
          <w:color w:val="000000"/>
          <w:sz w:val="24"/>
          <w:szCs w:val="24"/>
        </w:rPr>
        <w:t>章 信息披露</w:t>
      </w:r>
    </w:p>
    <w:p w14:paraId="577707A5">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0" w:beforeLines="0" w:after="0" w:afterLines="0" w:line="500" w:lineRule="exact"/>
        <w:ind w:firstLine="482" w:firstLineChars="0"/>
        <w:textAlignment w:val="auto"/>
        <w:rPr>
          <w:rFonts w:hint="eastAsia" w:ascii="宋体" w:hAnsi="宋体" w:eastAsia="宋体"/>
          <w:color w:val="000000"/>
          <w:sz w:val="24"/>
        </w:rPr>
      </w:pPr>
      <w:r>
        <w:rPr>
          <w:rFonts w:hint="eastAsia" w:ascii="宋体" w:hAnsi="宋体" w:eastAsia="宋体"/>
          <w:color w:val="000000"/>
          <w:sz w:val="24"/>
        </w:rPr>
        <w:t xml:space="preserve"> 公司内部控制评价的具体组织实施工作由内审部负责。公司根据内审部出具、审计委员会审议后的评价报告及相关资料，出具年度内部控制评价报告。内部控制评价报告至少应当包括下列内容：</w:t>
      </w:r>
    </w:p>
    <w:p w14:paraId="7B1B7274">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（一）董事会对内部控制报告真实性的声明；</w:t>
      </w:r>
    </w:p>
    <w:p w14:paraId="6E2AEEDA">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（二）内部控制评价工作的总体情况；</w:t>
      </w:r>
    </w:p>
    <w:p w14:paraId="2470CFDF">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（三）内部控制评价的依据、范围、程序和方法；</w:t>
      </w:r>
    </w:p>
    <w:p w14:paraId="1197F41D">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（四）内部控制存在的缺陷及其认定情况；</w:t>
      </w:r>
    </w:p>
    <w:p w14:paraId="43025302">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（五）对上一年度内部控制缺陷的整改情况；</w:t>
      </w:r>
    </w:p>
    <w:p w14:paraId="1F5C5B68">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（六）对本年度内部控制缺陷拟采取的整改措施；</w:t>
      </w:r>
    </w:p>
    <w:p w14:paraId="41674029">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（七）内部控制有效性的结论。</w:t>
      </w:r>
    </w:p>
    <w:p w14:paraId="5E2739C4">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公司董事会应当在审议年度报告的同时，对内部控制评价报告形成决议，内部控制评价报告应当经审计委员会全体成员过半数同意后提交董事会审议。</w:t>
      </w:r>
    </w:p>
    <w:p w14:paraId="3AE1CE0A">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公司每年聘请会计师事务所对其内部控制有效性进行审计。公司在披露年度报告的同时，披露经董事会批准的公司内部控制评价报告以及会计师事务所出具的内部控制审计报告。</w:t>
      </w:r>
    </w:p>
    <w:p w14:paraId="0BE3B100">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如会计师事务所对公司内部控制有效性出具非</w:t>
      </w:r>
      <w:r>
        <w:rPr>
          <w:rFonts w:hint="eastAsia"/>
          <w:color w:val="000000"/>
          <w:sz w:val="24"/>
          <w:lang w:val="en-US" w:eastAsia="zh-CN"/>
        </w:rPr>
        <w:t>标准</w:t>
      </w:r>
      <w:r>
        <w:rPr>
          <w:rFonts w:hint="eastAsia" w:ascii="宋体" w:hAnsi="宋体" w:eastAsia="宋体"/>
          <w:color w:val="000000"/>
          <w:sz w:val="24"/>
        </w:rPr>
        <w:t>无保留意见审计报告的，公司董事会应当针对审计结论涉及事项</w:t>
      </w:r>
      <w:r>
        <w:rPr>
          <w:rFonts w:hint="eastAsia"/>
          <w:color w:val="000000"/>
          <w:sz w:val="24"/>
          <w:lang w:eastAsia="zh-CN"/>
        </w:rPr>
        <w:t>作出</w:t>
      </w:r>
      <w:r>
        <w:rPr>
          <w:rFonts w:hint="eastAsia" w:ascii="宋体" w:hAnsi="宋体" w:eastAsia="宋体"/>
          <w:color w:val="000000"/>
          <w:sz w:val="24"/>
        </w:rPr>
        <w:t>专项说明，</w:t>
      </w:r>
      <w:r>
        <w:rPr>
          <w:rFonts w:hint="eastAsia"/>
          <w:color w:val="000000"/>
          <w:sz w:val="24"/>
          <w:lang w:val="en-US" w:eastAsia="zh-CN"/>
        </w:rPr>
        <w:t>内容</w:t>
      </w:r>
      <w:r>
        <w:rPr>
          <w:rFonts w:hint="eastAsia" w:ascii="宋体" w:hAnsi="宋体" w:eastAsia="宋体"/>
          <w:color w:val="000000"/>
          <w:sz w:val="24"/>
        </w:rPr>
        <w:t>至少应当包括：</w:t>
      </w:r>
    </w:p>
    <w:p w14:paraId="390A0293">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（一）审计结论涉及事项的基本情况；</w:t>
      </w:r>
    </w:p>
    <w:p w14:paraId="5011965F">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（二）该事项对公司内部控制有效性的影响程度；</w:t>
      </w:r>
    </w:p>
    <w:p w14:paraId="4DC2939A">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（三）公司董事会、审计委员会对该事项的意见、所依据的材料；</w:t>
      </w:r>
    </w:p>
    <w:p w14:paraId="2F63C310">
      <w:pPr>
        <w:keepNext w:val="0"/>
        <w:keepLines w:val="0"/>
        <w:pageBreakBefore w:val="0"/>
        <w:widowControl w:val="0"/>
        <w:kinsoku/>
        <w:wordWrap/>
        <w:overflowPunct/>
        <w:topLinePunct w:val="0"/>
        <w:bidi w:val="0"/>
        <w:adjustRightInd/>
        <w:snapToGrid/>
        <w:spacing w:after="0" w:line="500" w:lineRule="exact"/>
        <w:ind w:firstLine="480" w:firstLineChars="200"/>
        <w:jc w:val="both"/>
        <w:textAlignment w:val="auto"/>
        <w:rPr>
          <w:rFonts w:hint="eastAsia" w:ascii="宋体" w:hAnsi="宋体" w:eastAsia="宋体"/>
          <w:color w:val="000000"/>
          <w:sz w:val="24"/>
        </w:rPr>
      </w:pPr>
      <w:r>
        <w:rPr>
          <w:rFonts w:hint="eastAsia" w:ascii="宋体" w:hAnsi="宋体" w:eastAsia="宋体"/>
          <w:color w:val="000000"/>
          <w:sz w:val="24"/>
        </w:rPr>
        <w:t>（四）消除该事项及其影响的具体措施。</w:t>
      </w:r>
    </w:p>
    <w:p w14:paraId="1F8971CE">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b/>
          <w:bCs/>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公司应当在年度报告披露的同时，在指定网站上披露内部控制评价报告和会计师事务所出具的内部控制审计报告</w:t>
      </w:r>
      <w:r>
        <w:rPr>
          <w:rFonts w:hint="eastAsia"/>
          <w:color w:val="000000"/>
          <w:sz w:val="24"/>
          <w:lang w:eastAsia="zh-CN"/>
        </w:rPr>
        <w:t>，</w:t>
      </w:r>
      <w:r>
        <w:rPr>
          <w:rFonts w:hint="eastAsia" w:ascii="宋体" w:hAnsi="宋体" w:eastAsia="宋体"/>
          <w:color w:val="000000"/>
          <w:sz w:val="24"/>
        </w:rPr>
        <w:t>法律法规另有规定的除外。</w:t>
      </w:r>
    </w:p>
    <w:p w14:paraId="6ADB50A2">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第</w:t>
      </w:r>
      <w:r>
        <w:rPr>
          <w:rFonts w:hint="eastAsia" w:ascii="宋体" w:hAnsi="宋体" w:eastAsia="宋体"/>
          <w:b/>
          <w:bCs/>
          <w:color w:val="000000"/>
          <w:sz w:val="24"/>
          <w:szCs w:val="24"/>
          <w:lang w:val="en-US" w:eastAsia="zh-CN"/>
        </w:rPr>
        <w:t>六</w:t>
      </w:r>
      <w:r>
        <w:rPr>
          <w:rFonts w:hint="eastAsia" w:ascii="宋体" w:hAnsi="宋体" w:eastAsia="宋体"/>
          <w:b/>
          <w:bCs/>
          <w:color w:val="000000"/>
          <w:sz w:val="24"/>
          <w:szCs w:val="24"/>
        </w:rPr>
        <w:t>章 奖惩</w:t>
      </w:r>
    </w:p>
    <w:p w14:paraId="7AB14AD6">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内审部工作成绩显著和内部审计人员有突出贡献的，公司</w:t>
      </w:r>
      <w:r>
        <w:rPr>
          <w:rFonts w:hint="eastAsia"/>
          <w:color w:val="000000"/>
          <w:sz w:val="24"/>
          <w:lang w:val="en-US" w:eastAsia="zh-CN"/>
        </w:rPr>
        <w:t>可以</w:t>
      </w:r>
      <w:r>
        <w:rPr>
          <w:rFonts w:hint="eastAsia" w:ascii="宋体" w:hAnsi="宋体" w:eastAsia="宋体"/>
          <w:color w:val="000000"/>
          <w:sz w:val="24"/>
        </w:rPr>
        <w:t>给予表彰或奖励。</w:t>
      </w:r>
    </w:p>
    <w:p w14:paraId="6C75C321">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被审计</w:t>
      </w:r>
      <w:r>
        <w:rPr>
          <w:rFonts w:hint="eastAsia"/>
          <w:color w:val="000000"/>
          <w:sz w:val="24"/>
          <w:lang w:val="en-US" w:eastAsia="zh-CN"/>
        </w:rPr>
        <w:t>对象</w:t>
      </w:r>
      <w:r>
        <w:rPr>
          <w:rFonts w:hint="eastAsia" w:ascii="宋体" w:hAnsi="宋体" w:eastAsia="宋体"/>
          <w:color w:val="000000"/>
          <w:sz w:val="24"/>
        </w:rPr>
        <w:t>违反本</w:t>
      </w:r>
      <w:r>
        <w:rPr>
          <w:rFonts w:hint="eastAsia"/>
          <w:color w:val="000000"/>
          <w:sz w:val="24"/>
          <w:lang w:val="en-US" w:eastAsia="zh-CN"/>
        </w:rPr>
        <w:t>制度规定</w:t>
      </w:r>
      <w:r>
        <w:rPr>
          <w:rFonts w:hint="eastAsia" w:ascii="宋体" w:hAnsi="宋体" w:eastAsia="宋体"/>
          <w:color w:val="000000"/>
          <w:sz w:val="24"/>
        </w:rPr>
        <w:t>，存在下列行为之一的，内审部应责令其限期改正</w:t>
      </w:r>
      <w:r>
        <w:rPr>
          <w:rFonts w:hint="eastAsia"/>
          <w:color w:val="000000"/>
          <w:sz w:val="24"/>
          <w:lang w:eastAsia="zh-CN"/>
        </w:rPr>
        <w:t>；</w:t>
      </w:r>
      <w:r>
        <w:rPr>
          <w:rFonts w:hint="eastAsia" w:ascii="宋体" w:hAnsi="宋体" w:eastAsia="宋体"/>
          <w:color w:val="000000"/>
          <w:sz w:val="24"/>
        </w:rPr>
        <w:t>拒不改正的，</w:t>
      </w:r>
      <w:r>
        <w:rPr>
          <w:rFonts w:hint="eastAsia"/>
          <w:color w:val="000000"/>
          <w:sz w:val="24"/>
          <w:lang w:val="en-US" w:eastAsia="zh-CN"/>
        </w:rPr>
        <w:t>内审部可</w:t>
      </w:r>
      <w:r>
        <w:rPr>
          <w:rFonts w:hint="eastAsia" w:ascii="宋体" w:hAnsi="宋体" w:eastAsia="宋体"/>
          <w:color w:val="000000"/>
          <w:sz w:val="24"/>
        </w:rPr>
        <w:t>报请公司总经理按照有关规定处理：</w:t>
      </w:r>
    </w:p>
    <w:p w14:paraId="5FD16C75">
      <w:pPr>
        <w:keepNext w:val="0"/>
        <w:keepLines w:val="0"/>
        <w:pageBreakBefore w:val="0"/>
        <w:widowControl w:val="0"/>
        <w:numPr>
          <w:ilvl w:val="0"/>
          <w:numId w:val="8"/>
        </w:numPr>
        <w:kinsoku/>
        <w:wordWrap/>
        <w:overflowPunct/>
        <w:topLinePunct w:val="0"/>
        <w:bidi w:val="0"/>
        <w:adjustRightInd/>
        <w:snapToGrid/>
        <w:spacing w:after="0" w:line="500" w:lineRule="exact"/>
        <w:ind w:firstLine="480" w:firstLineChars="200"/>
        <w:contextualSpacing/>
        <w:jc w:val="both"/>
        <w:textAlignment w:val="auto"/>
        <w:rPr>
          <w:rFonts w:hint="eastAsia" w:ascii="宋体" w:hAnsi="宋体" w:eastAsia="宋体"/>
          <w:color w:val="000000"/>
          <w:sz w:val="24"/>
        </w:rPr>
      </w:pPr>
      <w:r>
        <w:rPr>
          <w:rFonts w:hint="eastAsia" w:ascii="宋体" w:hAnsi="宋体" w:eastAsia="宋体"/>
          <w:color w:val="000000"/>
          <w:sz w:val="24"/>
        </w:rPr>
        <w:t>拒绝提供或拖延提供与审计事项有关的文件、资料及证明材料的，或者提供虚假资料、阻碍检查的行为；</w:t>
      </w:r>
    </w:p>
    <w:p w14:paraId="0BD9CA7E">
      <w:pPr>
        <w:keepNext w:val="0"/>
        <w:keepLines w:val="0"/>
        <w:pageBreakBefore w:val="0"/>
        <w:widowControl w:val="0"/>
        <w:numPr>
          <w:ilvl w:val="0"/>
          <w:numId w:val="8"/>
        </w:numPr>
        <w:kinsoku/>
        <w:wordWrap/>
        <w:overflowPunct/>
        <w:topLinePunct w:val="0"/>
        <w:bidi w:val="0"/>
        <w:adjustRightInd/>
        <w:snapToGrid/>
        <w:spacing w:after="0" w:line="500" w:lineRule="exact"/>
        <w:ind w:firstLine="480" w:firstLineChars="200"/>
        <w:contextualSpacing/>
        <w:jc w:val="both"/>
        <w:textAlignment w:val="auto"/>
        <w:rPr>
          <w:rFonts w:hint="eastAsia" w:ascii="宋体" w:hAnsi="宋体" w:eastAsia="宋体"/>
          <w:color w:val="000000"/>
          <w:sz w:val="24"/>
        </w:rPr>
      </w:pPr>
      <w:r>
        <w:rPr>
          <w:rFonts w:hint="eastAsia" w:ascii="宋体" w:hAnsi="宋体" w:eastAsia="宋体"/>
          <w:color w:val="000000"/>
          <w:sz w:val="24"/>
        </w:rPr>
        <w:t>正在进行的严重违反财经纪律、侵害本单位经济利益、造成严重浪费和较大损失的行为；</w:t>
      </w:r>
    </w:p>
    <w:p w14:paraId="5043BC54">
      <w:pPr>
        <w:keepNext w:val="0"/>
        <w:keepLines w:val="0"/>
        <w:pageBreakBefore w:val="0"/>
        <w:widowControl w:val="0"/>
        <w:numPr>
          <w:ilvl w:val="0"/>
          <w:numId w:val="8"/>
        </w:numPr>
        <w:kinsoku/>
        <w:wordWrap/>
        <w:overflowPunct/>
        <w:topLinePunct w:val="0"/>
        <w:bidi w:val="0"/>
        <w:adjustRightInd/>
        <w:snapToGrid/>
        <w:spacing w:after="0" w:line="500" w:lineRule="exact"/>
        <w:ind w:firstLine="480" w:firstLineChars="200"/>
        <w:contextualSpacing/>
        <w:jc w:val="both"/>
        <w:textAlignment w:val="auto"/>
        <w:rPr>
          <w:rFonts w:hint="eastAsia" w:ascii="宋体" w:hAnsi="宋体" w:eastAsia="宋体"/>
          <w:color w:val="000000"/>
          <w:sz w:val="24"/>
        </w:rPr>
      </w:pPr>
      <w:r>
        <w:rPr>
          <w:rFonts w:hint="eastAsia" w:ascii="宋体" w:hAnsi="宋体" w:eastAsia="宋体"/>
          <w:color w:val="000000"/>
          <w:sz w:val="24"/>
        </w:rPr>
        <w:t>无正当理由拒不整改的行为</w:t>
      </w:r>
      <w:r>
        <w:rPr>
          <w:rFonts w:hint="eastAsia" w:ascii="宋体" w:hAnsi="宋体" w:eastAsia="宋体"/>
          <w:color w:val="000000"/>
          <w:sz w:val="24"/>
          <w:lang w:eastAsia="zh-CN"/>
        </w:rPr>
        <w:t>；</w:t>
      </w:r>
    </w:p>
    <w:p w14:paraId="064F40FD">
      <w:pPr>
        <w:keepNext w:val="0"/>
        <w:keepLines w:val="0"/>
        <w:pageBreakBefore w:val="0"/>
        <w:widowControl w:val="0"/>
        <w:numPr>
          <w:ilvl w:val="0"/>
          <w:numId w:val="8"/>
        </w:numPr>
        <w:kinsoku/>
        <w:wordWrap/>
        <w:overflowPunct/>
        <w:topLinePunct w:val="0"/>
        <w:bidi w:val="0"/>
        <w:adjustRightInd/>
        <w:snapToGrid/>
        <w:spacing w:after="0" w:line="500" w:lineRule="exact"/>
        <w:ind w:firstLine="480" w:firstLineChars="200"/>
        <w:contextualSpacing/>
        <w:jc w:val="both"/>
        <w:textAlignment w:val="auto"/>
        <w:rPr>
          <w:rFonts w:hint="eastAsia" w:ascii="宋体" w:hAnsi="宋体" w:eastAsia="宋体"/>
          <w:color w:val="000000"/>
          <w:sz w:val="24"/>
        </w:rPr>
      </w:pPr>
      <w:r>
        <w:rPr>
          <w:rFonts w:hint="eastAsia" w:ascii="宋体" w:hAnsi="宋体" w:eastAsia="宋体"/>
          <w:color w:val="000000"/>
          <w:sz w:val="24"/>
        </w:rPr>
        <w:t>打击报复内部审计人员或举报人</w:t>
      </w:r>
      <w:r>
        <w:rPr>
          <w:rFonts w:hint="eastAsia" w:ascii="宋体" w:hAnsi="宋体" w:eastAsia="宋体"/>
          <w:color w:val="000000"/>
          <w:sz w:val="24"/>
          <w:lang w:eastAsia="zh-CN"/>
        </w:rPr>
        <w:t>。</w:t>
      </w:r>
    </w:p>
    <w:p w14:paraId="380E5BD0">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b/>
          <w:bCs/>
          <w:color w:val="000000"/>
          <w:sz w:val="24"/>
        </w:rPr>
      </w:pPr>
      <w:r>
        <w:rPr>
          <w:rFonts w:hint="eastAsia" w:ascii="宋体" w:hAnsi="宋体" w:eastAsia="宋体"/>
          <w:b/>
          <w:bCs/>
          <w:color w:val="000000"/>
          <w:sz w:val="24"/>
        </w:rPr>
        <w:t xml:space="preserve"> </w:t>
      </w:r>
      <w:r>
        <w:rPr>
          <w:rFonts w:hint="eastAsia"/>
          <w:color w:val="000000"/>
          <w:sz w:val="24"/>
          <w:lang w:val="en-US" w:eastAsia="zh-CN"/>
        </w:rPr>
        <w:t>内部审计人员</w:t>
      </w:r>
      <w:r>
        <w:rPr>
          <w:rFonts w:hint="eastAsia" w:ascii="宋体" w:hAnsi="宋体" w:eastAsia="宋体"/>
          <w:color w:val="000000"/>
          <w:sz w:val="24"/>
        </w:rPr>
        <w:t>违反本制度，有下列行为之一，由公司根据情节轻重给予处分，给公司造成损失的应当承担赔偿责任，构成犯罪的依法追究刑事责任：</w:t>
      </w:r>
    </w:p>
    <w:p w14:paraId="247C07BA">
      <w:pPr>
        <w:pStyle w:val="12"/>
        <w:keepNext w:val="0"/>
        <w:keepLines w:val="0"/>
        <w:pageBreakBefore w:val="0"/>
        <w:widowControl w:val="0"/>
        <w:numPr>
          <w:ilvl w:val="0"/>
          <w:numId w:val="9"/>
        </w:numPr>
        <w:tabs>
          <w:tab w:val="left" w:pos="20"/>
        </w:tabs>
        <w:kinsoku/>
        <w:wordWrap/>
        <w:overflowPunct/>
        <w:topLinePunct w:val="0"/>
        <w:bidi w:val="0"/>
        <w:adjustRightInd/>
        <w:snapToGrid/>
        <w:spacing w:before="0" w:beforeLines="0" w:after="0" w:afterLines="0" w:line="500" w:lineRule="exact"/>
        <w:ind w:right="0" w:rightChars="0" w:firstLine="480" w:firstLineChars="200"/>
        <w:textAlignment w:val="auto"/>
        <w:rPr>
          <w:rFonts w:hint="eastAsia" w:ascii="宋体" w:hAnsi="宋体" w:eastAsia="宋体"/>
          <w:color w:val="000000"/>
          <w:sz w:val="24"/>
        </w:rPr>
      </w:pPr>
      <w:r>
        <w:rPr>
          <w:rFonts w:hint="eastAsia" w:ascii="宋体" w:hAnsi="宋体" w:eastAsia="宋体"/>
          <w:color w:val="000000"/>
          <w:sz w:val="24"/>
        </w:rPr>
        <w:t>滥用职权，弄虚作假，徇私舞弊，牟取私利的；</w:t>
      </w:r>
    </w:p>
    <w:p w14:paraId="1DF23A0B">
      <w:pPr>
        <w:pStyle w:val="12"/>
        <w:keepNext w:val="0"/>
        <w:keepLines w:val="0"/>
        <w:pageBreakBefore w:val="0"/>
        <w:widowControl w:val="0"/>
        <w:numPr>
          <w:ilvl w:val="0"/>
          <w:numId w:val="0"/>
        </w:numPr>
        <w:tabs>
          <w:tab w:val="left" w:pos="20"/>
        </w:tabs>
        <w:kinsoku/>
        <w:wordWrap/>
        <w:overflowPunct/>
        <w:topLinePunct w:val="0"/>
        <w:bidi w:val="0"/>
        <w:adjustRightInd/>
        <w:snapToGrid/>
        <w:spacing w:before="0" w:beforeLines="0" w:after="0" w:afterLines="0" w:line="500" w:lineRule="exact"/>
        <w:ind w:right="0" w:rightChars="0" w:firstLine="480" w:firstLineChars="200"/>
        <w:textAlignment w:val="auto"/>
        <w:rPr>
          <w:rFonts w:hint="eastAsia" w:ascii="宋体" w:hAnsi="宋体" w:eastAsia="宋体"/>
          <w:b/>
          <w:bCs/>
          <w:color w:val="000000"/>
          <w:sz w:val="24"/>
          <w:lang w:eastAsia="zh-CN"/>
        </w:rPr>
      </w:pPr>
      <w:r>
        <w:rPr>
          <w:rFonts w:hint="eastAsia" w:ascii="宋体" w:hAnsi="宋体" w:eastAsia="宋体"/>
          <w:color w:val="000000"/>
          <w:sz w:val="24"/>
        </w:rPr>
        <w:t>（二）玩忽职守，泄露公司秘密和被审计</w:t>
      </w:r>
      <w:r>
        <w:rPr>
          <w:rFonts w:hint="eastAsia"/>
          <w:color w:val="000000"/>
          <w:sz w:val="24"/>
          <w:lang w:val="en-US" w:eastAsia="zh-CN"/>
        </w:rPr>
        <w:t>对象</w:t>
      </w:r>
      <w:r>
        <w:rPr>
          <w:rFonts w:hint="eastAsia" w:ascii="宋体" w:hAnsi="宋体" w:eastAsia="宋体"/>
          <w:color w:val="000000"/>
          <w:sz w:val="24"/>
        </w:rPr>
        <w:t>的商业秘密，给公司或被审计</w:t>
      </w:r>
      <w:r>
        <w:rPr>
          <w:rFonts w:hint="eastAsia"/>
          <w:color w:val="000000"/>
          <w:sz w:val="24"/>
          <w:lang w:val="en-US" w:eastAsia="zh-CN"/>
        </w:rPr>
        <w:t>对象</w:t>
      </w:r>
      <w:r>
        <w:rPr>
          <w:rFonts w:hint="eastAsia" w:ascii="宋体" w:hAnsi="宋体" w:eastAsia="宋体"/>
          <w:color w:val="000000"/>
          <w:sz w:val="24"/>
        </w:rPr>
        <w:t>造成经济损失的</w:t>
      </w:r>
      <w:r>
        <w:rPr>
          <w:rFonts w:hint="eastAsia"/>
          <w:color w:val="000000"/>
          <w:sz w:val="24"/>
          <w:lang w:eastAsia="zh-CN"/>
        </w:rPr>
        <w:t>。</w:t>
      </w:r>
    </w:p>
    <w:p w14:paraId="5B5C06A9">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第</w:t>
      </w:r>
      <w:r>
        <w:rPr>
          <w:rFonts w:hint="eastAsia" w:ascii="宋体" w:hAnsi="宋体" w:eastAsia="宋体"/>
          <w:b/>
          <w:bCs/>
          <w:color w:val="000000"/>
          <w:sz w:val="24"/>
          <w:szCs w:val="24"/>
          <w:lang w:val="en-US" w:eastAsia="zh-CN"/>
        </w:rPr>
        <w:t>七</w:t>
      </w:r>
      <w:r>
        <w:rPr>
          <w:rFonts w:hint="eastAsia" w:ascii="宋体" w:hAnsi="宋体" w:eastAsia="宋体"/>
          <w:b/>
          <w:bCs/>
          <w:color w:val="000000"/>
          <w:sz w:val="24"/>
          <w:szCs w:val="24"/>
        </w:rPr>
        <w:t>章 附则</w:t>
      </w:r>
    </w:p>
    <w:p w14:paraId="777872DA">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color w:val="000000"/>
          <w:sz w:val="24"/>
        </w:rPr>
        <w:t xml:space="preserve"> 本制度未尽事宜，按国家有关法律法规、规范性文件及《公司章程》的</w:t>
      </w:r>
      <w:r>
        <w:rPr>
          <w:rFonts w:hint="eastAsia" w:ascii="宋体" w:hAnsi="宋体" w:eastAsia="宋体"/>
          <w:color w:val="000000"/>
          <w:sz w:val="24"/>
          <w:lang w:val="en-US" w:eastAsia="zh-CN"/>
        </w:rPr>
        <w:t>有关</w:t>
      </w:r>
      <w:r>
        <w:rPr>
          <w:rFonts w:hint="eastAsia" w:ascii="宋体" w:hAnsi="宋体" w:eastAsia="宋体"/>
          <w:color w:val="000000"/>
          <w:sz w:val="24"/>
        </w:rPr>
        <w:t>规定执行。</w:t>
      </w:r>
    </w:p>
    <w:p w14:paraId="2055E2D1">
      <w:pPr>
        <w:pStyle w:val="12"/>
        <w:keepNext w:val="0"/>
        <w:keepLines w:val="0"/>
        <w:pageBreakBefore w:val="0"/>
        <w:widowControl w:val="0"/>
        <w:numPr>
          <w:ilvl w:val="0"/>
          <w:numId w:val="1"/>
        </w:numPr>
        <w:kinsoku/>
        <w:wordWrap/>
        <w:overflowPunct/>
        <w:topLinePunct w:val="0"/>
        <w:bidi w:val="0"/>
        <w:adjustRightInd/>
        <w:snapToGrid/>
        <w:spacing w:before="0" w:beforeLines="0" w:after="0" w:afterLines="0" w:line="500" w:lineRule="exact"/>
        <w:ind w:firstLine="480" w:firstLineChars="0"/>
        <w:textAlignment w:val="auto"/>
        <w:rPr>
          <w:rFonts w:hint="eastAsia" w:ascii="宋体" w:hAnsi="宋体" w:eastAsia="宋体"/>
          <w:color w:val="000000"/>
          <w:sz w:val="24"/>
        </w:rPr>
      </w:pPr>
      <w:r>
        <w:rPr>
          <w:rFonts w:hint="eastAsia" w:ascii="宋体" w:hAnsi="宋体" w:eastAsia="宋体"/>
          <w:b/>
          <w:bCs/>
          <w:color w:val="000000"/>
          <w:sz w:val="24"/>
        </w:rPr>
        <w:t xml:space="preserve"> </w:t>
      </w:r>
      <w:r>
        <w:rPr>
          <w:rFonts w:hint="eastAsia" w:ascii="宋体" w:hAnsi="宋体" w:eastAsia="宋体"/>
          <w:color w:val="000000"/>
          <w:sz w:val="24"/>
        </w:rPr>
        <w:t>本制度自公司董事会审议通过之日起生效。</w:t>
      </w:r>
    </w:p>
    <w:p w14:paraId="4D80A58E">
      <w:pPr>
        <w:spacing w:after="0" w:line="360" w:lineRule="auto"/>
        <w:ind w:firstLine="440" w:firstLineChars="200"/>
        <w:jc w:val="both"/>
        <w:rPr>
          <w:rFonts w:hint="eastAsia"/>
        </w:rPr>
      </w:pPr>
    </w:p>
    <w:sectPr>
      <w:footerReference r:id="rId5" w:type="default"/>
      <w:pgSz w:w="11906" w:h="16838"/>
      <w:pgMar w:top="1304" w:right="1418" w:bottom="1304"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79C2">
    <w:pPr>
      <w:pStyle w:val="1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3FFD3">
                          <w:pPr>
                            <w:pStyle w:val="1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13FFD3">
                    <w:pPr>
                      <w:pStyle w:val="1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5ACB3"/>
    <w:multiLevelType w:val="singleLevel"/>
    <w:tmpl w:val="8E25ACB3"/>
    <w:lvl w:ilvl="0" w:tentative="0">
      <w:start w:val="1"/>
      <w:numFmt w:val="chineseCounting"/>
      <w:suff w:val="nothing"/>
      <w:lvlText w:val="（%1）"/>
      <w:lvlJc w:val="left"/>
      <w:rPr>
        <w:rFonts w:hint="eastAsia"/>
      </w:rPr>
    </w:lvl>
  </w:abstractNum>
  <w:abstractNum w:abstractNumId="1">
    <w:nsid w:val="93080DBE"/>
    <w:multiLevelType w:val="singleLevel"/>
    <w:tmpl w:val="93080DBE"/>
    <w:lvl w:ilvl="0" w:tentative="0">
      <w:start w:val="3"/>
      <w:numFmt w:val="chineseCounting"/>
      <w:suff w:val="nothing"/>
      <w:lvlText w:val="（%1）"/>
      <w:lvlJc w:val="left"/>
      <w:rPr>
        <w:rFonts w:hint="eastAsia"/>
      </w:rPr>
    </w:lvl>
  </w:abstractNum>
  <w:abstractNum w:abstractNumId="2">
    <w:nsid w:val="AF90D61A"/>
    <w:multiLevelType w:val="singleLevel"/>
    <w:tmpl w:val="AF90D61A"/>
    <w:lvl w:ilvl="0" w:tentative="0">
      <w:start w:val="1"/>
      <w:numFmt w:val="chineseCounting"/>
      <w:suff w:val="nothing"/>
      <w:lvlText w:val="（%1）"/>
      <w:lvlJc w:val="left"/>
      <w:rPr>
        <w:rFonts w:hint="eastAsia"/>
      </w:rPr>
    </w:lvl>
  </w:abstractNum>
  <w:abstractNum w:abstractNumId="3">
    <w:nsid w:val="AFE23676"/>
    <w:multiLevelType w:val="singleLevel"/>
    <w:tmpl w:val="AFE23676"/>
    <w:lvl w:ilvl="0" w:tentative="0">
      <w:start w:val="1"/>
      <w:numFmt w:val="chineseCounting"/>
      <w:suff w:val="nothing"/>
      <w:lvlText w:val="（%1）"/>
      <w:lvlJc w:val="left"/>
      <w:rPr>
        <w:rFonts w:hint="eastAsia"/>
      </w:rPr>
    </w:lvl>
  </w:abstractNum>
  <w:abstractNum w:abstractNumId="4">
    <w:nsid w:val="E1888C85"/>
    <w:multiLevelType w:val="singleLevel"/>
    <w:tmpl w:val="E1888C85"/>
    <w:lvl w:ilvl="0" w:tentative="0">
      <w:start w:val="1"/>
      <w:numFmt w:val="chineseCounting"/>
      <w:suff w:val="nothing"/>
      <w:lvlText w:val="（%1）"/>
      <w:lvlJc w:val="left"/>
      <w:rPr>
        <w:rFonts w:hint="eastAsia"/>
      </w:rPr>
    </w:lvl>
  </w:abstractNum>
  <w:abstractNum w:abstractNumId="5">
    <w:nsid w:val="F0A48D66"/>
    <w:multiLevelType w:val="singleLevel"/>
    <w:tmpl w:val="F0A48D66"/>
    <w:lvl w:ilvl="0" w:tentative="0">
      <w:start w:val="1"/>
      <w:numFmt w:val="chineseCounting"/>
      <w:suff w:val="nothing"/>
      <w:lvlText w:val="（%1）"/>
      <w:lvlJc w:val="left"/>
      <w:rPr>
        <w:rFonts w:hint="eastAsia"/>
      </w:rPr>
    </w:lvl>
  </w:abstractNum>
  <w:abstractNum w:abstractNumId="6">
    <w:nsid w:val="F6F4E8D4"/>
    <w:multiLevelType w:val="singleLevel"/>
    <w:tmpl w:val="F6F4E8D4"/>
    <w:lvl w:ilvl="0" w:tentative="0">
      <w:start w:val="1"/>
      <w:numFmt w:val="chineseCounting"/>
      <w:suff w:val="nothing"/>
      <w:lvlText w:val="第%1条"/>
      <w:lvlJc w:val="left"/>
      <w:pPr>
        <w:tabs>
          <w:tab w:val="left" w:pos="20"/>
        </w:tabs>
        <w:ind w:left="0"/>
      </w:pPr>
      <w:rPr>
        <w:rFonts w:hint="eastAsia" w:ascii="宋体" w:hAnsi="宋体" w:eastAsia="宋体" w:cs="宋体"/>
        <w:b/>
        <w:bCs/>
      </w:rPr>
    </w:lvl>
  </w:abstractNum>
  <w:abstractNum w:abstractNumId="7">
    <w:nsid w:val="4B272D41"/>
    <w:multiLevelType w:val="singleLevel"/>
    <w:tmpl w:val="4B272D41"/>
    <w:lvl w:ilvl="0" w:tentative="0">
      <w:start w:val="1"/>
      <w:numFmt w:val="chineseCounting"/>
      <w:suff w:val="nothing"/>
      <w:lvlText w:val="（%1）"/>
      <w:lvlJc w:val="left"/>
      <w:rPr>
        <w:rFonts w:hint="eastAsia"/>
      </w:rPr>
    </w:lvl>
  </w:abstractNum>
  <w:abstractNum w:abstractNumId="8">
    <w:nsid w:val="61112228"/>
    <w:multiLevelType w:val="singleLevel"/>
    <w:tmpl w:val="61112228"/>
    <w:lvl w:ilvl="0" w:tentative="0">
      <w:start w:val="1"/>
      <w:numFmt w:val="chineseCounting"/>
      <w:suff w:val="nothing"/>
      <w:lvlText w:val="（%1）"/>
      <w:lvlJc w:val="left"/>
      <w:rPr>
        <w:rFonts w:hint="eastAsia"/>
      </w:rPr>
    </w:lvl>
  </w:abstractNum>
  <w:num w:numId="1">
    <w:abstractNumId w:val="6"/>
  </w:num>
  <w:num w:numId="2">
    <w:abstractNumId w:val="1"/>
  </w:num>
  <w:num w:numId="3">
    <w:abstractNumId w:val="3"/>
  </w:num>
  <w:num w:numId="4">
    <w:abstractNumId w:val="5"/>
  </w:num>
  <w:num w:numId="5">
    <w:abstractNumId w:val="4"/>
  </w:num>
  <w:num w:numId="6">
    <w:abstractNumId w:val="7"/>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84"/>
    <w:rsid w:val="00020F7E"/>
    <w:rsid w:val="00030399"/>
    <w:rsid w:val="00064389"/>
    <w:rsid w:val="000742C4"/>
    <w:rsid w:val="00092E60"/>
    <w:rsid w:val="000B1601"/>
    <w:rsid w:val="000B726A"/>
    <w:rsid w:val="000C0065"/>
    <w:rsid w:val="000D5320"/>
    <w:rsid w:val="000F25CB"/>
    <w:rsid w:val="001024A5"/>
    <w:rsid w:val="001114BC"/>
    <w:rsid w:val="00114911"/>
    <w:rsid w:val="00125ACD"/>
    <w:rsid w:val="00126E70"/>
    <w:rsid w:val="00155B26"/>
    <w:rsid w:val="001567BF"/>
    <w:rsid w:val="00197FD6"/>
    <w:rsid w:val="001B1FE4"/>
    <w:rsid w:val="001C5F2D"/>
    <w:rsid w:val="001F2525"/>
    <w:rsid w:val="00222466"/>
    <w:rsid w:val="0024665B"/>
    <w:rsid w:val="0027398F"/>
    <w:rsid w:val="002C3697"/>
    <w:rsid w:val="002C5F90"/>
    <w:rsid w:val="002D0140"/>
    <w:rsid w:val="002E03F4"/>
    <w:rsid w:val="002F10AE"/>
    <w:rsid w:val="002F7323"/>
    <w:rsid w:val="0030554F"/>
    <w:rsid w:val="00315E80"/>
    <w:rsid w:val="003367BA"/>
    <w:rsid w:val="00347B5D"/>
    <w:rsid w:val="00361216"/>
    <w:rsid w:val="003C0560"/>
    <w:rsid w:val="003E6030"/>
    <w:rsid w:val="003F7A0B"/>
    <w:rsid w:val="004156EC"/>
    <w:rsid w:val="00425AAB"/>
    <w:rsid w:val="004335E7"/>
    <w:rsid w:val="00461148"/>
    <w:rsid w:val="00491D73"/>
    <w:rsid w:val="0049510B"/>
    <w:rsid w:val="004B4524"/>
    <w:rsid w:val="004B6522"/>
    <w:rsid w:val="004C396A"/>
    <w:rsid w:val="004F4E16"/>
    <w:rsid w:val="0050102A"/>
    <w:rsid w:val="0053330F"/>
    <w:rsid w:val="00561AA2"/>
    <w:rsid w:val="005674A0"/>
    <w:rsid w:val="00577747"/>
    <w:rsid w:val="0058016C"/>
    <w:rsid w:val="0059270F"/>
    <w:rsid w:val="005A487E"/>
    <w:rsid w:val="005B1401"/>
    <w:rsid w:val="005D195C"/>
    <w:rsid w:val="00600444"/>
    <w:rsid w:val="0060525F"/>
    <w:rsid w:val="00625540"/>
    <w:rsid w:val="006275DE"/>
    <w:rsid w:val="006306D4"/>
    <w:rsid w:val="00630E1F"/>
    <w:rsid w:val="00631455"/>
    <w:rsid w:val="00660086"/>
    <w:rsid w:val="006628FF"/>
    <w:rsid w:val="00666B3E"/>
    <w:rsid w:val="006A7F95"/>
    <w:rsid w:val="006E325F"/>
    <w:rsid w:val="0073516D"/>
    <w:rsid w:val="00736DDF"/>
    <w:rsid w:val="0075644B"/>
    <w:rsid w:val="00791CBD"/>
    <w:rsid w:val="00792CD3"/>
    <w:rsid w:val="007A3E33"/>
    <w:rsid w:val="007F52B6"/>
    <w:rsid w:val="00810324"/>
    <w:rsid w:val="0082481B"/>
    <w:rsid w:val="00840738"/>
    <w:rsid w:val="00844A8D"/>
    <w:rsid w:val="0085325E"/>
    <w:rsid w:val="0085577A"/>
    <w:rsid w:val="00861908"/>
    <w:rsid w:val="00875F83"/>
    <w:rsid w:val="00897ADF"/>
    <w:rsid w:val="008B5B4D"/>
    <w:rsid w:val="008C6FEA"/>
    <w:rsid w:val="008D0C33"/>
    <w:rsid w:val="00931B7D"/>
    <w:rsid w:val="00937120"/>
    <w:rsid w:val="00940BE8"/>
    <w:rsid w:val="00947451"/>
    <w:rsid w:val="00966623"/>
    <w:rsid w:val="00995C36"/>
    <w:rsid w:val="009A10F6"/>
    <w:rsid w:val="009A61EC"/>
    <w:rsid w:val="009B388E"/>
    <w:rsid w:val="009B3E8C"/>
    <w:rsid w:val="009D1EBB"/>
    <w:rsid w:val="009E1E34"/>
    <w:rsid w:val="00A013C3"/>
    <w:rsid w:val="00A05BE7"/>
    <w:rsid w:val="00A133EB"/>
    <w:rsid w:val="00A20684"/>
    <w:rsid w:val="00A2320D"/>
    <w:rsid w:val="00A473E9"/>
    <w:rsid w:val="00A5222A"/>
    <w:rsid w:val="00A5555E"/>
    <w:rsid w:val="00A728C3"/>
    <w:rsid w:val="00A92E60"/>
    <w:rsid w:val="00AA1E99"/>
    <w:rsid w:val="00AA68FC"/>
    <w:rsid w:val="00AE22DF"/>
    <w:rsid w:val="00AF1556"/>
    <w:rsid w:val="00AF29AF"/>
    <w:rsid w:val="00B2063D"/>
    <w:rsid w:val="00B2185C"/>
    <w:rsid w:val="00B35125"/>
    <w:rsid w:val="00B74CF1"/>
    <w:rsid w:val="00B83385"/>
    <w:rsid w:val="00B87E5A"/>
    <w:rsid w:val="00BD3C7E"/>
    <w:rsid w:val="00BD58BE"/>
    <w:rsid w:val="00BE05BE"/>
    <w:rsid w:val="00BF3926"/>
    <w:rsid w:val="00C043CA"/>
    <w:rsid w:val="00C3624C"/>
    <w:rsid w:val="00C37517"/>
    <w:rsid w:val="00C37B39"/>
    <w:rsid w:val="00C73A55"/>
    <w:rsid w:val="00CC64C7"/>
    <w:rsid w:val="00CD3205"/>
    <w:rsid w:val="00CE5444"/>
    <w:rsid w:val="00CE5626"/>
    <w:rsid w:val="00D17832"/>
    <w:rsid w:val="00D26F7D"/>
    <w:rsid w:val="00D356DE"/>
    <w:rsid w:val="00D4104D"/>
    <w:rsid w:val="00D41AC2"/>
    <w:rsid w:val="00D55F35"/>
    <w:rsid w:val="00D82BE2"/>
    <w:rsid w:val="00DC4F0B"/>
    <w:rsid w:val="00DD3398"/>
    <w:rsid w:val="00E03716"/>
    <w:rsid w:val="00E135C1"/>
    <w:rsid w:val="00E14444"/>
    <w:rsid w:val="00E34A7C"/>
    <w:rsid w:val="00EA1C11"/>
    <w:rsid w:val="00EA2C4D"/>
    <w:rsid w:val="00EC4283"/>
    <w:rsid w:val="00EF2E0D"/>
    <w:rsid w:val="00F43129"/>
    <w:rsid w:val="00F72457"/>
    <w:rsid w:val="00F76E3A"/>
    <w:rsid w:val="00F84807"/>
    <w:rsid w:val="00F95101"/>
    <w:rsid w:val="00F969CD"/>
    <w:rsid w:val="00FB28BC"/>
    <w:rsid w:val="00FC04BA"/>
    <w:rsid w:val="00FD1E07"/>
    <w:rsid w:val="02A93B2F"/>
    <w:rsid w:val="055D0E10"/>
    <w:rsid w:val="07767BC9"/>
    <w:rsid w:val="07EF0FE4"/>
    <w:rsid w:val="0D10137A"/>
    <w:rsid w:val="0D7C0F42"/>
    <w:rsid w:val="1737741E"/>
    <w:rsid w:val="17384F67"/>
    <w:rsid w:val="1AF21D20"/>
    <w:rsid w:val="23A01D08"/>
    <w:rsid w:val="25413BD9"/>
    <w:rsid w:val="2DB66F7C"/>
    <w:rsid w:val="37EF2AB8"/>
    <w:rsid w:val="38E668BE"/>
    <w:rsid w:val="3C047005"/>
    <w:rsid w:val="3C631823"/>
    <w:rsid w:val="3D10193C"/>
    <w:rsid w:val="3E816938"/>
    <w:rsid w:val="44F85C75"/>
    <w:rsid w:val="44FF5255"/>
    <w:rsid w:val="45BB51BC"/>
    <w:rsid w:val="48C84F57"/>
    <w:rsid w:val="49FC1D63"/>
    <w:rsid w:val="4AC37A66"/>
    <w:rsid w:val="4BC90D07"/>
    <w:rsid w:val="509F1CD3"/>
    <w:rsid w:val="50E63249"/>
    <w:rsid w:val="5360257D"/>
    <w:rsid w:val="5BD6009C"/>
    <w:rsid w:val="65F11648"/>
    <w:rsid w:val="66384A6E"/>
    <w:rsid w:val="6A4644F4"/>
    <w:rsid w:val="6BFC0FB6"/>
    <w:rsid w:val="6DBC7B95"/>
    <w:rsid w:val="6E075546"/>
    <w:rsid w:val="6F0C325E"/>
    <w:rsid w:val="70090AC3"/>
    <w:rsid w:val="70DE6710"/>
    <w:rsid w:val="72DC7380"/>
    <w:rsid w:val="75FB7C55"/>
    <w:rsid w:val="7A894382"/>
    <w:rsid w:val="7A9F24BA"/>
    <w:rsid w:val="7BA619AB"/>
    <w:rsid w:val="7DB31E53"/>
    <w:rsid w:val="7F0A2420"/>
    <w:rsid w:val="7F5B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style>
  <w:style w:type="paragraph" w:styleId="12">
    <w:name w:val="Body Text"/>
    <w:basedOn w:val="1"/>
    <w:qFormat/>
    <w:uiPriority w:val="1"/>
    <w:pPr>
      <w:widowControl w:val="0"/>
      <w:autoSpaceDE w:val="0"/>
      <w:autoSpaceDN w:val="0"/>
      <w:spacing w:before="120" w:beforeLines="50" w:after="120" w:afterLines="50" w:line="500" w:lineRule="exact"/>
      <w:ind w:left="0" w:right="0" w:firstLine="470" w:firstLineChars="200"/>
      <w:jc w:val="both"/>
    </w:pPr>
    <w:rPr>
      <w:rFonts w:ascii="宋体" w:hAnsi="宋体" w:eastAsia="宋体" w:cs="宋体"/>
      <w:color w:val="auto"/>
      <w:kern w:val="0"/>
      <w:sz w:val="24"/>
    </w:rPr>
  </w:style>
  <w:style w:type="paragraph" w:styleId="13">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3"/>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明显参考1"/>
    <w:basedOn w:val="19"/>
    <w:qFormat/>
    <w:uiPriority w:val="32"/>
    <w:rPr>
      <w:b/>
      <w:bCs/>
      <w:smallCaps/>
      <w:color w:val="2F5597"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paragraph" w:customStyle="1" w:styleId="41">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2">
    <w:name w:val="批注文字 字符"/>
    <w:basedOn w:val="19"/>
    <w:link w:val="11"/>
    <w:semiHidden/>
    <w:qFormat/>
    <w:uiPriority w:val="99"/>
  </w:style>
  <w:style w:type="character" w:customStyle="1" w:styleId="43">
    <w:name w:val="批注主题 字符"/>
    <w:basedOn w:val="42"/>
    <w:link w:val="17"/>
    <w:semiHidden/>
    <w:qFormat/>
    <w:uiPriority w:val="99"/>
    <w:rPr>
      <w:b/>
      <w:bCs/>
    </w:rPr>
  </w:style>
  <w:style w:type="paragraph" w:customStyle="1" w:styleId="44">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5651</Words>
  <Characters>5652</Characters>
  <Lines>44</Lines>
  <Paragraphs>12</Paragraphs>
  <TotalTime>78</TotalTime>
  <ScaleCrop>false</ScaleCrop>
  <LinksUpToDate>false</LinksUpToDate>
  <CharactersWithSpaces>5698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2025-11-10T07:21:00Z</dcterms:created>
  <dc:creator>jeanny Zheng</dc:creator>
  <cp:lastModifiedBy>李群</cp:lastModifiedBy>
  <cp:lastPrinted>2026-03-10T01:29:00Z</cp:lastPrinted>
  <dcterms:modified xsi:type="dcterms:W3CDTF">2026-03-22T02:25:43Z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eyJoZGlkIjoiYWRlOTk1ZDM4MjkzZjgxMjZiN2M3ZjNmNDQ5NGIzZGYiLCJ1c2VySWQiOiIzNDI3ODI2OTEifQ==</vt:lpwstr>
  </property>
  <property fmtid="{D5CDD505-2E9C-101B-9397-08002B2CF9AE}" pid="3" name="KSOProductBuildVer">
    <vt:lpwstr>2052-12.1.0.25225</vt:lpwstr>
  </property>
  <property fmtid="{D5CDD505-2E9C-101B-9397-08002B2CF9AE}" pid="4" name="ICV">
    <vt:lpwstr>4DDB440903394D57842BED5BE072EB46_13</vt:lpwstr>
  </property>
</Properties>
</file>