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3CE59">
      <w:pPr>
        <w:spacing w:before="2400" w:after="0" w:line="773" w:lineRule="exact"/>
        <w:jc w:val="center"/>
        <w:rPr>
          <w:rFonts w:hint="eastAsia" w:ascii="宋体" w:hAnsi="宋体" w:eastAsia="宋体" w:cs="宋体"/>
          <w:b/>
          <w:bCs/>
          <w:sz w:val="36"/>
          <w:szCs w:val="36"/>
        </w:rPr>
      </w:pPr>
      <w:r>
        <w:rPr>
          <w:rFonts w:ascii="宋体" w:hAnsi="宋体" w:eastAsia="宋体" w:cs="宋体"/>
          <w:b/>
          <w:sz w:val="36"/>
          <w:szCs w:val="36"/>
          <w:lang w:val="zh-CN"/>
        </w:rPr>
        <w:drawing>
          <wp:inline distT="0" distB="0" distL="0" distR="0">
            <wp:extent cx="2393950" cy="819150"/>
            <wp:effectExtent l="0" t="0" r="6350" b="6350"/>
            <wp:docPr id="2" name="图片 2" descr="微信图片_2022031014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3101404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93950" cy="819150"/>
                    </a:xfrm>
                    <a:prstGeom prst="rect">
                      <a:avLst/>
                    </a:prstGeom>
                    <a:noFill/>
                    <a:ln>
                      <a:noFill/>
                    </a:ln>
                  </pic:spPr>
                </pic:pic>
              </a:graphicData>
            </a:graphic>
          </wp:inline>
        </w:drawing>
      </w:r>
    </w:p>
    <w:p w14:paraId="7DD2D2D6">
      <w:pPr>
        <w:spacing w:before="2400" w:after="0" w:line="773" w:lineRule="exact"/>
        <w:jc w:val="center"/>
        <w:rPr>
          <w:rFonts w:hint="eastAsia" w:ascii="宋体" w:hAnsi="宋体" w:eastAsia="宋体" w:cs="宋体"/>
          <w:b/>
          <w:bCs/>
          <w:sz w:val="36"/>
          <w:szCs w:val="36"/>
        </w:rPr>
      </w:pPr>
      <w:r>
        <w:rPr>
          <w:rFonts w:ascii="宋体" w:hAnsi="宋体" w:eastAsia="宋体" w:cs="宋体"/>
          <w:b/>
          <w:bCs/>
          <w:sz w:val="36"/>
          <w:szCs w:val="36"/>
        </w:rPr>
        <w:t>冠昊生物科技股份有限公司</w:t>
      </w:r>
    </w:p>
    <w:p w14:paraId="2E8110ED">
      <w:pPr>
        <w:spacing w:before="1000" w:after="0" w:line="240" w:lineRule="exact"/>
        <w:jc w:val="center"/>
        <w:rPr>
          <w:rFonts w:hint="eastAsia" w:ascii="宋体" w:hAnsi="宋体" w:eastAsia="宋体" w:cs="宋体"/>
          <w:b/>
          <w:bCs/>
          <w:sz w:val="32"/>
          <w:szCs w:val="32"/>
        </w:rPr>
      </w:pPr>
      <w:r>
        <w:rPr>
          <w:rFonts w:ascii="Times New Roman" w:hAnsi="Times New Roman" w:eastAsia="宋体" w:cs="Times New Roman"/>
          <w:b/>
          <w:bCs/>
          <w:sz w:val="32"/>
          <w:szCs w:val="32"/>
        </w:rPr>
        <w:t>2025</w:t>
      </w:r>
      <w:r>
        <w:rPr>
          <w:rFonts w:ascii="宋体" w:hAnsi="宋体" w:eastAsia="宋体" w:cs="宋体"/>
          <w:b/>
          <w:bCs/>
          <w:sz w:val="32"/>
          <w:szCs w:val="32"/>
        </w:rPr>
        <w:t>年年度报告</w:t>
      </w:r>
    </w:p>
    <w:p w14:paraId="440521C9">
      <w:pPr>
        <w:spacing w:before="1000" w:after="0" w:line="240" w:lineRule="exact"/>
        <w:jc w:val="center"/>
        <w:rPr>
          <w:rFonts w:hint="eastAsia" w:ascii="宋体" w:hAnsi="宋体" w:eastAsia="宋体" w:cs="宋体"/>
          <w:b/>
          <w:bCs/>
          <w:sz w:val="21"/>
          <w:szCs w:val="21"/>
        </w:rPr>
      </w:pPr>
    </w:p>
    <w:p w14:paraId="1140ADB1">
      <w:pPr>
        <w:spacing w:before="1000" w:after="1000" w:line="0" w:lineRule="atLeast"/>
        <w:jc w:val="center"/>
        <w:rPr>
          <w:rFonts w:ascii="Times New Roman" w:hAnsi="Times New Roman" w:eastAsia="宋体" w:cs="Times New Roman"/>
        </w:rPr>
      </w:pPr>
    </w:p>
    <w:p w14:paraId="48EB74C8">
      <w:pPr>
        <w:spacing w:before="400" w:after="0" w:line="320" w:lineRule="exact"/>
        <w:jc w:val="center"/>
        <w:rPr>
          <w:rFonts w:hint="eastAsia" w:ascii="宋体" w:hAnsi="宋体" w:eastAsia="宋体" w:cs="宋体"/>
          <w:b/>
          <w:bCs/>
          <w:sz w:val="32"/>
          <w:szCs w:val="32"/>
        </w:rPr>
      </w:pPr>
      <w:r>
        <w:rPr>
          <w:rFonts w:ascii="宋体" w:hAnsi="宋体" w:eastAsia="宋体" w:cs="宋体"/>
          <w:b/>
          <w:bCs/>
          <w:sz w:val="32"/>
          <w:szCs w:val="32"/>
        </w:rPr>
        <w:t>【</w:t>
      </w:r>
      <w:r>
        <w:rPr>
          <w:rFonts w:ascii="Times New Roman" w:hAnsi="Times New Roman" w:eastAsia="宋体" w:cs="Times New Roman"/>
          <w:b/>
          <w:bCs/>
          <w:sz w:val="32"/>
          <w:szCs w:val="32"/>
        </w:rPr>
        <w:t>2026</w:t>
      </w:r>
      <w:r>
        <w:rPr>
          <w:rFonts w:hint="eastAsia" w:ascii="宋体" w:hAnsi="宋体" w:eastAsia="宋体" w:cs="宋体"/>
          <w:b/>
          <w:bCs/>
          <w:sz w:val="32"/>
          <w:szCs w:val="32"/>
        </w:rPr>
        <w:t>年</w:t>
      </w:r>
      <w:r>
        <w:rPr>
          <w:rFonts w:ascii="Times New Roman" w:hAnsi="Times New Roman" w:eastAsia="宋体" w:cs="Times New Roman"/>
          <w:b/>
          <w:bCs/>
          <w:sz w:val="32"/>
          <w:szCs w:val="32"/>
        </w:rPr>
        <w:t>03</w:t>
      </w:r>
      <w:r>
        <w:rPr>
          <w:rFonts w:hint="eastAsia" w:ascii="宋体" w:hAnsi="宋体" w:eastAsia="宋体" w:cs="宋体"/>
          <w:b/>
          <w:bCs/>
          <w:sz w:val="32"/>
          <w:szCs w:val="32"/>
        </w:rPr>
        <w:t>月</w:t>
      </w:r>
      <w:r>
        <w:rPr>
          <w:rFonts w:ascii="宋体" w:hAnsi="宋体" w:eastAsia="宋体" w:cs="宋体"/>
          <w:b/>
          <w:bCs/>
          <w:sz w:val="32"/>
          <w:szCs w:val="32"/>
        </w:rPr>
        <w:t>】</w:t>
      </w:r>
    </w:p>
    <w:p w14:paraId="1654F918">
      <w:pPr>
        <w:rPr>
          <w:rFonts w:hint="eastAsia"/>
        </w:rPr>
      </w:pPr>
      <w:r>
        <w:br w:type="page"/>
      </w:r>
    </w:p>
    <w:p w14:paraId="3AA2AD83">
      <w:pPr>
        <w:spacing w:before="1000" w:after="40" w:line="440" w:lineRule="exact"/>
        <w:jc w:val="center"/>
        <w:rPr>
          <w:rFonts w:ascii="宋体" w:hAnsi="宋体" w:eastAsia="宋体" w:cs="宋体"/>
          <w:b/>
          <w:bCs/>
          <w:sz w:val="44"/>
          <w:szCs w:val="44"/>
        </w:rPr>
      </w:pPr>
      <w:r>
        <w:rPr>
          <w:rFonts w:hint="default" w:ascii="Times New Roman" w:hAnsi="Times New Roman" w:eastAsia="宋体" w:cs="Times New Roman"/>
          <w:b/>
          <w:bCs/>
          <w:sz w:val="44"/>
          <w:szCs w:val="44"/>
        </w:rPr>
        <w:t>2025</w:t>
      </w:r>
      <w:r>
        <w:rPr>
          <w:rFonts w:ascii="宋体" w:hAnsi="宋体" w:eastAsia="宋体" w:cs="宋体"/>
          <w:b/>
          <w:bCs/>
          <w:sz w:val="44"/>
          <w:szCs w:val="44"/>
        </w:rPr>
        <w:t>年年度报告</w:t>
      </w:r>
    </w:p>
    <w:p w14:paraId="1B81DB28">
      <w:pPr>
        <w:pStyle w:val="11"/>
        <w:keepNext/>
        <w:keepLines/>
        <w:spacing w:before="340" w:after="330" w:line="773" w:lineRule="exact"/>
        <w:jc w:val="center"/>
        <w:outlineLvl w:val="0"/>
        <w:rPr>
          <w:rFonts w:ascii="宋体" w:hAnsi="宋体" w:eastAsia="宋体" w:cs="宋体"/>
          <w:b/>
          <w:bCs/>
          <w:sz w:val="32"/>
          <w:szCs w:val="32"/>
        </w:rPr>
      </w:pPr>
      <w:bookmarkStart w:id="0" w:name="_Toc2306"/>
      <w:bookmarkStart w:id="1" w:name="_Toc988889"/>
      <w:r>
        <w:rPr>
          <w:rFonts w:ascii="宋体" w:hAnsi="宋体" w:eastAsia="宋体" w:cs="宋体"/>
          <w:b/>
          <w:bCs/>
          <w:sz w:val="32"/>
          <w:szCs w:val="32"/>
        </w:rPr>
        <w:t>第一节 重要提示、目录和释义</w:t>
      </w:r>
      <w:bookmarkEnd w:id="0"/>
      <w:bookmarkEnd w:id="1"/>
    </w:p>
    <w:p w14:paraId="5E0221F6">
      <w:pPr>
        <w:spacing w:before="40" w:after="4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公司董事会及董事、高级管理人员保证年度报告内容的真实、准确、完整，不存在虚假记载、误导性陈述或者重大遗漏，并承担个别和连带的法律责任。</w:t>
      </w:r>
    </w:p>
    <w:p w14:paraId="68F2BE7D">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公司负责人张永明、主管会计工作负责人易若峰及会计机构负责人(会计主管人员)易若峰声明：保证本年度报告中财务报告的真实、准确、完整。</w:t>
      </w:r>
    </w:p>
    <w:p w14:paraId="41A2B956">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所有董事均已出席了审议本报告的董事会会议。</w:t>
      </w:r>
    </w:p>
    <w:p w14:paraId="5D3F2D66">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公司计划不派发现金红利，不送红股，不以公积金转增股本。</w:t>
      </w:r>
    </w:p>
    <w:p w14:paraId="0C9D2340">
      <w:pPr>
        <w:spacing w:before="0" w:after="0" w:line="560" w:lineRule="exact"/>
        <w:ind w:firstLine="560" w:firstLineChars="200"/>
        <w:jc w:val="left"/>
        <w:rPr>
          <w:rFonts w:ascii="宋体" w:hAnsi="宋体" w:eastAsia="宋体" w:cs="宋体"/>
          <w:b/>
          <w:bCs/>
          <w:sz w:val="28"/>
          <w:szCs w:val="28"/>
        </w:rPr>
      </w:pPr>
    </w:p>
    <w:p w14:paraId="6B2F3DB0">
      <w:r>
        <w:br w:type="page"/>
      </w:r>
    </w:p>
    <w:p w14:paraId="16039C7B">
      <w:pPr>
        <w:spacing w:before="0" w:after="0" w:line="720" w:lineRule="exact"/>
        <w:jc w:val="center"/>
        <w:rPr>
          <w:rFonts w:hint="eastAsia" w:ascii="宋体" w:hAnsi="宋体" w:eastAsia="宋体" w:cs="宋体"/>
          <w:b/>
          <w:bCs/>
          <w:sz w:val="36"/>
          <w:szCs w:val="36"/>
        </w:rPr>
      </w:pPr>
      <w:r>
        <w:rPr>
          <w:rFonts w:hint="eastAsia" w:ascii="宋体" w:hAnsi="宋体" w:eastAsia="宋体" w:cs="宋体"/>
          <w:b/>
          <w:bCs/>
          <w:sz w:val="36"/>
          <w:szCs w:val="36"/>
        </w:rPr>
        <w:t>目</w:t>
      </w:r>
      <w:r>
        <w:rPr>
          <w:rFonts w:hint="eastAsia" w:ascii="宋体" w:hAnsi="宋体" w:cs="宋体"/>
          <w:b/>
          <w:bCs/>
          <w:sz w:val="36"/>
          <w:szCs w:val="36"/>
          <w:lang w:val="en-US" w:eastAsia="zh-CN"/>
        </w:rPr>
        <w:t xml:space="preserve"> </w:t>
      </w:r>
      <w:r>
        <w:rPr>
          <w:rFonts w:hint="eastAsia" w:ascii="宋体" w:hAnsi="宋体" w:eastAsia="宋体" w:cs="宋体"/>
          <w:b/>
          <w:bCs/>
          <w:sz w:val="36"/>
          <w:szCs w:val="36"/>
        </w:rPr>
        <w:t>录</w:t>
      </w:r>
    </w:p>
    <w:p w14:paraId="44385D78">
      <w:pPr>
        <w:spacing w:before="0" w:after="0" w:line="720" w:lineRule="exact"/>
        <w:jc w:val="center"/>
        <w:rPr>
          <w:rFonts w:hint="eastAsia" w:ascii="宋体" w:hAnsi="宋体" w:eastAsia="宋体" w:cs="宋体"/>
          <w:b/>
          <w:bCs/>
          <w:sz w:val="36"/>
          <w:szCs w:val="36"/>
        </w:rPr>
      </w:pPr>
    </w:p>
    <w:p w14:paraId="767F0888">
      <w:pPr>
        <w:pStyle w:val="4"/>
        <w:tabs>
          <w:tab w:val="right" w:leader="dot" w:pos="9637"/>
        </w:tabs>
        <w:ind w:firstLine="560" w:firstLineChars="200"/>
        <w:rPr>
          <w:rFonts w:hint="default" w:ascii="Times New Roman" w:hAnsi="Times New Roman" w:cs="Times New Roman"/>
          <w:b/>
          <w:bCs/>
          <w:sz w:val="28"/>
          <w:szCs w:val="28"/>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TOC \o "1-2" \h \z \u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_Toc2306 </w:instrText>
      </w:r>
      <w:r>
        <w:rPr>
          <w:rFonts w:hint="default" w:ascii="Times New Roman" w:hAnsi="Times New Roman" w:eastAsia="宋体" w:cs="Times New Roman"/>
          <w:b/>
          <w:bCs/>
          <w:sz w:val="28"/>
          <w:szCs w:val="28"/>
        </w:rPr>
        <w:fldChar w:fldCharType="separate"/>
      </w:r>
      <w:r>
        <w:rPr>
          <w:rFonts w:ascii="Times New Roman" w:hAnsi="Times New Roman" w:eastAsia="宋体" w:cs="Times New Roman"/>
          <w:b/>
          <w:bCs/>
          <w:sz w:val="28"/>
          <w:szCs w:val="28"/>
        </w:rPr>
        <w:t>第一节 重要提示、目录和释义</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_Toc2306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2</w:t>
      </w:r>
      <w:r>
        <w:rPr>
          <w:rFonts w:hint="default" w:ascii="Times New Roman" w:hAnsi="Times New Roman" w:cs="Times New Roman"/>
          <w:b/>
          <w:bCs/>
          <w:sz w:val="28"/>
          <w:szCs w:val="28"/>
        </w:rPr>
        <w:fldChar w:fldCharType="end"/>
      </w:r>
      <w:r>
        <w:rPr>
          <w:rFonts w:hint="default" w:ascii="Times New Roman" w:hAnsi="Times New Roman" w:eastAsia="宋体" w:cs="Times New Roman"/>
          <w:b/>
          <w:bCs/>
          <w:sz w:val="28"/>
          <w:szCs w:val="28"/>
        </w:rPr>
        <w:fldChar w:fldCharType="end"/>
      </w:r>
    </w:p>
    <w:p w14:paraId="59DBB28F">
      <w:pPr>
        <w:pStyle w:val="4"/>
        <w:tabs>
          <w:tab w:val="right" w:leader="dot" w:pos="9637"/>
        </w:tabs>
        <w:ind w:firstLine="560" w:firstLineChars="200"/>
        <w:rPr>
          <w:rFonts w:hint="eastAsia" w:ascii="Times New Roman" w:hAnsi="Times New Roman" w:eastAsia="宋体" w:cs="Times New Roman"/>
          <w:b/>
          <w:bCs/>
          <w:sz w:val="28"/>
          <w:szCs w:val="28"/>
          <w:lang w:eastAsia="zh-CN"/>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_Toc1940 </w:instrText>
      </w:r>
      <w:r>
        <w:rPr>
          <w:rFonts w:hint="default" w:ascii="Times New Roman" w:hAnsi="Times New Roman" w:eastAsia="宋体" w:cs="Times New Roman"/>
          <w:b/>
          <w:bCs/>
          <w:sz w:val="28"/>
          <w:szCs w:val="28"/>
        </w:rPr>
        <w:fldChar w:fldCharType="separate"/>
      </w:r>
      <w:r>
        <w:rPr>
          <w:rFonts w:ascii="Times New Roman" w:hAnsi="Times New Roman" w:eastAsia="宋体" w:cs="Times New Roman"/>
          <w:b/>
          <w:bCs/>
          <w:sz w:val="28"/>
          <w:szCs w:val="28"/>
        </w:rPr>
        <w:t>第二节 公司简介和主要财务指标</w:t>
      </w:r>
      <w:r>
        <w:rPr>
          <w:rFonts w:hint="default" w:ascii="Times New Roman" w:hAnsi="Times New Roman" w:cs="Times New Roman"/>
          <w:b/>
          <w:bCs/>
          <w:sz w:val="28"/>
          <w:szCs w:val="28"/>
        </w:rPr>
        <w:tab/>
      </w:r>
      <w:r>
        <w:rPr>
          <w:rFonts w:hint="default" w:ascii="Times New Roman" w:hAnsi="Times New Roman" w:eastAsia="宋体" w:cs="Times New Roman"/>
          <w:b/>
          <w:bCs/>
          <w:sz w:val="28"/>
          <w:szCs w:val="28"/>
        </w:rPr>
        <w:fldChar w:fldCharType="end"/>
      </w:r>
      <w:r>
        <w:rPr>
          <w:rFonts w:hint="eastAsia" w:cs="Times New Roman"/>
          <w:b/>
          <w:bCs/>
          <w:sz w:val="28"/>
          <w:szCs w:val="28"/>
          <w:lang w:val="en-US" w:eastAsia="zh-CN"/>
        </w:rPr>
        <w:t>7</w:t>
      </w:r>
    </w:p>
    <w:p w14:paraId="2CE51BE1">
      <w:pPr>
        <w:pStyle w:val="4"/>
        <w:tabs>
          <w:tab w:val="right" w:leader="dot" w:pos="9637"/>
        </w:tabs>
        <w:ind w:firstLine="560" w:firstLineChars="200"/>
        <w:rPr>
          <w:rFonts w:hint="eastAsia" w:ascii="Times New Roman" w:hAnsi="Times New Roman" w:eastAsia="宋体" w:cs="Times New Roman"/>
          <w:b/>
          <w:bCs/>
          <w:sz w:val="28"/>
          <w:szCs w:val="28"/>
          <w:lang w:eastAsia="zh-CN"/>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_Toc10316 </w:instrText>
      </w:r>
      <w:r>
        <w:rPr>
          <w:rFonts w:hint="default" w:ascii="Times New Roman" w:hAnsi="Times New Roman" w:eastAsia="宋体" w:cs="Times New Roman"/>
          <w:b/>
          <w:bCs/>
          <w:sz w:val="28"/>
          <w:szCs w:val="28"/>
        </w:rPr>
        <w:fldChar w:fldCharType="separate"/>
      </w:r>
      <w:r>
        <w:rPr>
          <w:rFonts w:ascii="Times New Roman" w:hAnsi="Times New Roman" w:eastAsia="宋体" w:cs="Times New Roman"/>
          <w:b/>
          <w:bCs/>
          <w:sz w:val="28"/>
          <w:szCs w:val="28"/>
        </w:rPr>
        <w:t>第三节 管理层讨论与分析</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_Toc10316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eastAsia="宋体" w:cs="Times New Roman"/>
          <w:b/>
          <w:bCs/>
          <w:sz w:val="28"/>
          <w:szCs w:val="28"/>
        </w:rPr>
        <w:fldChar w:fldCharType="end"/>
      </w:r>
      <w:r>
        <w:rPr>
          <w:rFonts w:hint="eastAsia" w:cs="Times New Roman"/>
          <w:b/>
          <w:bCs/>
          <w:sz w:val="28"/>
          <w:szCs w:val="28"/>
          <w:lang w:val="en-US" w:eastAsia="zh-CN"/>
        </w:rPr>
        <w:t>1</w:t>
      </w:r>
    </w:p>
    <w:p w14:paraId="4F695B62">
      <w:pPr>
        <w:pStyle w:val="4"/>
        <w:tabs>
          <w:tab w:val="right" w:leader="dot" w:pos="9637"/>
        </w:tabs>
        <w:ind w:firstLine="560"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_Toc30109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第四节 公司治理、环境和社会</w:t>
      </w:r>
      <w:r>
        <w:rPr>
          <w:rFonts w:hint="default" w:ascii="Times New Roman" w:hAnsi="Times New Roman" w:cs="Times New Roman"/>
          <w:b/>
          <w:bCs/>
          <w:sz w:val="28"/>
          <w:szCs w:val="28"/>
        </w:rPr>
        <w:tab/>
      </w:r>
      <w:r>
        <w:rPr>
          <w:rFonts w:hint="default" w:ascii="Times New Roman" w:hAnsi="Times New Roman" w:eastAsia="宋体" w:cs="Times New Roman"/>
          <w:b/>
          <w:bCs/>
          <w:sz w:val="28"/>
          <w:szCs w:val="28"/>
        </w:rPr>
        <w:fldChar w:fldCharType="end"/>
      </w:r>
      <w:r>
        <w:rPr>
          <w:rFonts w:hint="eastAsia" w:cs="Times New Roman"/>
          <w:b/>
          <w:bCs/>
          <w:sz w:val="28"/>
          <w:szCs w:val="28"/>
          <w:lang w:val="en-US" w:eastAsia="zh-CN"/>
        </w:rPr>
        <w:t>28</w:t>
      </w:r>
    </w:p>
    <w:p w14:paraId="5522BE3B">
      <w:pPr>
        <w:pStyle w:val="4"/>
        <w:tabs>
          <w:tab w:val="right" w:leader="dot" w:pos="9637"/>
        </w:tabs>
        <w:ind w:firstLine="560" w:firstLineChars="200"/>
        <w:rPr>
          <w:rFonts w:hint="eastAsia" w:ascii="Times New Roman" w:hAnsi="Times New Roman" w:eastAsia="宋体" w:cs="Times New Roman"/>
          <w:b/>
          <w:bCs/>
          <w:sz w:val="28"/>
          <w:szCs w:val="28"/>
          <w:lang w:eastAsia="zh-CN"/>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_Toc27065 </w:instrText>
      </w:r>
      <w:r>
        <w:rPr>
          <w:rFonts w:hint="default" w:ascii="Times New Roman" w:hAnsi="Times New Roman" w:eastAsia="宋体" w:cs="Times New Roman"/>
          <w:b/>
          <w:bCs/>
          <w:sz w:val="28"/>
          <w:szCs w:val="28"/>
        </w:rPr>
        <w:fldChar w:fldCharType="separate"/>
      </w:r>
      <w:r>
        <w:rPr>
          <w:rFonts w:ascii="Times New Roman" w:hAnsi="Times New Roman" w:eastAsia="宋体" w:cs="Times New Roman"/>
          <w:b/>
          <w:bCs/>
          <w:sz w:val="28"/>
          <w:szCs w:val="28"/>
        </w:rPr>
        <w:t>第五节 重要事项</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_Toc27065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4</w:t>
      </w:r>
      <w:r>
        <w:rPr>
          <w:rFonts w:hint="default" w:ascii="Times New Roman" w:hAnsi="Times New Roman" w:cs="Times New Roman"/>
          <w:b/>
          <w:bCs/>
          <w:sz w:val="28"/>
          <w:szCs w:val="28"/>
        </w:rPr>
        <w:fldChar w:fldCharType="end"/>
      </w:r>
      <w:r>
        <w:rPr>
          <w:rFonts w:hint="default" w:ascii="Times New Roman" w:hAnsi="Times New Roman" w:eastAsia="宋体" w:cs="Times New Roman"/>
          <w:b/>
          <w:bCs/>
          <w:sz w:val="28"/>
          <w:szCs w:val="28"/>
        </w:rPr>
        <w:fldChar w:fldCharType="end"/>
      </w:r>
      <w:r>
        <w:rPr>
          <w:rFonts w:hint="eastAsia" w:cs="Times New Roman"/>
          <w:b/>
          <w:bCs/>
          <w:sz w:val="28"/>
          <w:szCs w:val="28"/>
          <w:lang w:val="en-US" w:eastAsia="zh-CN"/>
        </w:rPr>
        <w:t>4</w:t>
      </w:r>
    </w:p>
    <w:p w14:paraId="3E9A8166">
      <w:pPr>
        <w:pStyle w:val="4"/>
        <w:tabs>
          <w:tab w:val="right" w:leader="dot" w:pos="9637"/>
        </w:tabs>
        <w:ind w:firstLine="560" w:firstLineChars="200"/>
        <w:rPr>
          <w:rFonts w:hint="eastAsia" w:ascii="Times New Roman" w:hAnsi="Times New Roman" w:eastAsia="宋体" w:cs="Times New Roman"/>
          <w:b/>
          <w:bCs/>
          <w:sz w:val="28"/>
          <w:szCs w:val="28"/>
          <w:lang w:eastAsia="zh-CN"/>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_Toc965 </w:instrText>
      </w:r>
      <w:r>
        <w:rPr>
          <w:rFonts w:hint="default" w:ascii="Times New Roman" w:hAnsi="Times New Roman" w:eastAsia="宋体" w:cs="Times New Roman"/>
          <w:b/>
          <w:bCs/>
          <w:sz w:val="28"/>
          <w:szCs w:val="28"/>
        </w:rPr>
        <w:fldChar w:fldCharType="separate"/>
      </w:r>
      <w:r>
        <w:rPr>
          <w:rFonts w:ascii="Times New Roman" w:hAnsi="Times New Roman" w:eastAsia="宋体" w:cs="Times New Roman"/>
          <w:b/>
          <w:bCs/>
          <w:sz w:val="28"/>
          <w:szCs w:val="28"/>
        </w:rPr>
        <w:t>第六节 股份变动及股东情况</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_Toc965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5</w:t>
      </w:r>
      <w:r>
        <w:rPr>
          <w:rFonts w:hint="default" w:ascii="Times New Roman" w:hAnsi="Times New Roman" w:cs="Times New Roman"/>
          <w:b/>
          <w:bCs/>
          <w:sz w:val="28"/>
          <w:szCs w:val="28"/>
        </w:rPr>
        <w:fldChar w:fldCharType="end"/>
      </w:r>
      <w:r>
        <w:rPr>
          <w:rFonts w:hint="default" w:ascii="Times New Roman" w:hAnsi="Times New Roman" w:eastAsia="宋体" w:cs="Times New Roman"/>
          <w:b/>
          <w:bCs/>
          <w:sz w:val="28"/>
          <w:szCs w:val="28"/>
        </w:rPr>
        <w:fldChar w:fldCharType="end"/>
      </w:r>
      <w:r>
        <w:rPr>
          <w:rFonts w:hint="eastAsia" w:cs="Times New Roman"/>
          <w:b/>
          <w:bCs/>
          <w:sz w:val="28"/>
          <w:szCs w:val="28"/>
          <w:lang w:val="en-US" w:eastAsia="zh-CN"/>
        </w:rPr>
        <w:t>6</w:t>
      </w:r>
    </w:p>
    <w:p w14:paraId="130ED496">
      <w:pPr>
        <w:pStyle w:val="4"/>
        <w:tabs>
          <w:tab w:val="right" w:leader="dot" w:pos="9637"/>
        </w:tabs>
        <w:ind w:firstLine="560" w:firstLineChars="200"/>
        <w:rPr>
          <w:rFonts w:hint="eastAsia" w:ascii="Times New Roman" w:hAnsi="Times New Roman" w:eastAsia="宋体" w:cs="Times New Roman"/>
          <w:b/>
          <w:bCs/>
          <w:sz w:val="28"/>
          <w:szCs w:val="28"/>
          <w:lang w:eastAsia="zh-CN"/>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_Toc22716 </w:instrText>
      </w:r>
      <w:r>
        <w:rPr>
          <w:rFonts w:hint="default" w:ascii="Times New Roman" w:hAnsi="Times New Roman" w:eastAsia="宋体" w:cs="Times New Roman"/>
          <w:b/>
          <w:bCs/>
          <w:sz w:val="28"/>
          <w:szCs w:val="28"/>
        </w:rPr>
        <w:fldChar w:fldCharType="separate"/>
      </w:r>
      <w:r>
        <w:rPr>
          <w:rFonts w:ascii="Times New Roman" w:hAnsi="Times New Roman" w:eastAsia="宋体" w:cs="Times New Roman"/>
          <w:b/>
          <w:bCs/>
          <w:sz w:val="28"/>
          <w:szCs w:val="28"/>
        </w:rPr>
        <w:t>第七节 债券相关情况</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_Toc22716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6</w:t>
      </w:r>
      <w:r>
        <w:rPr>
          <w:rFonts w:hint="default" w:ascii="Times New Roman" w:hAnsi="Times New Roman" w:cs="Times New Roman"/>
          <w:b/>
          <w:bCs/>
          <w:sz w:val="28"/>
          <w:szCs w:val="28"/>
        </w:rPr>
        <w:fldChar w:fldCharType="end"/>
      </w:r>
      <w:r>
        <w:rPr>
          <w:rFonts w:hint="default" w:ascii="Times New Roman" w:hAnsi="Times New Roman" w:eastAsia="宋体" w:cs="Times New Roman"/>
          <w:b/>
          <w:bCs/>
          <w:sz w:val="28"/>
          <w:szCs w:val="28"/>
        </w:rPr>
        <w:fldChar w:fldCharType="end"/>
      </w:r>
      <w:r>
        <w:rPr>
          <w:rFonts w:hint="eastAsia" w:cs="Times New Roman"/>
          <w:b/>
          <w:bCs/>
          <w:sz w:val="28"/>
          <w:szCs w:val="28"/>
          <w:lang w:val="en-US" w:eastAsia="zh-CN"/>
        </w:rPr>
        <w:t>2</w:t>
      </w:r>
    </w:p>
    <w:p w14:paraId="4E2F1178">
      <w:pPr>
        <w:pStyle w:val="4"/>
        <w:tabs>
          <w:tab w:val="right" w:leader="dot" w:pos="9637"/>
        </w:tabs>
        <w:ind w:firstLine="560" w:firstLineChars="200"/>
        <w:rPr>
          <w:rFonts w:hint="eastAsia" w:eastAsia="宋体"/>
          <w:lang w:eastAsia="zh-CN"/>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_Toc7426 </w:instrText>
      </w:r>
      <w:r>
        <w:rPr>
          <w:rFonts w:hint="default" w:ascii="Times New Roman" w:hAnsi="Times New Roman" w:eastAsia="宋体" w:cs="Times New Roman"/>
          <w:b/>
          <w:bCs/>
          <w:sz w:val="28"/>
          <w:szCs w:val="28"/>
        </w:rPr>
        <w:fldChar w:fldCharType="separate"/>
      </w:r>
      <w:r>
        <w:rPr>
          <w:rFonts w:ascii="Times New Roman" w:hAnsi="Times New Roman" w:eastAsia="宋体" w:cs="Times New Roman"/>
          <w:b/>
          <w:bCs/>
          <w:sz w:val="28"/>
          <w:szCs w:val="28"/>
        </w:rPr>
        <w:t>第八节 财务报告</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_Toc7426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6</w:t>
      </w:r>
      <w:r>
        <w:rPr>
          <w:rFonts w:hint="default" w:ascii="Times New Roman" w:hAnsi="Times New Roman" w:cs="Times New Roman"/>
          <w:b/>
          <w:bCs/>
          <w:sz w:val="28"/>
          <w:szCs w:val="28"/>
        </w:rPr>
        <w:fldChar w:fldCharType="end"/>
      </w:r>
      <w:r>
        <w:rPr>
          <w:rFonts w:hint="default" w:ascii="Times New Roman" w:hAnsi="Times New Roman" w:eastAsia="宋体" w:cs="Times New Roman"/>
          <w:b/>
          <w:bCs/>
          <w:sz w:val="28"/>
          <w:szCs w:val="28"/>
        </w:rPr>
        <w:fldChar w:fldCharType="end"/>
      </w:r>
      <w:r>
        <w:rPr>
          <w:rFonts w:hint="eastAsia" w:cs="Times New Roman"/>
          <w:b/>
          <w:bCs/>
          <w:sz w:val="28"/>
          <w:szCs w:val="28"/>
          <w:lang w:val="en-US" w:eastAsia="zh-CN"/>
        </w:rPr>
        <w:t>3</w:t>
      </w:r>
    </w:p>
    <w:p w14:paraId="1BBAD864">
      <w:pPr>
        <w:pStyle w:val="5"/>
        <w:tabs>
          <w:tab w:val="right" w:leader="dot" w:pos="9637"/>
        </w:tabs>
      </w:pPr>
    </w:p>
    <w:p w14:paraId="75008A37">
      <w:pPr>
        <w:pStyle w:val="4"/>
        <w:tabs>
          <w:tab w:val="left" w:leader="dot" w:pos="9469"/>
        </w:tabs>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fldChar w:fldCharType="end"/>
      </w:r>
    </w:p>
    <w:p w14:paraId="3CA3D8FD">
      <w:pPr>
        <w:pStyle w:val="4"/>
        <w:tabs>
          <w:tab w:val="left" w:leader="dot" w:pos="9469"/>
        </w:tabs>
      </w:pPr>
      <w:r>
        <w:br w:type="page"/>
      </w:r>
    </w:p>
    <w:p w14:paraId="62BE11AC">
      <w:pPr>
        <w:spacing w:before="0" w:after="0" w:line="640" w:lineRule="exact"/>
        <w:jc w:val="center"/>
        <w:rPr>
          <w:rFonts w:ascii="宋体" w:hAnsi="宋体" w:eastAsia="宋体" w:cs="宋体"/>
          <w:b/>
          <w:bCs/>
          <w:sz w:val="32"/>
          <w:szCs w:val="32"/>
        </w:rPr>
      </w:pPr>
      <w:r>
        <w:rPr>
          <w:rFonts w:ascii="宋体" w:hAnsi="宋体" w:eastAsia="宋体" w:cs="宋体"/>
          <w:b/>
          <w:bCs/>
          <w:sz w:val="32"/>
          <w:szCs w:val="32"/>
        </w:rPr>
        <w:t>备查文件目录</w:t>
      </w:r>
    </w:p>
    <w:p w14:paraId="06E01A5D">
      <w:pPr>
        <w:pStyle w:val="6"/>
        <w:keepNext w:val="0"/>
        <w:keepLines w:val="0"/>
        <w:widowControl/>
        <w:suppressLineNumbers w:val="0"/>
        <w:spacing w:line="560" w:lineRule="atLeast"/>
        <w:ind w:left="0" w:firstLine="357"/>
        <w:rPr>
          <w:rFonts w:hint="eastAsia" w:ascii="宋体" w:hAnsi="宋体" w:eastAsia="宋体" w:cs="宋体"/>
          <w:b/>
          <w:bCs/>
          <w:sz w:val="18"/>
          <w:szCs w:val="18"/>
        </w:rPr>
      </w:pPr>
      <w:r>
        <w:rPr>
          <w:rFonts w:hint="eastAsia" w:ascii="宋体" w:hAnsi="宋体" w:eastAsia="宋体" w:cs="宋体"/>
          <w:b/>
          <w:bCs/>
          <w:sz w:val="18"/>
          <w:szCs w:val="18"/>
        </w:rPr>
        <w:t>（一）载有公司负责人、主管会计工作负责人、会计机构负责人（会计主管人员）签名并盖章的财务报表。</w:t>
      </w:r>
    </w:p>
    <w:p w14:paraId="4D654ECD">
      <w:pPr>
        <w:pStyle w:val="6"/>
        <w:keepNext w:val="0"/>
        <w:keepLines w:val="0"/>
        <w:widowControl/>
        <w:suppressLineNumbers w:val="0"/>
        <w:spacing w:line="560" w:lineRule="atLeast"/>
        <w:ind w:left="0" w:firstLine="357"/>
        <w:rPr>
          <w:rFonts w:hint="eastAsia" w:ascii="宋体" w:hAnsi="宋体" w:eastAsia="宋体" w:cs="宋体"/>
          <w:b/>
          <w:bCs/>
          <w:sz w:val="18"/>
          <w:szCs w:val="18"/>
        </w:rPr>
      </w:pPr>
      <w:r>
        <w:rPr>
          <w:rFonts w:hint="eastAsia" w:ascii="宋体" w:hAnsi="宋体" w:eastAsia="宋体" w:cs="宋体"/>
          <w:b/>
          <w:bCs/>
          <w:sz w:val="18"/>
          <w:szCs w:val="18"/>
        </w:rPr>
        <w:t>（二）载有会计师事务所盖章、注册会计师签名并盖章的审计报告原件。</w:t>
      </w:r>
    </w:p>
    <w:p w14:paraId="5CCA49C6">
      <w:pPr>
        <w:pStyle w:val="6"/>
        <w:keepNext w:val="0"/>
        <w:keepLines w:val="0"/>
        <w:widowControl/>
        <w:suppressLineNumbers w:val="0"/>
        <w:spacing w:line="560" w:lineRule="atLeast"/>
        <w:ind w:left="0" w:firstLine="357"/>
        <w:rPr>
          <w:rFonts w:hint="eastAsia" w:ascii="宋体" w:hAnsi="宋体" w:eastAsia="宋体" w:cs="宋体"/>
          <w:b/>
          <w:bCs/>
          <w:sz w:val="18"/>
          <w:szCs w:val="18"/>
        </w:rPr>
      </w:pPr>
      <w:r>
        <w:rPr>
          <w:rFonts w:hint="eastAsia" w:ascii="宋体" w:hAnsi="宋体" w:eastAsia="宋体" w:cs="宋体"/>
          <w:b/>
          <w:bCs/>
          <w:sz w:val="18"/>
          <w:szCs w:val="18"/>
        </w:rPr>
        <w:t>（三）报告期内公开披露过的所有公司文件的正本及公告的原稿。</w:t>
      </w:r>
    </w:p>
    <w:p w14:paraId="08E6217F">
      <w:pPr>
        <w:pStyle w:val="6"/>
        <w:keepNext w:val="0"/>
        <w:keepLines w:val="0"/>
        <w:widowControl/>
        <w:suppressLineNumbers w:val="0"/>
        <w:spacing w:line="560" w:lineRule="atLeast"/>
        <w:ind w:left="0" w:firstLine="357"/>
        <w:rPr>
          <w:rFonts w:hint="eastAsia" w:ascii="宋体" w:hAnsi="宋体" w:eastAsia="宋体" w:cs="宋体"/>
          <w:b/>
          <w:bCs/>
          <w:sz w:val="18"/>
          <w:szCs w:val="18"/>
        </w:rPr>
      </w:pPr>
      <w:r>
        <w:rPr>
          <w:rFonts w:hint="eastAsia" w:ascii="宋体" w:hAnsi="宋体" w:eastAsia="宋体" w:cs="宋体"/>
          <w:b/>
          <w:bCs/>
          <w:sz w:val="18"/>
          <w:szCs w:val="18"/>
        </w:rPr>
        <w:t>（四）经公司法定代表人签名的</w:t>
      </w:r>
      <w:r>
        <w:rPr>
          <w:rFonts w:hint="default" w:ascii="Times New Roman" w:hAnsi="Times New Roman" w:eastAsia="宋体" w:cs="Times New Roman"/>
          <w:b/>
          <w:bCs/>
          <w:sz w:val="18"/>
          <w:szCs w:val="18"/>
        </w:rPr>
        <w:t>2025年</w:t>
      </w:r>
      <w:r>
        <w:rPr>
          <w:rFonts w:hint="eastAsia" w:ascii="宋体" w:hAnsi="宋体" w:eastAsia="宋体" w:cs="宋体"/>
          <w:b/>
          <w:bCs/>
          <w:sz w:val="18"/>
          <w:szCs w:val="18"/>
        </w:rPr>
        <w:t>年度报告原件。</w:t>
      </w:r>
    </w:p>
    <w:p w14:paraId="24E75389">
      <w:pPr>
        <w:pStyle w:val="6"/>
        <w:keepNext w:val="0"/>
        <w:keepLines w:val="0"/>
        <w:widowControl/>
        <w:suppressLineNumbers w:val="0"/>
        <w:spacing w:line="560" w:lineRule="atLeast"/>
        <w:ind w:left="0" w:firstLine="357"/>
        <w:rPr>
          <w:rFonts w:hint="eastAsia" w:ascii="宋体" w:hAnsi="宋体" w:eastAsia="宋体" w:cs="宋体"/>
          <w:b/>
          <w:bCs/>
          <w:sz w:val="18"/>
          <w:szCs w:val="18"/>
        </w:rPr>
      </w:pPr>
      <w:r>
        <w:rPr>
          <w:rFonts w:hint="eastAsia" w:ascii="宋体" w:hAnsi="宋体" w:eastAsia="宋体" w:cs="宋体"/>
          <w:b/>
          <w:bCs/>
          <w:sz w:val="18"/>
          <w:szCs w:val="18"/>
        </w:rPr>
        <w:t>（五）其他有关资料。</w:t>
      </w:r>
    </w:p>
    <w:p w14:paraId="1D728C00">
      <w:r>
        <w:br w:type="page"/>
      </w:r>
    </w:p>
    <w:p w14:paraId="797BD012">
      <w:pPr>
        <w:spacing w:before="40" w:after="40" w:line="560" w:lineRule="exact"/>
        <w:jc w:val="center"/>
        <w:rPr>
          <w:rFonts w:ascii="宋体" w:hAnsi="宋体" w:eastAsia="宋体" w:cs="宋体"/>
          <w:b/>
          <w:bCs/>
          <w:sz w:val="32"/>
          <w:szCs w:val="32"/>
        </w:rPr>
      </w:pPr>
      <w:r>
        <w:rPr>
          <w:rFonts w:ascii="宋体" w:hAnsi="宋体" w:eastAsia="宋体" w:cs="宋体"/>
          <w:b/>
          <w:bCs/>
          <w:sz w:val="32"/>
          <w:szCs w:val="32"/>
        </w:rPr>
        <w:t>释义</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1053"/>
        <w:gridCol w:w="5373"/>
      </w:tblGrid>
      <w:tr w14:paraId="02854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DE923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释义项</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145710C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shd w:val="clear" w:color="auto" w:fill="D3D3D3"/>
            <w:vAlign w:val="center"/>
          </w:tcPr>
          <w:p w14:paraId="3E9A0C5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释义内容</w:t>
            </w:r>
          </w:p>
        </w:tc>
      </w:tr>
      <w:tr w14:paraId="4AB39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7A4A8E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中国证监会</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0C91167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66A3D5F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中国证券监督管理委员会</w:t>
            </w:r>
          </w:p>
        </w:tc>
      </w:tr>
      <w:tr w14:paraId="6A716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DAE6F1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深交所</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6EF650D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4A9924C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深圳证券交易所</w:t>
            </w:r>
          </w:p>
        </w:tc>
      </w:tr>
      <w:tr w14:paraId="78D5A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3B0CB6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国家药监局</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59949E9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35A7DC9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中华人民共和国国家药品监督管理局</w:t>
            </w:r>
          </w:p>
        </w:tc>
      </w:tr>
      <w:tr w14:paraId="42D92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2F7479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FDA</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2854E14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7481EEB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美国食品药品监督管理局</w:t>
            </w:r>
          </w:p>
        </w:tc>
      </w:tr>
      <w:tr w14:paraId="6DB5C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32E2E7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国家发改委</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5EC5F88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2BE2284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中华人民共和国国家发展和改革委员会</w:t>
            </w:r>
          </w:p>
        </w:tc>
      </w:tr>
      <w:tr w14:paraId="13055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E9D756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冠昊生物、公司、本公司</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48D9BBA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7D97DF9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冠昊生物科技股份有限公司</w:t>
            </w:r>
          </w:p>
        </w:tc>
      </w:tr>
      <w:tr w14:paraId="0980E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A88601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冠昊科技园</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1038B66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6628E16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冠昊生命健康科技园有限公司</w:t>
            </w:r>
          </w:p>
        </w:tc>
      </w:tr>
      <w:tr w14:paraId="5800C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2B8940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再生医学公司</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327E59F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19DEDE4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广东冠昊再生医学科技开发有限公司</w:t>
            </w:r>
          </w:p>
        </w:tc>
      </w:tr>
      <w:tr w14:paraId="205F4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0FDBC3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医用材料公司</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550A6B5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24C5952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广东冠昊生物医用材料开发有限公司</w:t>
            </w:r>
          </w:p>
        </w:tc>
      </w:tr>
      <w:tr w14:paraId="06598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94D445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优得清公司</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576FC0E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72E724E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广州优得清生物科技有限公司</w:t>
            </w:r>
          </w:p>
        </w:tc>
      </w:tr>
      <w:tr w14:paraId="4C07C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A26A36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北昊公司、北昊研究院</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306B322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2D5697C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北昊干细胞与再生医学研究院有限公司</w:t>
            </w:r>
          </w:p>
        </w:tc>
      </w:tr>
      <w:tr w14:paraId="66955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D612CA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珠海祥乐</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2ADD76B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165A0F3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珠海市祥乐医疗器械有限公司</w:t>
            </w:r>
          </w:p>
        </w:tc>
      </w:tr>
      <w:tr w14:paraId="0725E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F0F3EF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中昊药业、广东中昊</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7C1A310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64835FA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广东中昊药业有限公司</w:t>
            </w:r>
          </w:p>
        </w:tc>
      </w:tr>
      <w:tr w14:paraId="7D380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F3A42F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武汉北度</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735CC4C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1164DA4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武汉北度生物科技有限公司</w:t>
            </w:r>
          </w:p>
        </w:tc>
      </w:tr>
      <w:tr w14:paraId="0DADB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2B1E00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北京文丰</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61232AB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0228CBA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北京文丰天济医药科技有限公司</w:t>
            </w:r>
          </w:p>
        </w:tc>
      </w:tr>
      <w:tr w14:paraId="0B9C1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8CDA92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天昊药业、广东天昊</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7212B49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566CD99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广东天昊药业有限公司</w:t>
            </w:r>
          </w:p>
        </w:tc>
      </w:tr>
      <w:tr w14:paraId="2B4D8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E82974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中山天昊</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02813C6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054943E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中山市天昊医疗器械有限公司</w:t>
            </w:r>
          </w:p>
        </w:tc>
      </w:tr>
      <w:tr w14:paraId="68FCD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2EEC5E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华南细胞库</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724C279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38C324C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广东冠昊华南细胞库有限公司</w:t>
            </w:r>
          </w:p>
        </w:tc>
      </w:tr>
      <w:tr w14:paraId="7750C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291F47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天昊科技园</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3E92674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0535ED8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中山天昊科技园有限公司</w:t>
            </w:r>
          </w:p>
        </w:tc>
      </w:tr>
      <w:tr w14:paraId="6C2B9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195ED7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天佑北昊</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56EEFA9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4D6680B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广州天佑北昊生物科技有限公司</w:t>
            </w:r>
          </w:p>
        </w:tc>
      </w:tr>
      <w:tr w14:paraId="77F75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DA4246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聚明生物</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2F7A8B4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757A4D3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广州聚明生物科技有限公司</w:t>
            </w:r>
          </w:p>
        </w:tc>
      </w:tr>
      <w:tr w14:paraId="307CE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FD7FBC6">
            <w:pPr>
              <w:spacing w:before="0" w:after="0" w:line="240" w:lineRule="exact"/>
              <w:jc w:val="left"/>
              <w:rPr>
                <w:rFonts w:hint="eastAsia" w:ascii="Times New Roman" w:hAnsi="Times New Roman" w:eastAsia="宋体" w:cs="Times New Roman"/>
                <w:sz w:val="18"/>
                <w:szCs w:val="18"/>
                <w:lang w:val="en-US" w:eastAsia="zh-CN"/>
              </w:rPr>
            </w:pPr>
            <w:r>
              <w:rPr>
                <w:rFonts w:hint="eastAsia" w:cs="Times New Roman"/>
                <w:sz w:val="18"/>
                <w:szCs w:val="18"/>
                <w:lang w:val="en-US" w:eastAsia="zh-CN"/>
              </w:rPr>
              <w:t>天佑启元</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36DD26EF">
            <w:pPr>
              <w:spacing w:before="40" w:after="40" w:line="240" w:lineRule="exact"/>
              <w:jc w:val="cente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6A0F273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北京天佑启元生物科技有限公司</w:t>
            </w:r>
          </w:p>
        </w:tc>
      </w:tr>
      <w:tr w14:paraId="44EFC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4D61C9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国家工程实验室</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37EEDA5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7AF484E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公司获国家发改委批复、授牌的“再生型医用植入器械国家工程实验室”</w:t>
            </w:r>
          </w:p>
        </w:tc>
      </w:tr>
      <w:tr w14:paraId="67C23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ECD43C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产业化示范工程</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015BA31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06383B5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公司获国家发改委批复、立项的“再生型生物膜高技术产业化示范工程”</w:t>
            </w:r>
          </w:p>
        </w:tc>
      </w:tr>
      <w:tr w14:paraId="2F4F7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242BB3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Ⅲ类医疗器械、植入医疗器械、医用植入器械</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6ADDE60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38C69A7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借助外科手术植入人体，并在手术结束后长期留在体内，用于支持、维持生命，对人体具有潜在危险，对其安全性、有效性必须严格控制的医疗器械</w:t>
            </w:r>
          </w:p>
        </w:tc>
      </w:tr>
      <w:tr w14:paraId="0BF21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41C083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生物型植入医疗器械</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26C8851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5AD2C7B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以天然生物材料为原料加工而成的植入医疗器械</w:t>
            </w:r>
          </w:p>
        </w:tc>
      </w:tr>
      <w:tr w14:paraId="54397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38871A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生物材料</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4C37102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372314B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与人体组织、体液或血液相接触或作用而对人体无毒、副作用，不凝血、不溶血，不引起人体细胞突变、畸变和癌变，不引起排异反应和过敏反应的特殊功能材料</w:t>
            </w:r>
          </w:p>
        </w:tc>
      </w:tr>
      <w:tr w14:paraId="543EA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8D7E22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再生医学材料</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7E525EC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530E9A1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一类以动物组织为原料，经系列创新技术处理后，具有良好的组织相容性，植入后不引起排斥反应，并能诱导机体组织生长的一类生物医学材料</w:t>
            </w:r>
          </w:p>
        </w:tc>
      </w:tr>
      <w:tr w14:paraId="074D1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B1FFB5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再生型医用植入器械、生物型人工器官</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3EA6C3A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5F62F62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以再生医学材料为原料制成的植入医疗器械</w:t>
            </w:r>
          </w:p>
        </w:tc>
      </w:tr>
      <w:tr w14:paraId="652B7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476AFD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硬脑膜</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773B097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312087D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硬脑膜是一厚而坚韧的双层膜。外层是颅骨内面的骨膜，仅疏松地附于颅盖，特别是在枕部与颞部附着更疏松，称为骨膜层；内层较外层厚而坚韧，与硬脊膜在枕骨大孔处续连，称为脑膜层。硬脑膜的主要作用是保护脑组织</w:t>
            </w:r>
          </w:p>
        </w:tc>
      </w:tr>
      <w:tr w14:paraId="20CFE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B6643D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乳房补片</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10A31C7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41294B6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公司研制生产的艾瑞欧乳房补片</w:t>
            </w:r>
          </w:p>
        </w:tc>
      </w:tr>
      <w:tr w14:paraId="473BA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AB10AC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生物角膜</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25A5CF9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481265C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优得清脱细胞角膜植片</w:t>
            </w:r>
          </w:p>
        </w:tc>
      </w:tr>
      <w:tr w14:paraId="73803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021BF1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本维莫德（曾用名：苯烯莫德）</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3C6D7FD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737B1E9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本维莫德是一种天然微生物代谢产物中分离出来的非激素类小分子化合物。该药物可以用于治疗多种自身免疫性疾病，如银屑病、特应性皮炎等</w:t>
            </w:r>
          </w:p>
        </w:tc>
      </w:tr>
      <w:tr w14:paraId="6F2F4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6E72CC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本维莫德乳膏（产品名：欣比克）</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24E7154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42F2D51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主要用于局部治疗成人轻至中度稳定性寻常型银屑病</w:t>
            </w:r>
          </w:p>
        </w:tc>
      </w:tr>
      <w:tr w14:paraId="0E17F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4EDD0B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《公司法》</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41CD552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5CDE066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《中华人民共和国公司法》</w:t>
            </w:r>
          </w:p>
        </w:tc>
      </w:tr>
      <w:tr w14:paraId="02B2C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3FFEE5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《证券法》</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5B9A91A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627525A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《中华人民共和国证券法》</w:t>
            </w:r>
          </w:p>
        </w:tc>
      </w:tr>
      <w:tr w14:paraId="29E0F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C881F0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《创业板股票上市规则》</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5CF1621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07EF714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《深圳证券交易所创业板股票上市规则》</w:t>
            </w:r>
          </w:p>
        </w:tc>
      </w:tr>
      <w:tr w14:paraId="14C68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BEB65A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《创业板</w:t>
            </w:r>
            <w:r>
              <w:rPr>
                <w:rFonts w:hint="eastAsia" w:cs="Times New Roman"/>
                <w:sz w:val="18"/>
                <w:szCs w:val="18"/>
                <w:lang w:val="en-US" w:eastAsia="zh-CN"/>
              </w:rPr>
              <w:t>上市公司</w:t>
            </w:r>
            <w:r>
              <w:rPr>
                <w:rFonts w:hint="default" w:ascii="Times New Roman" w:hAnsi="Times New Roman" w:eastAsia="宋体" w:cs="Times New Roman"/>
                <w:sz w:val="18"/>
                <w:szCs w:val="18"/>
              </w:rPr>
              <w:t>规范运作指引》</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575D0B7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71CCD34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《深圳证券交易所上市公司自律监管指引第2号——创业板上市公司规范运作》</w:t>
            </w:r>
          </w:p>
        </w:tc>
      </w:tr>
      <w:tr w14:paraId="175DF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645F0C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《公司章程》</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3BCF758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7041926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《冠昊生物科技股份有限公司章程》</w:t>
            </w:r>
          </w:p>
        </w:tc>
      </w:tr>
      <w:tr w14:paraId="42E83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30F7B7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6A37F47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2DCF8F3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2025年1月1日至2025年12月31日</w:t>
            </w:r>
          </w:p>
        </w:tc>
      </w:tr>
      <w:tr w14:paraId="70EB1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D483D5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巨潮资讯网</w:t>
            </w:r>
          </w:p>
        </w:tc>
        <w:tc>
          <w:tcPr>
            <w:tcW w:w="1053" w:type="dxa"/>
            <w:tcBorders>
              <w:top w:val="single" w:color="auto" w:sz="2" w:space="0"/>
              <w:left w:val="single" w:color="auto" w:sz="2" w:space="0"/>
              <w:bottom w:val="single" w:color="auto" w:sz="2" w:space="0"/>
              <w:right w:val="single" w:color="auto" w:sz="2" w:space="0"/>
            </w:tcBorders>
            <w:shd w:val="clear" w:color="auto" w:fill="D3D3D3"/>
            <w:vAlign w:val="center"/>
          </w:tcPr>
          <w:p w14:paraId="2589D80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5373" w:type="dxa"/>
            <w:tcBorders>
              <w:top w:val="single" w:color="auto" w:sz="2" w:space="0"/>
              <w:left w:val="single" w:color="auto" w:sz="2" w:space="0"/>
              <w:bottom w:val="single" w:color="auto" w:sz="2" w:space="0"/>
              <w:right w:val="single" w:color="auto" w:sz="2" w:space="0"/>
            </w:tcBorders>
            <w:vAlign w:val="center"/>
          </w:tcPr>
          <w:p w14:paraId="1FA40DC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http://www.cninfo.com.cn</w:t>
            </w:r>
          </w:p>
        </w:tc>
      </w:tr>
    </w:tbl>
    <w:p w14:paraId="7CE3CDE1">
      <w:r>
        <w:br w:type="page"/>
      </w:r>
    </w:p>
    <w:p w14:paraId="2861900E">
      <w:pPr>
        <w:pStyle w:val="11"/>
        <w:keepNext/>
        <w:keepLines/>
        <w:spacing w:before="340" w:after="330" w:line="773" w:lineRule="exact"/>
        <w:jc w:val="center"/>
        <w:outlineLvl w:val="0"/>
        <w:rPr>
          <w:rFonts w:ascii="宋体" w:hAnsi="宋体" w:eastAsia="宋体" w:cs="宋体"/>
          <w:b/>
          <w:bCs/>
          <w:sz w:val="32"/>
          <w:szCs w:val="32"/>
        </w:rPr>
      </w:pPr>
      <w:bookmarkStart w:id="2" w:name="_Toc1940"/>
      <w:bookmarkStart w:id="3" w:name="_Toc988890"/>
      <w:bookmarkStart w:id="4" w:name="_Toc989029"/>
      <w:r>
        <w:rPr>
          <w:rFonts w:ascii="宋体" w:hAnsi="宋体" w:eastAsia="宋体" w:cs="宋体"/>
          <w:b/>
          <w:bCs/>
          <w:sz w:val="32"/>
          <w:szCs w:val="32"/>
        </w:rPr>
        <w:t>第二节 公司简介和主要财务指标</w:t>
      </w:r>
      <w:bookmarkEnd w:id="2"/>
      <w:bookmarkEnd w:id="3"/>
    </w:p>
    <w:p w14:paraId="7746B44E">
      <w:pPr>
        <w:pStyle w:val="2"/>
        <w:keepNext/>
        <w:keepLines/>
        <w:spacing w:before="300" w:after="300" w:line="320" w:lineRule="exact"/>
        <w:jc w:val="left"/>
        <w:outlineLvl w:val="1"/>
        <w:rPr>
          <w:rFonts w:ascii="宋体" w:hAnsi="宋体" w:eastAsia="宋体" w:cs="宋体"/>
          <w:b/>
          <w:bCs/>
          <w:sz w:val="24"/>
          <w:szCs w:val="24"/>
        </w:rPr>
      </w:pPr>
      <w:bookmarkStart w:id="5" w:name="_Toc9463"/>
      <w:bookmarkStart w:id="6" w:name="_Toc988891"/>
      <w:r>
        <w:rPr>
          <w:rFonts w:ascii="宋体" w:hAnsi="宋体" w:eastAsia="宋体" w:cs="宋体"/>
          <w:b/>
          <w:bCs/>
          <w:sz w:val="24"/>
          <w:szCs w:val="24"/>
        </w:rPr>
        <w:t>一、公司信息</w:t>
      </w:r>
      <w:bookmarkEnd w:id="5"/>
      <w:bookmarkEnd w:id="6"/>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72BF7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622FDF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股票简称</w:t>
            </w:r>
          </w:p>
        </w:tc>
        <w:tc>
          <w:tcPr>
            <w:tcW w:w="2410" w:type="dxa"/>
            <w:tcBorders>
              <w:top w:val="single" w:color="auto" w:sz="2" w:space="0"/>
              <w:left w:val="single" w:color="auto" w:sz="2" w:space="0"/>
              <w:bottom w:val="single" w:color="auto" w:sz="2" w:space="0"/>
              <w:right w:val="single" w:color="auto" w:sz="2" w:space="0"/>
            </w:tcBorders>
            <w:vAlign w:val="center"/>
          </w:tcPr>
          <w:p w14:paraId="758CD15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冠昊生物</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57BA05B">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14:paraId="291BC08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300238</w:t>
            </w:r>
          </w:p>
        </w:tc>
      </w:tr>
      <w:tr w14:paraId="63FCF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A624AB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221FA0A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冠昊生物科技股份有限公司</w:t>
            </w:r>
          </w:p>
        </w:tc>
      </w:tr>
      <w:tr w14:paraId="12675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533661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公司的中文简称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2B7781F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冠昊生物</w:t>
            </w:r>
          </w:p>
        </w:tc>
      </w:tr>
      <w:tr w14:paraId="651C7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4BE6FC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公司的外文名称（如有）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72FAC01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Guanhao Biotech Co.,Ltd.</w:t>
            </w:r>
          </w:p>
        </w:tc>
      </w:tr>
      <w:tr w14:paraId="5F0A8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AE3202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公司的外文名称缩写（如有）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14F8542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Guanhao Biotech</w:t>
            </w:r>
          </w:p>
        </w:tc>
      </w:tr>
      <w:tr w14:paraId="79EAE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2F3C69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0587B6D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张永明 </w:t>
            </w:r>
          </w:p>
        </w:tc>
      </w:tr>
      <w:tr w14:paraId="3C905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00D23F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注册地址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4DE615C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广东省广州市黄埔区玉岩路12号</w:t>
            </w:r>
          </w:p>
        </w:tc>
      </w:tr>
      <w:tr w14:paraId="55AA6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1AA152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注册地址的邮政编码</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3D58E2F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510530</w:t>
            </w:r>
          </w:p>
        </w:tc>
      </w:tr>
      <w:tr w14:paraId="0ED37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FDF50B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公司注册地址历史变更情况</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3720BE9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2015年3月由广州市萝岗区科学城国际孵化器D区408室，变更为广州市黄埔区玉岩路12号</w:t>
            </w:r>
          </w:p>
        </w:tc>
      </w:tr>
      <w:tr w14:paraId="3207A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785875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办公地址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1AE5999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广州市黄埔区玉岩路12号</w:t>
            </w:r>
          </w:p>
        </w:tc>
      </w:tr>
      <w:tr w14:paraId="614F6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6AAECA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办公地址的邮政编码</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2729FF2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510530</w:t>
            </w:r>
          </w:p>
        </w:tc>
      </w:tr>
      <w:tr w14:paraId="33317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023CB5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公司网址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316DC70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http://www.guanhaobio.com</w:t>
            </w:r>
          </w:p>
        </w:tc>
      </w:tr>
      <w:tr w14:paraId="093B3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BA701D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电子信箱</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64B0F0F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ir@guanhaobio.com</w:t>
            </w:r>
          </w:p>
        </w:tc>
      </w:tr>
    </w:tbl>
    <w:p w14:paraId="609A4C8C">
      <w:pPr>
        <w:pStyle w:val="2"/>
        <w:keepNext/>
        <w:keepLines/>
        <w:spacing w:before="300" w:after="300" w:line="320" w:lineRule="exact"/>
        <w:jc w:val="left"/>
        <w:outlineLvl w:val="1"/>
        <w:rPr>
          <w:rFonts w:ascii="宋体" w:hAnsi="宋体" w:eastAsia="宋体" w:cs="宋体"/>
          <w:b/>
          <w:bCs/>
          <w:sz w:val="24"/>
          <w:szCs w:val="24"/>
        </w:rPr>
      </w:pPr>
      <w:bookmarkStart w:id="7" w:name="_Toc988892"/>
      <w:bookmarkStart w:id="8" w:name="_Toc22967"/>
      <w:r>
        <w:rPr>
          <w:rFonts w:ascii="宋体" w:hAnsi="宋体" w:eastAsia="宋体" w:cs="宋体"/>
          <w:b/>
          <w:bCs/>
          <w:sz w:val="24"/>
          <w:szCs w:val="24"/>
        </w:rPr>
        <w:t>二、联系人和联系方式</w:t>
      </w:r>
      <w:bookmarkEnd w:id="7"/>
      <w:bookmarkEnd w:id="8"/>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EEA7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897723">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1BAA7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54D65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证券事务代表</w:t>
            </w:r>
          </w:p>
        </w:tc>
      </w:tr>
      <w:tr w14:paraId="397B4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22670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姓名</w:t>
            </w:r>
          </w:p>
        </w:tc>
        <w:tc>
          <w:tcPr>
            <w:tcW w:w="3213" w:type="dxa"/>
            <w:tcBorders>
              <w:top w:val="single" w:color="auto" w:sz="2" w:space="0"/>
              <w:left w:val="single" w:color="auto" w:sz="2" w:space="0"/>
              <w:bottom w:val="single" w:color="auto" w:sz="2" w:space="0"/>
              <w:right w:val="single" w:color="auto" w:sz="2" w:space="0"/>
            </w:tcBorders>
            <w:vAlign w:val="center"/>
          </w:tcPr>
          <w:p w14:paraId="54FA009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徐庆荣</w:t>
            </w:r>
          </w:p>
        </w:tc>
        <w:tc>
          <w:tcPr>
            <w:tcW w:w="3213" w:type="dxa"/>
            <w:tcBorders>
              <w:top w:val="single" w:color="auto" w:sz="2" w:space="0"/>
              <w:left w:val="single" w:color="auto" w:sz="2" w:space="0"/>
              <w:bottom w:val="single" w:color="auto" w:sz="2" w:space="0"/>
              <w:right w:val="single" w:color="auto" w:sz="2" w:space="0"/>
            </w:tcBorders>
            <w:vAlign w:val="center"/>
          </w:tcPr>
          <w:p w14:paraId="735B51A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李群</w:t>
            </w:r>
          </w:p>
        </w:tc>
      </w:tr>
      <w:tr w14:paraId="29E7D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1A2D9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联系地址</w:t>
            </w:r>
          </w:p>
        </w:tc>
        <w:tc>
          <w:tcPr>
            <w:tcW w:w="3213" w:type="dxa"/>
            <w:tcBorders>
              <w:top w:val="single" w:color="auto" w:sz="2" w:space="0"/>
              <w:left w:val="single" w:color="auto" w:sz="2" w:space="0"/>
              <w:bottom w:val="single" w:color="auto" w:sz="2" w:space="0"/>
              <w:right w:val="single" w:color="auto" w:sz="2" w:space="0"/>
            </w:tcBorders>
            <w:vAlign w:val="center"/>
          </w:tcPr>
          <w:p w14:paraId="70754A4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广州市黄埔区玉岩路12号</w:t>
            </w:r>
          </w:p>
        </w:tc>
        <w:tc>
          <w:tcPr>
            <w:tcW w:w="3213" w:type="dxa"/>
            <w:tcBorders>
              <w:top w:val="single" w:color="auto" w:sz="2" w:space="0"/>
              <w:left w:val="single" w:color="auto" w:sz="2" w:space="0"/>
              <w:bottom w:val="single" w:color="auto" w:sz="2" w:space="0"/>
              <w:right w:val="single" w:color="auto" w:sz="2" w:space="0"/>
            </w:tcBorders>
            <w:vAlign w:val="center"/>
          </w:tcPr>
          <w:p w14:paraId="7416423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广州市黄埔区玉岩路12号</w:t>
            </w:r>
          </w:p>
        </w:tc>
      </w:tr>
      <w:tr w14:paraId="7C09F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ACA41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电话</w:t>
            </w:r>
          </w:p>
        </w:tc>
        <w:tc>
          <w:tcPr>
            <w:tcW w:w="3213" w:type="dxa"/>
            <w:tcBorders>
              <w:top w:val="single" w:color="auto" w:sz="2" w:space="0"/>
              <w:left w:val="single" w:color="auto" w:sz="2" w:space="0"/>
              <w:bottom w:val="single" w:color="auto" w:sz="2" w:space="0"/>
              <w:right w:val="single" w:color="auto" w:sz="2" w:space="0"/>
            </w:tcBorders>
            <w:vAlign w:val="center"/>
          </w:tcPr>
          <w:p w14:paraId="5E47086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020-32052295</w:t>
            </w:r>
          </w:p>
        </w:tc>
        <w:tc>
          <w:tcPr>
            <w:tcW w:w="3213" w:type="dxa"/>
            <w:tcBorders>
              <w:top w:val="single" w:color="auto" w:sz="2" w:space="0"/>
              <w:left w:val="single" w:color="auto" w:sz="2" w:space="0"/>
              <w:bottom w:val="single" w:color="auto" w:sz="2" w:space="0"/>
              <w:right w:val="single" w:color="auto" w:sz="2" w:space="0"/>
            </w:tcBorders>
            <w:vAlign w:val="center"/>
          </w:tcPr>
          <w:p w14:paraId="4810835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020-32052295</w:t>
            </w:r>
          </w:p>
        </w:tc>
      </w:tr>
      <w:tr w14:paraId="50AFE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78661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传真</w:t>
            </w:r>
          </w:p>
        </w:tc>
        <w:tc>
          <w:tcPr>
            <w:tcW w:w="3213" w:type="dxa"/>
            <w:tcBorders>
              <w:top w:val="single" w:color="auto" w:sz="2" w:space="0"/>
              <w:left w:val="single" w:color="auto" w:sz="2" w:space="0"/>
              <w:bottom w:val="single" w:color="auto" w:sz="2" w:space="0"/>
              <w:right w:val="single" w:color="auto" w:sz="2" w:space="0"/>
            </w:tcBorders>
            <w:vAlign w:val="center"/>
          </w:tcPr>
          <w:p w14:paraId="68C856C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020-32211255</w:t>
            </w:r>
          </w:p>
        </w:tc>
        <w:tc>
          <w:tcPr>
            <w:tcW w:w="3213" w:type="dxa"/>
            <w:tcBorders>
              <w:top w:val="single" w:color="auto" w:sz="2" w:space="0"/>
              <w:left w:val="single" w:color="auto" w:sz="2" w:space="0"/>
              <w:bottom w:val="single" w:color="auto" w:sz="2" w:space="0"/>
              <w:right w:val="single" w:color="auto" w:sz="2" w:space="0"/>
            </w:tcBorders>
            <w:vAlign w:val="center"/>
          </w:tcPr>
          <w:p w14:paraId="7113909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020-32211255</w:t>
            </w:r>
          </w:p>
        </w:tc>
      </w:tr>
      <w:tr w14:paraId="58212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208A53">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14:paraId="0831C02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ir@guanhaobio.com</w:t>
            </w:r>
          </w:p>
        </w:tc>
        <w:tc>
          <w:tcPr>
            <w:tcW w:w="3213" w:type="dxa"/>
            <w:tcBorders>
              <w:top w:val="single" w:color="auto" w:sz="2" w:space="0"/>
              <w:left w:val="single" w:color="auto" w:sz="2" w:space="0"/>
              <w:bottom w:val="single" w:color="auto" w:sz="2" w:space="0"/>
              <w:right w:val="single" w:color="auto" w:sz="2" w:space="0"/>
            </w:tcBorders>
            <w:vAlign w:val="center"/>
          </w:tcPr>
          <w:p w14:paraId="0CB32D4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ir@guanhaobio.com</w:t>
            </w:r>
          </w:p>
        </w:tc>
      </w:tr>
    </w:tbl>
    <w:p w14:paraId="71B1E797">
      <w:pPr>
        <w:pStyle w:val="2"/>
        <w:keepNext/>
        <w:keepLines/>
        <w:spacing w:before="300" w:after="300" w:line="320" w:lineRule="exact"/>
        <w:jc w:val="left"/>
        <w:outlineLvl w:val="1"/>
        <w:rPr>
          <w:rFonts w:ascii="宋体" w:hAnsi="宋体" w:eastAsia="宋体" w:cs="宋体"/>
          <w:b/>
          <w:bCs/>
          <w:sz w:val="24"/>
          <w:szCs w:val="24"/>
        </w:rPr>
      </w:pPr>
      <w:bookmarkStart w:id="9" w:name="_Toc988893"/>
      <w:bookmarkStart w:id="10" w:name="_Toc19506"/>
      <w:r>
        <w:rPr>
          <w:rFonts w:ascii="宋体" w:hAnsi="宋体" w:eastAsia="宋体" w:cs="宋体"/>
          <w:b/>
          <w:bCs/>
          <w:sz w:val="24"/>
          <w:szCs w:val="24"/>
        </w:rPr>
        <w:t>三、信息披露及备置地点</w:t>
      </w:r>
      <w:bookmarkEnd w:id="9"/>
      <w:bookmarkEnd w:id="10"/>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2F21B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EF1F69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公司披露年度报告的证券交易所网站</w:t>
            </w:r>
          </w:p>
        </w:tc>
        <w:tc>
          <w:tcPr>
            <w:tcW w:w="4820" w:type="dxa"/>
            <w:tcBorders>
              <w:top w:val="single" w:color="auto" w:sz="2" w:space="0"/>
              <w:left w:val="single" w:color="auto" w:sz="2" w:space="0"/>
              <w:bottom w:val="single" w:color="auto" w:sz="2" w:space="0"/>
              <w:right w:val="single" w:color="auto" w:sz="2" w:space="0"/>
            </w:tcBorders>
            <w:vAlign w:val="center"/>
          </w:tcPr>
          <w:p w14:paraId="3615F63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证券时报、中国证券报、上海证券报、证券日报</w:t>
            </w:r>
          </w:p>
        </w:tc>
      </w:tr>
      <w:tr w14:paraId="2ADBC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02ACE5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公司披露年度报告的媒体名称及网址</w:t>
            </w:r>
          </w:p>
        </w:tc>
        <w:tc>
          <w:tcPr>
            <w:tcW w:w="4820" w:type="dxa"/>
            <w:tcBorders>
              <w:top w:val="single" w:color="auto" w:sz="2" w:space="0"/>
              <w:left w:val="single" w:color="auto" w:sz="2" w:space="0"/>
              <w:bottom w:val="single" w:color="auto" w:sz="2" w:space="0"/>
              <w:right w:val="single" w:color="auto" w:sz="2" w:space="0"/>
            </w:tcBorders>
            <w:vAlign w:val="center"/>
          </w:tcPr>
          <w:p w14:paraId="19E9954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巨潮资讯网 http://www.cninfo.com.cn</w:t>
            </w:r>
          </w:p>
        </w:tc>
      </w:tr>
      <w:tr w14:paraId="22EEC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B6F8CC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公司年度报告备置地点</w:t>
            </w:r>
          </w:p>
        </w:tc>
        <w:tc>
          <w:tcPr>
            <w:tcW w:w="4820" w:type="dxa"/>
            <w:tcBorders>
              <w:top w:val="single" w:color="auto" w:sz="2" w:space="0"/>
              <w:left w:val="single" w:color="auto" w:sz="2" w:space="0"/>
              <w:bottom w:val="single" w:color="auto" w:sz="2" w:space="0"/>
              <w:right w:val="single" w:color="auto" w:sz="2" w:space="0"/>
            </w:tcBorders>
            <w:vAlign w:val="center"/>
          </w:tcPr>
          <w:p w14:paraId="1764030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公司董事会办公室</w:t>
            </w:r>
          </w:p>
        </w:tc>
      </w:tr>
    </w:tbl>
    <w:p w14:paraId="1A6062FB">
      <w:pPr>
        <w:pStyle w:val="2"/>
        <w:keepNext/>
        <w:keepLines/>
        <w:spacing w:before="300" w:after="300" w:line="320" w:lineRule="exact"/>
        <w:jc w:val="left"/>
        <w:outlineLvl w:val="1"/>
        <w:rPr>
          <w:rFonts w:ascii="宋体" w:hAnsi="宋体" w:eastAsia="宋体" w:cs="宋体"/>
          <w:b/>
          <w:bCs/>
          <w:sz w:val="24"/>
          <w:szCs w:val="24"/>
        </w:rPr>
      </w:pPr>
      <w:bookmarkStart w:id="11" w:name="_Toc23615"/>
      <w:bookmarkStart w:id="12" w:name="_Toc988894"/>
      <w:r>
        <w:rPr>
          <w:rFonts w:ascii="宋体" w:hAnsi="宋体" w:eastAsia="宋体" w:cs="宋体"/>
          <w:b/>
          <w:bCs/>
          <w:sz w:val="24"/>
          <w:szCs w:val="24"/>
        </w:rPr>
        <w:t>四、其他有关资料</w:t>
      </w:r>
      <w:bookmarkEnd w:id="11"/>
      <w:bookmarkEnd w:id="12"/>
    </w:p>
    <w:p w14:paraId="1D46409A">
      <w:pPr>
        <w:spacing w:before="40" w:after="40" w:line="240" w:lineRule="exact"/>
        <w:jc w:val="left"/>
        <w:rPr>
          <w:rFonts w:ascii="宋体" w:hAnsi="宋体" w:eastAsia="宋体" w:cs="宋体"/>
          <w:sz w:val="18"/>
          <w:szCs w:val="18"/>
        </w:rPr>
      </w:pPr>
      <w:r>
        <w:rPr>
          <w:rFonts w:ascii="宋体" w:hAnsi="宋体" w:eastAsia="宋体" w:cs="宋体"/>
          <w:sz w:val="18"/>
          <w:szCs w:val="18"/>
        </w:rPr>
        <w:t>公司聘请的会计师事务所</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6173C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C9D0E4E">
            <w:pPr>
              <w:spacing w:before="40" w:after="40" w:line="240" w:lineRule="exact"/>
              <w:jc w:val="left"/>
              <w:rPr>
                <w:rFonts w:ascii="宋体" w:hAnsi="宋体" w:eastAsia="宋体" w:cs="宋体"/>
                <w:sz w:val="18"/>
                <w:szCs w:val="18"/>
              </w:rPr>
            </w:pPr>
            <w:r>
              <w:rPr>
                <w:rFonts w:ascii="宋体" w:hAnsi="宋体" w:eastAsia="宋体" w:cs="宋体"/>
                <w:sz w:val="18"/>
                <w:szCs w:val="18"/>
              </w:rPr>
              <w:t>会计师事务所名称</w:t>
            </w:r>
          </w:p>
        </w:tc>
        <w:tc>
          <w:tcPr>
            <w:tcW w:w="4820" w:type="dxa"/>
            <w:tcBorders>
              <w:top w:val="single" w:color="auto" w:sz="2" w:space="0"/>
              <w:left w:val="single" w:color="auto" w:sz="2" w:space="0"/>
              <w:bottom w:val="single" w:color="auto" w:sz="2" w:space="0"/>
              <w:right w:val="single" w:color="auto" w:sz="2" w:space="0"/>
            </w:tcBorders>
            <w:vAlign w:val="center"/>
          </w:tcPr>
          <w:p w14:paraId="13E18730">
            <w:pPr>
              <w:spacing w:before="0" w:after="0" w:line="240" w:lineRule="exact"/>
              <w:jc w:val="left"/>
              <w:rPr>
                <w:rFonts w:ascii="宋体" w:hAnsi="宋体" w:eastAsia="宋体" w:cs="宋体"/>
                <w:sz w:val="18"/>
                <w:szCs w:val="18"/>
              </w:rPr>
            </w:pPr>
            <w:r>
              <w:rPr>
                <w:rFonts w:ascii="宋体" w:hAnsi="宋体" w:eastAsia="宋体" w:cs="宋体"/>
                <w:sz w:val="18"/>
                <w:szCs w:val="18"/>
              </w:rPr>
              <w:t>大信会计师事务所（特殊普通合伙）</w:t>
            </w:r>
          </w:p>
        </w:tc>
      </w:tr>
      <w:tr w14:paraId="04A6A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5238A20">
            <w:pPr>
              <w:spacing w:before="40" w:after="40" w:line="240" w:lineRule="exact"/>
              <w:jc w:val="left"/>
              <w:rPr>
                <w:rFonts w:ascii="宋体" w:hAnsi="宋体" w:eastAsia="宋体" w:cs="宋体"/>
                <w:sz w:val="18"/>
                <w:szCs w:val="18"/>
              </w:rPr>
            </w:pPr>
            <w:r>
              <w:rPr>
                <w:rFonts w:ascii="宋体" w:hAnsi="宋体" w:eastAsia="宋体" w:cs="宋体"/>
                <w:sz w:val="18"/>
                <w:szCs w:val="18"/>
              </w:rPr>
              <w:t>会计师事务所办公地址</w:t>
            </w:r>
          </w:p>
        </w:tc>
        <w:tc>
          <w:tcPr>
            <w:tcW w:w="4820" w:type="dxa"/>
            <w:tcBorders>
              <w:top w:val="single" w:color="auto" w:sz="2" w:space="0"/>
              <w:left w:val="single" w:color="auto" w:sz="2" w:space="0"/>
              <w:bottom w:val="single" w:color="auto" w:sz="2" w:space="0"/>
              <w:right w:val="single" w:color="auto" w:sz="2" w:space="0"/>
            </w:tcBorders>
            <w:vAlign w:val="center"/>
          </w:tcPr>
          <w:p w14:paraId="610C19C0">
            <w:pPr>
              <w:spacing w:before="0" w:after="0" w:line="240" w:lineRule="exact"/>
              <w:jc w:val="left"/>
              <w:rPr>
                <w:rFonts w:ascii="宋体" w:hAnsi="宋体" w:eastAsia="宋体" w:cs="宋体"/>
                <w:sz w:val="18"/>
                <w:szCs w:val="18"/>
              </w:rPr>
            </w:pPr>
            <w:r>
              <w:rPr>
                <w:rFonts w:ascii="宋体" w:hAnsi="宋体" w:eastAsia="宋体" w:cs="宋体"/>
                <w:sz w:val="18"/>
                <w:szCs w:val="18"/>
              </w:rPr>
              <w:t>北京市海淀区知春路1号22层2206</w:t>
            </w:r>
          </w:p>
        </w:tc>
      </w:tr>
      <w:tr w14:paraId="5A543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1E60232">
            <w:pPr>
              <w:spacing w:before="40" w:after="40" w:line="240" w:lineRule="exact"/>
              <w:jc w:val="left"/>
              <w:rPr>
                <w:rFonts w:ascii="宋体" w:hAnsi="宋体" w:eastAsia="宋体" w:cs="宋体"/>
                <w:sz w:val="18"/>
                <w:szCs w:val="18"/>
              </w:rPr>
            </w:pPr>
            <w:r>
              <w:rPr>
                <w:rFonts w:ascii="宋体" w:hAnsi="宋体" w:eastAsia="宋体" w:cs="宋体"/>
                <w:sz w:val="18"/>
                <w:szCs w:val="18"/>
              </w:rPr>
              <w:t>签字会计师姓名</w:t>
            </w:r>
          </w:p>
        </w:tc>
        <w:tc>
          <w:tcPr>
            <w:tcW w:w="4820" w:type="dxa"/>
            <w:tcBorders>
              <w:top w:val="single" w:color="auto" w:sz="2" w:space="0"/>
              <w:left w:val="single" w:color="auto" w:sz="2" w:space="0"/>
              <w:bottom w:val="single" w:color="auto" w:sz="2" w:space="0"/>
              <w:right w:val="single" w:color="auto" w:sz="2" w:space="0"/>
            </w:tcBorders>
            <w:vAlign w:val="center"/>
          </w:tcPr>
          <w:p w14:paraId="444AA579">
            <w:pPr>
              <w:spacing w:before="0" w:after="0" w:line="240" w:lineRule="exact"/>
              <w:jc w:val="left"/>
              <w:rPr>
                <w:rFonts w:ascii="宋体" w:hAnsi="宋体" w:eastAsia="宋体" w:cs="宋体"/>
                <w:sz w:val="18"/>
                <w:szCs w:val="18"/>
              </w:rPr>
            </w:pPr>
            <w:r>
              <w:rPr>
                <w:rFonts w:ascii="宋体" w:hAnsi="宋体" w:eastAsia="宋体" w:cs="宋体"/>
                <w:sz w:val="18"/>
                <w:szCs w:val="18"/>
              </w:rPr>
              <w:t>黎程、黄颖</w:t>
            </w:r>
          </w:p>
        </w:tc>
      </w:tr>
    </w:tbl>
    <w:p w14:paraId="433DEE14">
      <w:pPr>
        <w:spacing w:before="100" w:after="100" w:line="240" w:lineRule="exact"/>
        <w:jc w:val="left"/>
        <w:rPr>
          <w:rFonts w:ascii="宋体" w:hAnsi="宋体" w:eastAsia="宋体" w:cs="宋体"/>
          <w:sz w:val="18"/>
          <w:szCs w:val="18"/>
        </w:rPr>
      </w:pPr>
      <w:r>
        <w:rPr>
          <w:rFonts w:ascii="宋体" w:hAnsi="宋体" w:eastAsia="宋体" w:cs="宋体"/>
          <w:sz w:val="18"/>
          <w:szCs w:val="18"/>
        </w:rPr>
        <w:t>公司聘请的报告期内履行持续督导职责的保荐机构</w:t>
      </w:r>
    </w:p>
    <w:p w14:paraId="39D8D6A4">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9C33D17">
      <w:pPr>
        <w:spacing w:before="100" w:after="100" w:line="240" w:lineRule="exact"/>
        <w:jc w:val="left"/>
        <w:rPr>
          <w:rFonts w:ascii="宋体" w:hAnsi="宋体" w:eastAsia="宋体" w:cs="宋体"/>
          <w:sz w:val="18"/>
          <w:szCs w:val="18"/>
        </w:rPr>
      </w:pPr>
      <w:r>
        <w:rPr>
          <w:rFonts w:ascii="宋体" w:hAnsi="宋体" w:eastAsia="宋体" w:cs="宋体"/>
          <w:sz w:val="18"/>
          <w:szCs w:val="18"/>
        </w:rPr>
        <w:t>公司聘请的报告期内履行持续督导职责的财务顾问</w:t>
      </w:r>
    </w:p>
    <w:p w14:paraId="6436166F">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D851984">
      <w:pPr>
        <w:pStyle w:val="2"/>
        <w:keepNext/>
        <w:keepLines/>
        <w:spacing w:before="300" w:after="300" w:line="320" w:lineRule="exact"/>
        <w:jc w:val="left"/>
        <w:outlineLvl w:val="1"/>
        <w:rPr>
          <w:rFonts w:ascii="宋体" w:hAnsi="宋体" w:eastAsia="宋体" w:cs="宋体"/>
          <w:b/>
          <w:bCs/>
          <w:sz w:val="24"/>
          <w:szCs w:val="24"/>
        </w:rPr>
      </w:pPr>
      <w:bookmarkStart w:id="13" w:name="_Toc988895"/>
      <w:bookmarkStart w:id="14" w:name="_Toc26759"/>
      <w:r>
        <w:rPr>
          <w:rFonts w:ascii="宋体" w:hAnsi="宋体" w:eastAsia="宋体" w:cs="宋体"/>
          <w:b/>
          <w:bCs/>
          <w:sz w:val="24"/>
          <w:szCs w:val="24"/>
        </w:rPr>
        <w:t>五、主要会计数据和财务指标</w:t>
      </w:r>
      <w:bookmarkEnd w:id="13"/>
      <w:bookmarkEnd w:id="14"/>
    </w:p>
    <w:p w14:paraId="5FA132DA">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14:paraId="5E87CE8E">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19D37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9231465">
            <w:pPr>
              <w:rPr>
                <w:rFonts w:hint="default"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70CB08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0EC20A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50E930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本年比上年增减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4F981C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2023年</w:t>
            </w:r>
          </w:p>
        </w:tc>
      </w:tr>
      <w:tr w14:paraId="34896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B0F27A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14:paraId="6AB68D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387,749,767.90</w:t>
            </w:r>
          </w:p>
        </w:tc>
        <w:tc>
          <w:tcPr>
            <w:tcW w:w="1928" w:type="dxa"/>
            <w:tcBorders>
              <w:top w:val="single" w:color="auto" w:sz="2" w:space="0"/>
              <w:left w:val="single" w:color="auto" w:sz="2" w:space="0"/>
              <w:bottom w:val="single" w:color="auto" w:sz="2" w:space="0"/>
              <w:right w:val="single" w:color="auto" w:sz="2" w:space="0"/>
            </w:tcBorders>
            <w:vAlign w:val="center"/>
          </w:tcPr>
          <w:p w14:paraId="5CF6C6F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377,483,103.80</w:t>
            </w:r>
          </w:p>
        </w:tc>
        <w:tc>
          <w:tcPr>
            <w:tcW w:w="1928" w:type="dxa"/>
            <w:tcBorders>
              <w:top w:val="single" w:color="auto" w:sz="2" w:space="0"/>
              <w:left w:val="single" w:color="auto" w:sz="2" w:space="0"/>
              <w:bottom w:val="single" w:color="auto" w:sz="2" w:space="0"/>
              <w:right w:val="single" w:color="auto" w:sz="2" w:space="0"/>
            </w:tcBorders>
            <w:vAlign w:val="center"/>
          </w:tcPr>
          <w:p w14:paraId="33C6A4B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2.72%</w:t>
            </w:r>
          </w:p>
        </w:tc>
        <w:tc>
          <w:tcPr>
            <w:tcW w:w="1928" w:type="dxa"/>
            <w:tcBorders>
              <w:top w:val="single" w:color="auto" w:sz="2" w:space="0"/>
              <w:left w:val="single" w:color="auto" w:sz="2" w:space="0"/>
              <w:bottom w:val="single" w:color="auto" w:sz="2" w:space="0"/>
              <w:right w:val="single" w:color="auto" w:sz="2" w:space="0"/>
            </w:tcBorders>
            <w:vAlign w:val="center"/>
          </w:tcPr>
          <w:p w14:paraId="74CB5CD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404,178,697.25</w:t>
            </w:r>
          </w:p>
        </w:tc>
      </w:tr>
      <w:tr w14:paraId="62EBD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51F570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14:paraId="4E6751F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24,346,028.28</w:t>
            </w:r>
          </w:p>
        </w:tc>
        <w:tc>
          <w:tcPr>
            <w:tcW w:w="1928" w:type="dxa"/>
            <w:tcBorders>
              <w:top w:val="single" w:color="auto" w:sz="2" w:space="0"/>
              <w:left w:val="single" w:color="auto" w:sz="2" w:space="0"/>
              <w:bottom w:val="single" w:color="auto" w:sz="2" w:space="0"/>
              <w:right w:val="single" w:color="auto" w:sz="2" w:space="0"/>
            </w:tcBorders>
            <w:vAlign w:val="center"/>
          </w:tcPr>
          <w:p w14:paraId="21AF94C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27,416,909.65</w:t>
            </w:r>
          </w:p>
        </w:tc>
        <w:tc>
          <w:tcPr>
            <w:tcW w:w="1928" w:type="dxa"/>
            <w:tcBorders>
              <w:top w:val="single" w:color="auto" w:sz="2" w:space="0"/>
              <w:left w:val="single" w:color="auto" w:sz="2" w:space="0"/>
              <w:bottom w:val="single" w:color="auto" w:sz="2" w:space="0"/>
              <w:right w:val="single" w:color="auto" w:sz="2" w:space="0"/>
            </w:tcBorders>
            <w:vAlign w:val="center"/>
          </w:tcPr>
          <w:p w14:paraId="4407ED7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-11.20%</w:t>
            </w:r>
          </w:p>
        </w:tc>
        <w:tc>
          <w:tcPr>
            <w:tcW w:w="1928" w:type="dxa"/>
            <w:tcBorders>
              <w:top w:val="single" w:color="auto" w:sz="2" w:space="0"/>
              <w:left w:val="single" w:color="auto" w:sz="2" w:space="0"/>
              <w:bottom w:val="single" w:color="auto" w:sz="2" w:space="0"/>
              <w:right w:val="single" w:color="auto" w:sz="2" w:space="0"/>
            </w:tcBorders>
            <w:vAlign w:val="center"/>
          </w:tcPr>
          <w:p w14:paraId="19F5B84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31,005,798.58</w:t>
            </w:r>
          </w:p>
        </w:tc>
      </w:tr>
      <w:tr w14:paraId="60741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075F00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14:paraId="7B0ED90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26,311,919.29</w:t>
            </w:r>
          </w:p>
        </w:tc>
        <w:tc>
          <w:tcPr>
            <w:tcW w:w="1928" w:type="dxa"/>
            <w:tcBorders>
              <w:top w:val="single" w:color="auto" w:sz="2" w:space="0"/>
              <w:left w:val="single" w:color="auto" w:sz="2" w:space="0"/>
              <w:bottom w:val="single" w:color="auto" w:sz="2" w:space="0"/>
              <w:right w:val="single" w:color="auto" w:sz="2" w:space="0"/>
            </w:tcBorders>
            <w:vAlign w:val="center"/>
          </w:tcPr>
          <w:p w14:paraId="508315D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19,714,325.01</w:t>
            </w:r>
          </w:p>
        </w:tc>
        <w:tc>
          <w:tcPr>
            <w:tcW w:w="1928" w:type="dxa"/>
            <w:tcBorders>
              <w:top w:val="single" w:color="auto" w:sz="2" w:space="0"/>
              <w:left w:val="single" w:color="auto" w:sz="2" w:space="0"/>
              <w:bottom w:val="single" w:color="auto" w:sz="2" w:space="0"/>
              <w:right w:val="single" w:color="auto" w:sz="2" w:space="0"/>
            </w:tcBorders>
            <w:vAlign w:val="center"/>
          </w:tcPr>
          <w:p w14:paraId="7861AF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33.47%</w:t>
            </w:r>
          </w:p>
        </w:tc>
        <w:tc>
          <w:tcPr>
            <w:tcW w:w="1928" w:type="dxa"/>
            <w:tcBorders>
              <w:top w:val="single" w:color="auto" w:sz="2" w:space="0"/>
              <w:left w:val="single" w:color="auto" w:sz="2" w:space="0"/>
              <w:bottom w:val="single" w:color="auto" w:sz="2" w:space="0"/>
              <w:right w:val="single" w:color="auto" w:sz="2" w:space="0"/>
            </w:tcBorders>
            <w:vAlign w:val="center"/>
          </w:tcPr>
          <w:p w14:paraId="63CCB37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30,555,396.54</w:t>
            </w:r>
          </w:p>
        </w:tc>
      </w:tr>
      <w:tr w14:paraId="4B7D7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A43D3A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vAlign w:val="center"/>
          </w:tcPr>
          <w:p w14:paraId="4DEA477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71,473,795.76</w:t>
            </w:r>
          </w:p>
        </w:tc>
        <w:tc>
          <w:tcPr>
            <w:tcW w:w="1928" w:type="dxa"/>
            <w:tcBorders>
              <w:top w:val="single" w:color="auto" w:sz="2" w:space="0"/>
              <w:left w:val="single" w:color="auto" w:sz="2" w:space="0"/>
              <w:bottom w:val="single" w:color="auto" w:sz="2" w:space="0"/>
              <w:right w:val="single" w:color="auto" w:sz="2" w:space="0"/>
            </w:tcBorders>
            <w:vAlign w:val="center"/>
          </w:tcPr>
          <w:p w14:paraId="2C281AD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49,554,796.99</w:t>
            </w:r>
          </w:p>
        </w:tc>
        <w:tc>
          <w:tcPr>
            <w:tcW w:w="1928" w:type="dxa"/>
            <w:tcBorders>
              <w:top w:val="single" w:color="auto" w:sz="2" w:space="0"/>
              <w:left w:val="single" w:color="auto" w:sz="2" w:space="0"/>
              <w:bottom w:val="single" w:color="auto" w:sz="2" w:space="0"/>
              <w:right w:val="single" w:color="auto" w:sz="2" w:space="0"/>
            </w:tcBorders>
            <w:vAlign w:val="center"/>
          </w:tcPr>
          <w:p w14:paraId="49D9EF4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44.23%</w:t>
            </w:r>
          </w:p>
        </w:tc>
        <w:tc>
          <w:tcPr>
            <w:tcW w:w="1928" w:type="dxa"/>
            <w:tcBorders>
              <w:top w:val="single" w:color="auto" w:sz="2" w:space="0"/>
              <w:left w:val="single" w:color="auto" w:sz="2" w:space="0"/>
              <w:bottom w:val="single" w:color="auto" w:sz="2" w:space="0"/>
              <w:right w:val="single" w:color="auto" w:sz="2" w:space="0"/>
            </w:tcBorders>
            <w:vAlign w:val="center"/>
          </w:tcPr>
          <w:p w14:paraId="0ECF1AB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54,149,827.93</w:t>
            </w:r>
          </w:p>
        </w:tc>
      </w:tr>
      <w:tr w14:paraId="18FC7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E273A1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14:paraId="3D767AA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w:t>
            </w:r>
          </w:p>
        </w:tc>
        <w:tc>
          <w:tcPr>
            <w:tcW w:w="1928" w:type="dxa"/>
            <w:tcBorders>
              <w:top w:val="single" w:color="auto" w:sz="2" w:space="0"/>
              <w:left w:val="single" w:color="auto" w:sz="2" w:space="0"/>
              <w:bottom w:val="single" w:color="auto" w:sz="2" w:space="0"/>
              <w:right w:val="single" w:color="auto" w:sz="2" w:space="0"/>
            </w:tcBorders>
            <w:vAlign w:val="center"/>
          </w:tcPr>
          <w:p w14:paraId="45F001A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0.10</w:t>
            </w:r>
          </w:p>
        </w:tc>
        <w:tc>
          <w:tcPr>
            <w:tcW w:w="1928" w:type="dxa"/>
            <w:tcBorders>
              <w:top w:val="single" w:color="auto" w:sz="2" w:space="0"/>
              <w:left w:val="single" w:color="auto" w:sz="2" w:space="0"/>
              <w:bottom w:val="single" w:color="auto" w:sz="2" w:space="0"/>
              <w:right w:val="single" w:color="auto" w:sz="2" w:space="0"/>
            </w:tcBorders>
            <w:vAlign w:val="center"/>
          </w:tcPr>
          <w:p w14:paraId="3F4ACE7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w:t>
            </w:r>
          </w:p>
        </w:tc>
        <w:tc>
          <w:tcPr>
            <w:tcW w:w="1928" w:type="dxa"/>
            <w:tcBorders>
              <w:top w:val="single" w:color="auto" w:sz="2" w:space="0"/>
              <w:left w:val="single" w:color="auto" w:sz="2" w:space="0"/>
              <w:bottom w:val="single" w:color="auto" w:sz="2" w:space="0"/>
              <w:right w:val="single" w:color="auto" w:sz="2" w:space="0"/>
            </w:tcBorders>
            <w:vAlign w:val="center"/>
          </w:tcPr>
          <w:p w14:paraId="2E2873C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0.12</w:t>
            </w:r>
          </w:p>
        </w:tc>
      </w:tr>
      <w:tr w14:paraId="4789F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4CEC1BB">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14:paraId="4FA77D3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w:t>
            </w:r>
          </w:p>
        </w:tc>
        <w:tc>
          <w:tcPr>
            <w:tcW w:w="1928" w:type="dxa"/>
            <w:tcBorders>
              <w:top w:val="single" w:color="auto" w:sz="2" w:space="0"/>
              <w:left w:val="single" w:color="auto" w:sz="2" w:space="0"/>
              <w:bottom w:val="single" w:color="auto" w:sz="2" w:space="0"/>
              <w:right w:val="single" w:color="auto" w:sz="2" w:space="0"/>
            </w:tcBorders>
            <w:vAlign w:val="center"/>
          </w:tcPr>
          <w:p w14:paraId="14F0658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0.10</w:t>
            </w:r>
          </w:p>
        </w:tc>
        <w:tc>
          <w:tcPr>
            <w:tcW w:w="1928" w:type="dxa"/>
            <w:tcBorders>
              <w:top w:val="single" w:color="auto" w:sz="2" w:space="0"/>
              <w:left w:val="single" w:color="auto" w:sz="2" w:space="0"/>
              <w:bottom w:val="single" w:color="auto" w:sz="2" w:space="0"/>
              <w:right w:val="single" w:color="auto" w:sz="2" w:space="0"/>
            </w:tcBorders>
            <w:vAlign w:val="center"/>
          </w:tcPr>
          <w:p w14:paraId="2717F4E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w:t>
            </w:r>
          </w:p>
        </w:tc>
        <w:tc>
          <w:tcPr>
            <w:tcW w:w="1928" w:type="dxa"/>
            <w:tcBorders>
              <w:top w:val="single" w:color="auto" w:sz="2" w:space="0"/>
              <w:left w:val="single" w:color="auto" w:sz="2" w:space="0"/>
              <w:bottom w:val="single" w:color="auto" w:sz="2" w:space="0"/>
              <w:right w:val="single" w:color="auto" w:sz="2" w:space="0"/>
            </w:tcBorders>
            <w:vAlign w:val="center"/>
          </w:tcPr>
          <w:p w14:paraId="5EB6E87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0.12</w:t>
            </w:r>
          </w:p>
        </w:tc>
      </w:tr>
      <w:tr w14:paraId="10DFF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A5AD1BC">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14:paraId="28DC045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4.38%</w:t>
            </w:r>
          </w:p>
        </w:tc>
        <w:tc>
          <w:tcPr>
            <w:tcW w:w="1928" w:type="dxa"/>
            <w:tcBorders>
              <w:top w:val="single" w:color="auto" w:sz="2" w:space="0"/>
              <w:left w:val="single" w:color="auto" w:sz="2" w:space="0"/>
              <w:bottom w:val="single" w:color="auto" w:sz="2" w:space="0"/>
              <w:right w:val="single" w:color="auto" w:sz="2" w:space="0"/>
            </w:tcBorders>
            <w:vAlign w:val="center"/>
          </w:tcPr>
          <w:p w14:paraId="358F0FF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5.16%</w:t>
            </w:r>
          </w:p>
        </w:tc>
        <w:tc>
          <w:tcPr>
            <w:tcW w:w="1928" w:type="dxa"/>
            <w:tcBorders>
              <w:top w:val="single" w:color="auto" w:sz="2" w:space="0"/>
              <w:left w:val="single" w:color="auto" w:sz="2" w:space="0"/>
              <w:bottom w:val="single" w:color="auto" w:sz="2" w:space="0"/>
              <w:right w:val="single" w:color="auto" w:sz="2" w:space="0"/>
            </w:tcBorders>
            <w:vAlign w:val="center"/>
          </w:tcPr>
          <w:p w14:paraId="700A0A0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-0.78%</w:t>
            </w:r>
          </w:p>
        </w:tc>
        <w:tc>
          <w:tcPr>
            <w:tcW w:w="1928" w:type="dxa"/>
            <w:tcBorders>
              <w:top w:val="single" w:color="auto" w:sz="2" w:space="0"/>
              <w:left w:val="single" w:color="auto" w:sz="2" w:space="0"/>
              <w:bottom w:val="single" w:color="auto" w:sz="2" w:space="0"/>
              <w:right w:val="single" w:color="auto" w:sz="2" w:space="0"/>
            </w:tcBorders>
            <w:vAlign w:val="center"/>
          </w:tcPr>
          <w:p w14:paraId="0C6EE83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6.16%</w:t>
            </w:r>
          </w:p>
        </w:tc>
      </w:tr>
      <w:tr w14:paraId="63908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053E7C1">
            <w:pPr>
              <w:rPr>
                <w:rFonts w:hint="default"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56BB10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B2FA78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054BF0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本年末比上年末增减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E535CF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2023年末</w:t>
            </w:r>
          </w:p>
        </w:tc>
      </w:tr>
      <w:tr w14:paraId="4B985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54C6B9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资产总额（元）</w:t>
            </w:r>
          </w:p>
        </w:tc>
        <w:tc>
          <w:tcPr>
            <w:tcW w:w="1928" w:type="dxa"/>
            <w:tcBorders>
              <w:top w:val="single" w:color="auto" w:sz="2" w:space="0"/>
              <w:left w:val="single" w:color="auto" w:sz="2" w:space="0"/>
              <w:bottom w:val="single" w:color="auto" w:sz="2" w:space="0"/>
              <w:right w:val="single" w:color="auto" w:sz="2" w:space="0"/>
            </w:tcBorders>
            <w:vAlign w:val="center"/>
          </w:tcPr>
          <w:p w14:paraId="6D4EB88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806,532,412.19</w:t>
            </w:r>
          </w:p>
        </w:tc>
        <w:tc>
          <w:tcPr>
            <w:tcW w:w="1928" w:type="dxa"/>
            <w:tcBorders>
              <w:top w:val="single" w:color="auto" w:sz="2" w:space="0"/>
              <w:left w:val="single" w:color="auto" w:sz="2" w:space="0"/>
              <w:bottom w:val="single" w:color="auto" w:sz="2" w:space="0"/>
              <w:right w:val="single" w:color="auto" w:sz="2" w:space="0"/>
            </w:tcBorders>
            <w:vAlign w:val="center"/>
          </w:tcPr>
          <w:p w14:paraId="11B5884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754,399,831.41</w:t>
            </w:r>
          </w:p>
        </w:tc>
        <w:tc>
          <w:tcPr>
            <w:tcW w:w="1928" w:type="dxa"/>
            <w:tcBorders>
              <w:top w:val="single" w:color="auto" w:sz="2" w:space="0"/>
              <w:left w:val="single" w:color="auto" w:sz="2" w:space="0"/>
              <w:bottom w:val="single" w:color="auto" w:sz="2" w:space="0"/>
              <w:right w:val="single" w:color="auto" w:sz="2" w:space="0"/>
            </w:tcBorders>
            <w:vAlign w:val="center"/>
          </w:tcPr>
          <w:p w14:paraId="7AB4435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6.91%</w:t>
            </w:r>
          </w:p>
        </w:tc>
        <w:tc>
          <w:tcPr>
            <w:tcW w:w="1928" w:type="dxa"/>
            <w:tcBorders>
              <w:top w:val="single" w:color="auto" w:sz="2" w:space="0"/>
              <w:left w:val="single" w:color="auto" w:sz="2" w:space="0"/>
              <w:bottom w:val="single" w:color="auto" w:sz="2" w:space="0"/>
              <w:right w:val="single" w:color="auto" w:sz="2" w:space="0"/>
            </w:tcBorders>
            <w:vAlign w:val="center"/>
          </w:tcPr>
          <w:p w14:paraId="3F61E32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678,594,899.40</w:t>
            </w:r>
          </w:p>
        </w:tc>
      </w:tr>
      <w:tr w14:paraId="7E3B3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F4909B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归属于上市公司股东的净资产（元）</w:t>
            </w:r>
          </w:p>
        </w:tc>
        <w:tc>
          <w:tcPr>
            <w:tcW w:w="1928" w:type="dxa"/>
            <w:tcBorders>
              <w:top w:val="single" w:color="auto" w:sz="2" w:space="0"/>
              <w:left w:val="single" w:color="auto" w:sz="2" w:space="0"/>
              <w:bottom w:val="single" w:color="auto" w:sz="2" w:space="0"/>
              <w:right w:val="single" w:color="auto" w:sz="2" w:space="0"/>
            </w:tcBorders>
            <w:vAlign w:val="center"/>
          </w:tcPr>
          <w:p w14:paraId="3C37AEA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570,067,516.98</w:t>
            </w:r>
          </w:p>
        </w:tc>
        <w:tc>
          <w:tcPr>
            <w:tcW w:w="1928" w:type="dxa"/>
            <w:tcBorders>
              <w:top w:val="single" w:color="auto" w:sz="2" w:space="0"/>
              <w:left w:val="single" w:color="auto" w:sz="2" w:space="0"/>
              <w:bottom w:val="single" w:color="auto" w:sz="2" w:space="0"/>
              <w:right w:val="single" w:color="auto" w:sz="2" w:space="0"/>
            </w:tcBorders>
            <w:vAlign w:val="center"/>
          </w:tcPr>
          <w:p w14:paraId="7379AD5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542,358,105.24</w:t>
            </w:r>
          </w:p>
        </w:tc>
        <w:tc>
          <w:tcPr>
            <w:tcW w:w="1928" w:type="dxa"/>
            <w:tcBorders>
              <w:top w:val="single" w:color="auto" w:sz="2" w:space="0"/>
              <w:left w:val="single" w:color="auto" w:sz="2" w:space="0"/>
              <w:bottom w:val="single" w:color="auto" w:sz="2" w:space="0"/>
              <w:right w:val="single" w:color="auto" w:sz="2" w:space="0"/>
            </w:tcBorders>
            <w:vAlign w:val="center"/>
          </w:tcPr>
          <w:p w14:paraId="0A35F58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5.11%</w:t>
            </w:r>
          </w:p>
        </w:tc>
        <w:tc>
          <w:tcPr>
            <w:tcW w:w="1928" w:type="dxa"/>
            <w:tcBorders>
              <w:top w:val="single" w:color="auto" w:sz="2" w:space="0"/>
              <w:left w:val="single" w:color="auto" w:sz="2" w:space="0"/>
              <w:bottom w:val="single" w:color="auto" w:sz="2" w:space="0"/>
              <w:right w:val="single" w:color="auto" w:sz="2" w:space="0"/>
            </w:tcBorders>
            <w:vAlign w:val="center"/>
          </w:tcPr>
          <w:p w14:paraId="7874B8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520,593,839.11</w:t>
            </w:r>
          </w:p>
        </w:tc>
      </w:tr>
    </w:tbl>
    <w:p w14:paraId="49AE9E40">
      <w:pPr>
        <w:spacing w:before="100" w:after="100" w:line="240" w:lineRule="exact"/>
        <w:jc w:val="left"/>
        <w:rPr>
          <w:rFonts w:ascii="宋体" w:hAnsi="宋体" w:eastAsia="宋体" w:cs="宋体"/>
          <w:sz w:val="18"/>
          <w:szCs w:val="18"/>
        </w:rPr>
      </w:pPr>
      <w:r>
        <w:rPr>
          <w:rFonts w:ascii="宋体" w:hAnsi="宋体" w:eastAsia="宋体" w:cs="宋体"/>
          <w:sz w:val="18"/>
          <w:szCs w:val="18"/>
        </w:rPr>
        <w:t>公司最近三个会计年度扣除非经常性损益前后净利润孰低者均为负值，且最近一年审计报告显示公司持续经营能力存在不确定性</w:t>
      </w:r>
    </w:p>
    <w:p w14:paraId="18CC459D">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2A011D98">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公司报告期内经审计利润总额、净利润、扣除非经常性损益后的净利润三者孰低为负值</w:t>
      </w:r>
    </w:p>
    <w:p w14:paraId="638F8D09">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6D575A09">
      <w:pPr>
        <w:pStyle w:val="2"/>
        <w:keepNext/>
        <w:keepLines/>
        <w:spacing w:before="300" w:after="300" w:line="320" w:lineRule="exact"/>
        <w:jc w:val="left"/>
        <w:outlineLvl w:val="1"/>
        <w:rPr>
          <w:rFonts w:ascii="宋体" w:hAnsi="宋体" w:eastAsia="宋体" w:cs="宋体"/>
          <w:b/>
          <w:bCs/>
          <w:sz w:val="24"/>
          <w:szCs w:val="24"/>
        </w:rPr>
      </w:pPr>
      <w:bookmarkStart w:id="15" w:name="_Toc988896"/>
      <w:bookmarkStart w:id="16" w:name="_Toc30096"/>
      <w:r>
        <w:rPr>
          <w:rFonts w:ascii="宋体" w:hAnsi="宋体" w:eastAsia="宋体" w:cs="宋体"/>
          <w:b/>
          <w:bCs/>
          <w:sz w:val="24"/>
          <w:szCs w:val="24"/>
        </w:rPr>
        <w:t>六、分季度主要财务指标</w:t>
      </w:r>
      <w:bookmarkEnd w:id="15"/>
      <w:bookmarkEnd w:id="16"/>
    </w:p>
    <w:p w14:paraId="18B3EA7A">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53EF6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19BC438">
            <w:pPr>
              <w:rPr>
                <w:rFonts w:hint="default"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85A095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第一季度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F10D41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第二季度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39FE4D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第三季度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0BD1B8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第四季度</w:t>
            </w:r>
          </w:p>
        </w:tc>
      </w:tr>
      <w:tr w14:paraId="31B64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15E879B">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14:paraId="450F610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94,797,135.39</w:t>
            </w:r>
          </w:p>
        </w:tc>
        <w:tc>
          <w:tcPr>
            <w:tcW w:w="1928" w:type="dxa"/>
            <w:tcBorders>
              <w:top w:val="single" w:color="auto" w:sz="2" w:space="0"/>
              <w:left w:val="single" w:color="auto" w:sz="2" w:space="0"/>
              <w:bottom w:val="single" w:color="auto" w:sz="2" w:space="0"/>
              <w:right w:val="single" w:color="auto" w:sz="2" w:space="0"/>
            </w:tcBorders>
            <w:vAlign w:val="center"/>
          </w:tcPr>
          <w:p w14:paraId="404C4B5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106,072,512.59</w:t>
            </w:r>
          </w:p>
        </w:tc>
        <w:tc>
          <w:tcPr>
            <w:tcW w:w="1928" w:type="dxa"/>
            <w:tcBorders>
              <w:top w:val="single" w:color="auto" w:sz="2" w:space="0"/>
              <w:left w:val="single" w:color="auto" w:sz="2" w:space="0"/>
              <w:bottom w:val="single" w:color="auto" w:sz="2" w:space="0"/>
              <w:right w:val="single" w:color="auto" w:sz="2" w:space="0"/>
            </w:tcBorders>
            <w:vAlign w:val="center"/>
          </w:tcPr>
          <w:p w14:paraId="73301BB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92,610,785.08</w:t>
            </w:r>
          </w:p>
        </w:tc>
        <w:tc>
          <w:tcPr>
            <w:tcW w:w="1928" w:type="dxa"/>
            <w:tcBorders>
              <w:top w:val="single" w:color="auto" w:sz="2" w:space="0"/>
              <w:left w:val="single" w:color="auto" w:sz="2" w:space="0"/>
              <w:bottom w:val="single" w:color="auto" w:sz="2" w:space="0"/>
              <w:right w:val="single" w:color="auto" w:sz="2" w:space="0"/>
            </w:tcBorders>
            <w:vAlign w:val="center"/>
          </w:tcPr>
          <w:p w14:paraId="4306681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94,269,334.84</w:t>
            </w:r>
          </w:p>
        </w:tc>
      </w:tr>
      <w:tr w14:paraId="593E5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3C0F14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归属于上市公司股东的净利润</w:t>
            </w:r>
          </w:p>
        </w:tc>
        <w:tc>
          <w:tcPr>
            <w:tcW w:w="1928" w:type="dxa"/>
            <w:tcBorders>
              <w:top w:val="single" w:color="auto" w:sz="2" w:space="0"/>
              <w:left w:val="single" w:color="auto" w:sz="2" w:space="0"/>
              <w:bottom w:val="single" w:color="auto" w:sz="2" w:space="0"/>
              <w:right w:val="single" w:color="auto" w:sz="2" w:space="0"/>
            </w:tcBorders>
            <w:vAlign w:val="center"/>
          </w:tcPr>
          <w:p w14:paraId="77783AE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14,866,096.67</w:t>
            </w:r>
          </w:p>
        </w:tc>
        <w:tc>
          <w:tcPr>
            <w:tcW w:w="1928" w:type="dxa"/>
            <w:tcBorders>
              <w:top w:val="single" w:color="auto" w:sz="2" w:space="0"/>
              <w:left w:val="single" w:color="auto" w:sz="2" w:space="0"/>
              <w:bottom w:val="single" w:color="auto" w:sz="2" w:space="0"/>
              <w:right w:val="single" w:color="auto" w:sz="2" w:space="0"/>
            </w:tcBorders>
            <w:vAlign w:val="center"/>
          </w:tcPr>
          <w:p w14:paraId="78F79BF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5,537,994.77</w:t>
            </w:r>
          </w:p>
        </w:tc>
        <w:tc>
          <w:tcPr>
            <w:tcW w:w="1928" w:type="dxa"/>
            <w:tcBorders>
              <w:top w:val="single" w:color="auto" w:sz="2" w:space="0"/>
              <w:left w:val="single" w:color="auto" w:sz="2" w:space="0"/>
              <w:bottom w:val="single" w:color="auto" w:sz="2" w:space="0"/>
              <w:right w:val="single" w:color="auto" w:sz="2" w:space="0"/>
            </w:tcBorders>
            <w:vAlign w:val="center"/>
          </w:tcPr>
          <w:p w14:paraId="5E49A03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6,314,402.45</w:t>
            </w:r>
          </w:p>
        </w:tc>
        <w:tc>
          <w:tcPr>
            <w:tcW w:w="1928" w:type="dxa"/>
            <w:tcBorders>
              <w:top w:val="single" w:color="auto" w:sz="2" w:space="0"/>
              <w:left w:val="single" w:color="auto" w:sz="2" w:space="0"/>
              <w:bottom w:val="single" w:color="auto" w:sz="2" w:space="0"/>
              <w:right w:val="single" w:color="auto" w:sz="2" w:space="0"/>
            </w:tcBorders>
            <w:vAlign w:val="center"/>
          </w:tcPr>
          <w:p w14:paraId="50680A1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-2,372,465.61</w:t>
            </w:r>
          </w:p>
        </w:tc>
      </w:tr>
      <w:tr w14:paraId="740CF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AD3D4F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归属于上市公司股东的扣除非经常性损益的净利润</w:t>
            </w:r>
          </w:p>
        </w:tc>
        <w:tc>
          <w:tcPr>
            <w:tcW w:w="1928" w:type="dxa"/>
            <w:tcBorders>
              <w:top w:val="single" w:color="auto" w:sz="2" w:space="0"/>
              <w:left w:val="single" w:color="auto" w:sz="2" w:space="0"/>
              <w:bottom w:val="single" w:color="auto" w:sz="2" w:space="0"/>
              <w:right w:val="single" w:color="auto" w:sz="2" w:space="0"/>
            </w:tcBorders>
            <w:vAlign w:val="center"/>
          </w:tcPr>
          <w:p w14:paraId="59A2A0D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13,865,743.31</w:t>
            </w:r>
          </w:p>
        </w:tc>
        <w:tc>
          <w:tcPr>
            <w:tcW w:w="1928" w:type="dxa"/>
            <w:tcBorders>
              <w:top w:val="single" w:color="auto" w:sz="2" w:space="0"/>
              <w:left w:val="single" w:color="auto" w:sz="2" w:space="0"/>
              <w:bottom w:val="single" w:color="auto" w:sz="2" w:space="0"/>
              <w:right w:val="single" w:color="auto" w:sz="2" w:space="0"/>
            </w:tcBorders>
            <w:vAlign w:val="center"/>
          </w:tcPr>
          <w:p w14:paraId="3B05A97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5,938,146.85</w:t>
            </w:r>
          </w:p>
        </w:tc>
        <w:tc>
          <w:tcPr>
            <w:tcW w:w="1928" w:type="dxa"/>
            <w:tcBorders>
              <w:top w:val="single" w:color="auto" w:sz="2" w:space="0"/>
              <w:left w:val="single" w:color="auto" w:sz="2" w:space="0"/>
              <w:bottom w:val="single" w:color="auto" w:sz="2" w:space="0"/>
              <w:right w:val="single" w:color="auto" w:sz="2" w:space="0"/>
            </w:tcBorders>
            <w:vAlign w:val="center"/>
          </w:tcPr>
          <w:p w14:paraId="2744E70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6,016,683.90</w:t>
            </w:r>
          </w:p>
        </w:tc>
        <w:tc>
          <w:tcPr>
            <w:tcW w:w="1928" w:type="dxa"/>
            <w:tcBorders>
              <w:top w:val="single" w:color="auto" w:sz="2" w:space="0"/>
              <w:left w:val="single" w:color="auto" w:sz="2" w:space="0"/>
              <w:bottom w:val="single" w:color="auto" w:sz="2" w:space="0"/>
              <w:right w:val="single" w:color="auto" w:sz="2" w:space="0"/>
            </w:tcBorders>
            <w:vAlign w:val="center"/>
          </w:tcPr>
          <w:p w14:paraId="7C5E336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491,345.23</w:t>
            </w:r>
          </w:p>
        </w:tc>
      </w:tr>
      <w:tr w14:paraId="4742C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2503E2B">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14:paraId="6F4F2AF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15,070,757.80</w:t>
            </w:r>
          </w:p>
        </w:tc>
        <w:tc>
          <w:tcPr>
            <w:tcW w:w="1928" w:type="dxa"/>
            <w:tcBorders>
              <w:top w:val="single" w:color="auto" w:sz="2" w:space="0"/>
              <w:left w:val="single" w:color="auto" w:sz="2" w:space="0"/>
              <w:bottom w:val="single" w:color="auto" w:sz="2" w:space="0"/>
              <w:right w:val="single" w:color="auto" w:sz="2" w:space="0"/>
            </w:tcBorders>
            <w:vAlign w:val="center"/>
          </w:tcPr>
          <w:p w14:paraId="48FED48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24,208,370.45</w:t>
            </w:r>
          </w:p>
        </w:tc>
        <w:tc>
          <w:tcPr>
            <w:tcW w:w="1928" w:type="dxa"/>
            <w:tcBorders>
              <w:top w:val="single" w:color="auto" w:sz="2" w:space="0"/>
              <w:left w:val="single" w:color="auto" w:sz="2" w:space="0"/>
              <w:bottom w:val="single" w:color="auto" w:sz="2" w:space="0"/>
              <w:right w:val="single" w:color="auto" w:sz="2" w:space="0"/>
            </w:tcBorders>
            <w:vAlign w:val="center"/>
          </w:tcPr>
          <w:p w14:paraId="1EA8EE2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13,356,711.92</w:t>
            </w:r>
          </w:p>
        </w:tc>
        <w:tc>
          <w:tcPr>
            <w:tcW w:w="1928" w:type="dxa"/>
            <w:tcBorders>
              <w:top w:val="single" w:color="auto" w:sz="2" w:space="0"/>
              <w:left w:val="single" w:color="auto" w:sz="2" w:space="0"/>
              <w:bottom w:val="single" w:color="auto" w:sz="2" w:space="0"/>
              <w:right w:val="single" w:color="auto" w:sz="2" w:space="0"/>
            </w:tcBorders>
            <w:vAlign w:val="center"/>
          </w:tcPr>
          <w:p w14:paraId="5695EE5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18,837,955.59</w:t>
            </w:r>
          </w:p>
        </w:tc>
      </w:tr>
    </w:tbl>
    <w:p w14:paraId="7863C2E6">
      <w:pPr>
        <w:spacing w:before="100" w:after="100" w:line="240" w:lineRule="exact"/>
        <w:jc w:val="left"/>
        <w:rPr>
          <w:rFonts w:ascii="宋体" w:hAnsi="宋体" w:eastAsia="宋体" w:cs="宋体"/>
          <w:sz w:val="18"/>
          <w:szCs w:val="18"/>
        </w:rPr>
      </w:pPr>
      <w:r>
        <w:rPr>
          <w:rFonts w:ascii="宋体" w:hAnsi="宋体" w:eastAsia="宋体" w:cs="宋体"/>
          <w:sz w:val="18"/>
          <w:szCs w:val="18"/>
        </w:rPr>
        <w:t>上述财务指标或其加总数是否与公司已披露季度报告、半年度报告相关财务指标存在重大差异</w:t>
      </w:r>
    </w:p>
    <w:p w14:paraId="1E5DEFCF">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653EB280">
      <w:pPr>
        <w:pStyle w:val="2"/>
        <w:keepNext/>
        <w:keepLines/>
        <w:spacing w:before="300" w:after="300" w:line="320" w:lineRule="exact"/>
        <w:jc w:val="left"/>
        <w:outlineLvl w:val="1"/>
        <w:rPr>
          <w:rFonts w:ascii="宋体" w:hAnsi="宋体" w:eastAsia="宋体" w:cs="宋体"/>
          <w:b/>
          <w:bCs/>
          <w:sz w:val="24"/>
          <w:szCs w:val="24"/>
        </w:rPr>
      </w:pPr>
      <w:bookmarkStart w:id="17" w:name="_Toc17223"/>
      <w:bookmarkStart w:id="18" w:name="_Toc988897"/>
      <w:r>
        <w:rPr>
          <w:rFonts w:ascii="宋体" w:hAnsi="宋体" w:eastAsia="宋体" w:cs="宋体"/>
          <w:b/>
          <w:bCs/>
          <w:sz w:val="24"/>
          <w:szCs w:val="24"/>
        </w:rPr>
        <w:t>七、境内外会计准则下会计数据差异</w:t>
      </w:r>
      <w:bookmarkEnd w:id="17"/>
      <w:bookmarkEnd w:id="18"/>
    </w:p>
    <w:p w14:paraId="21993BB1">
      <w:pPr>
        <w:pStyle w:val="3"/>
        <w:keepNext/>
        <w:keepLines/>
        <w:spacing w:before="300" w:after="300" w:line="280" w:lineRule="exact"/>
        <w:jc w:val="left"/>
        <w:outlineLvl w:val="2"/>
        <w:rPr>
          <w:rFonts w:ascii="宋体" w:hAnsi="宋体" w:eastAsia="宋体" w:cs="宋体"/>
          <w:b/>
          <w:bCs/>
          <w:sz w:val="21"/>
          <w:szCs w:val="21"/>
        </w:rPr>
      </w:pPr>
      <w:bookmarkStart w:id="19" w:name="_Toc988898"/>
      <w:r>
        <w:rPr>
          <w:rFonts w:ascii="宋体" w:hAnsi="宋体" w:eastAsia="宋体" w:cs="宋体"/>
          <w:b/>
          <w:bCs/>
          <w:sz w:val="21"/>
          <w:szCs w:val="21"/>
        </w:rPr>
        <w:t>1、同时按照国际会计准则与按照中国会计准则披露的财务报告中净利润和净资产差异情况</w:t>
      </w:r>
      <w:bookmarkEnd w:id="19"/>
    </w:p>
    <w:p w14:paraId="4D469C0B">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FAC80D4">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公司报告期不存在按照国际会计准则与按照中国会计准则披露的财务报告中净利润和净资产差异情况。</w:t>
      </w:r>
    </w:p>
    <w:p w14:paraId="671E685A">
      <w:pPr>
        <w:pStyle w:val="3"/>
        <w:keepNext/>
        <w:keepLines/>
        <w:spacing w:before="300" w:after="300" w:line="280" w:lineRule="exact"/>
        <w:jc w:val="left"/>
        <w:outlineLvl w:val="2"/>
        <w:rPr>
          <w:rFonts w:ascii="宋体" w:hAnsi="宋体" w:eastAsia="宋体" w:cs="宋体"/>
          <w:b/>
          <w:bCs/>
          <w:sz w:val="21"/>
          <w:szCs w:val="21"/>
        </w:rPr>
      </w:pPr>
      <w:bookmarkStart w:id="20" w:name="_Toc988899"/>
      <w:r>
        <w:rPr>
          <w:rFonts w:ascii="宋体" w:hAnsi="宋体" w:eastAsia="宋体" w:cs="宋体"/>
          <w:b/>
          <w:bCs/>
          <w:sz w:val="21"/>
          <w:szCs w:val="21"/>
        </w:rPr>
        <w:t>2、同时按照境外会计准则与按照中国会计准则披露的财务报告中净利润和净资产差异情况</w:t>
      </w:r>
      <w:bookmarkEnd w:id="20"/>
    </w:p>
    <w:p w14:paraId="0516ED7D">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F5F639B">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公司报告期不存在按照境外会计准则与按照中国会计准则披露的财务报告中净利润和净资产差异情况。</w:t>
      </w:r>
    </w:p>
    <w:p w14:paraId="63A251E9">
      <w:pPr>
        <w:pStyle w:val="2"/>
        <w:keepNext/>
        <w:keepLines/>
        <w:spacing w:before="300" w:after="300" w:line="320" w:lineRule="exact"/>
        <w:jc w:val="left"/>
        <w:outlineLvl w:val="1"/>
        <w:rPr>
          <w:rFonts w:ascii="宋体" w:hAnsi="宋体" w:eastAsia="宋体" w:cs="宋体"/>
          <w:b/>
          <w:bCs/>
          <w:sz w:val="24"/>
          <w:szCs w:val="24"/>
        </w:rPr>
      </w:pPr>
      <w:bookmarkStart w:id="21" w:name="_Toc7263"/>
      <w:bookmarkStart w:id="22" w:name="_Toc988900"/>
      <w:r>
        <w:rPr>
          <w:rFonts w:ascii="宋体" w:hAnsi="宋体" w:eastAsia="宋体" w:cs="宋体"/>
          <w:b/>
          <w:bCs/>
          <w:sz w:val="24"/>
          <w:szCs w:val="24"/>
        </w:rPr>
        <w:t>八、非经常性损益项目及金额</w:t>
      </w:r>
      <w:bookmarkEnd w:id="21"/>
      <w:bookmarkEnd w:id="22"/>
    </w:p>
    <w:p w14:paraId="3CC0AC88">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21FFA32C">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75076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843DB5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75AEF3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DA6009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8DF577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2023年金额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B44D5B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说明</w:t>
            </w:r>
          </w:p>
        </w:tc>
      </w:tr>
      <w:tr w14:paraId="2E5D1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20ECE83">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非流动性资产处置损益（包括已计提资产减值准备的冲销部分）</w:t>
            </w:r>
          </w:p>
        </w:tc>
        <w:tc>
          <w:tcPr>
            <w:tcW w:w="1928" w:type="dxa"/>
            <w:tcBorders>
              <w:top w:val="single" w:color="auto" w:sz="2" w:space="0"/>
              <w:left w:val="single" w:color="auto" w:sz="2" w:space="0"/>
              <w:bottom w:val="single" w:color="auto" w:sz="2" w:space="0"/>
              <w:right w:val="single" w:color="auto" w:sz="2" w:space="0"/>
            </w:tcBorders>
            <w:vAlign w:val="center"/>
          </w:tcPr>
          <w:p w14:paraId="18E547F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21,940.67</w:t>
            </w:r>
          </w:p>
        </w:tc>
        <w:tc>
          <w:tcPr>
            <w:tcW w:w="1928" w:type="dxa"/>
            <w:tcBorders>
              <w:top w:val="single" w:color="auto" w:sz="2" w:space="0"/>
              <w:left w:val="single" w:color="auto" w:sz="2" w:space="0"/>
              <w:bottom w:val="single" w:color="auto" w:sz="2" w:space="0"/>
              <w:right w:val="single" w:color="auto" w:sz="2" w:space="0"/>
            </w:tcBorders>
            <w:vAlign w:val="center"/>
          </w:tcPr>
          <w:p w14:paraId="7CAD22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32,334.57</w:t>
            </w:r>
          </w:p>
        </w:tc>
        <w:tc>
          <w:tcPr>
            <w:tcW w:w="1928" w:type="dxa"/>
            <w:tcBorders>
              <w:top w:val="single" w:color="auto" w:sz="2" w:space="0"/>
              <w:left w:val="single" w:color="auto" w:sz="2" w:space="0"/>
              <w:bottom w:val="single" w:color="auto" w:sz="2" w:space="0"/>
              <w:right w:val="single" w:color="auto" w:sz="2" w:space="0"/>
            </w:tcBorders>
            <w:vAlign w:val="center"/>
          </w:tcPr>
          <w:p w14:paraId="32CF919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924,105.58</w:t>
            </w:r>
          </w:p>
        </w:tc>
        <w:tc>
          <w:tcPr>
            <w:tcW w:w="1928" w:type="dxa"/>
            <w:tcBorders>
              <w:top w:val="single" w:color="auto" w:sz="2" w:space="0"/>
              <w:left w:val="single" w:color="auto" w:sz="2" w:space="0"/>
              <w:bottom w:val="single" w:color="auto" w:sz="2" w:space="0"/>
              <w:right w:val="single" w:color="auto" w:sz="2" w:space="0"/>
            </w:tcBorders>
            <w:vAlign w:val="center"/>
          </w:tcPr>
          <w:p w14:paraId="798C504E">
            <w:pPr>
              <w:spacing w:before="0" w:after="0" w:line="240" w:lineRule="exact"/>
              <w:jc w:val="left"/>
              <w:rPr>
                <w:rFonts w:hint="default" w:ascii="Times New Roman" w:hAnsi="Times New Roman" w:eastAsia="宋体" w:cs="Times New Roman"/>
                <w:sz w:val="18"/>
                <w:szCs w:val="18"/>
              </w:rPr>
            </w:pPr>
          </w:p>
        </w:tc>
      </w:tr>
      <w:tr w14:paraId="2D0BE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EC7CEA3">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计入当期损益的政府补助（与公司正常经营业务密切相关，符合国家政策规定、按照确定的标准享有、对公司损益产生持续影响的政府补助除外）</w:t>
            </w:r>
          </w:p>
        </w:tc>
        <w:tc>
          <w:tcPr>
            <w:tcW w:w="1928" w:type="dxa"/>
            <w:tcBorders>
              <w:top w:val="single" w:color="auto" w:sz="2" w:space="0"/>
              <w:left w:val="single" w:color="auto" w:sz="2" w:space="0"/>
              <w:bottom w:val="single" w:color="auto" w:sz="2" w:space="0"/>
              <w:right w:val="single" w:color="auto" w:sz="2" w:space="0"/>
            </w:tcBorders>
            <w:vAlign w:val="center"/>
          </w:tcPr>
          <w:p w14:paraId="53F542A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1,241,805.05</w:t>
            </w:r>
          </w:p>
        </w:tc>
        <w:tc>
          <w:tcPr>
            <w:tcW w:w="1928" w:type="dxa"/>
            <w:tcBorders>
              <w:top w:val="single" w:color="auto" w:sz="2" w:space="0"/>
              <w:left w:val="single" w:color="auto" w:sz="2" w:space="0"/>
              <w:bottom w:val="single" w:color="auto" w:sz="2" w:space="0"/>
              <w:right w:val="single" w:color="auto" w:sz="2" w:space="0"/>
            </w:tcBorders>
            <w:vAlign w:val="center"/>
          </w:tcPr>
          <w:p w14:paraId="397EA9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8,361,939.62</w:t>
            </w:r>
          </w:p>
        </w:tc>
        <w:tc>
          <w:tcPr>
            <w:tcW w:w="1928" w:type="dxa"/>
            <w:tcBorders>
              <w:top w:val="single" w:color="auto" w:sz="2" w:space="0"/>
              <w:left w:val="single" w:color="auto" w:sz="2" w:space="0"/>
              <w:bottom w:val="single" w:color="auto" w:sz="2" w:space="0"/>
              <w:right w:val="single" w:color="auto" w:sz="2" w:space="0"/>
            </w:tcBorders>
            <w:vAlign w:val="center"/>
          </w:tcPr>
          <w:p w14:paraId="53FFFC0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4,966,206.03</w:t>
            </w:r>
          </w:p>
        </w:tc>
        <w:tc>
          <w:tcPr>
            <w:tcW w:w="1928" w:type="dxa"/>
            <w:tcBorders>
              <w:top w:val="single" w:color="auto" w:sz="2" w:space="0"/>
              <w:left w:val="single" w:color="auto" w:sz="2" w:space="0"/>
              <w:bottom w:val="single" w:color="auto" w:sz="2" w:space="0"/>
              <w:right w:val="single" w:color="auto" w:sz="2" w:space="0"/>
            </w:tcBorders>
            <w:vAlign w:val="center"/>
          </w:tcPr>
          <w:p w14:paraId="4142779E">
            <w:pPr>
              <w:spacing w:before="0" w:after="0" w:line="240" w:lineRule="exact"/>
              <w:jc w:val="left"/>
              <w:rPr>
                <w:rFonts w:hint="default" w:ascii="Times New Roman" w:hAnsi="Times New Roman" w:eastAsia="宋体" w:cs="Times New Roman"/>
                <w:sz w:val="18"/>
                <w:szCs w:val="18"/>
              </w:rPr>
            </w:pPr>
          </w:p>
        </w:tc>
      </w:tr>
      <w:tr w14:paraId="6917F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21E25E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企业取得子公司、联营企业及合营企业的投资成本小于取得投资时应享有被投资单位可辨认净资产公允价值产生的收益</w:t>
            </w:r>
          </w:p>
        </w:tc>
        <w:tc>
          <w:tcPr>
            <w:tcW w:w="1928" w:type="dxa"/>
            <w:tcBorders>
              <w:top w:val="single" w:color="auto" w:sz="2" w:space="0"/>
              <w:left w:val="single" w:color="auto" w:sz="2" w:space="0"/>
              <w:bottom w:val="single" w:color="auto" w:sz="2" w:space="0"/>
              <w:right w:val="single" w:color="auto" w:sz="2" w:space="0"/>
            </w:tcBorders>
            <w:vAlign w:val="center"/>
          </w:tcPr>
          <w:p w14:paraId="56EC9675">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810AA6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1,497,642.26</w:t>
            </w:r>
          </w:p>
        </w:tc>
        <w:tc>
          <w:tcPr>
            <w:tcW w:w="1928" w:type="dxa"/>
            <w:tcBorders>
              <w:top w:val="single" w:color="auto" w:sz="2" w:space="0"/>
              <w:left w:val="single" w:color="auto" w:sz="2" w:space="0"/>
              <w:bottom w:val="single" w:color="auto" w:sz="2" w:space="0"/>
              <w:right w:val="single" w:color="auto" w:sz="2" w:space="0"/>
            </w:tcBorders>
            <w:vAlign w:val="center"/>
          </w:tcPr>
          <w:p w14:paraId="59A0CD99">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36424C5">
            <w:pPr>
              <w:spacing w:before="0" w:after="0" w:line="240" w:lineRule="exact"/>
              <w:jc w:val="left"/>
              <w:rPr>
                <w:rFonts w:hint="default" w:ascii="Times New Roman" w:hAnsi="Times New Roman" w:eastAsia="宋体" w:cs="Times New Roman"/>
                <w:sz w:val="18"/>
                <w:szCs w:val="18"/>
              </w:rPr>
            </w:pPr>
          </w:p>
        </w:tc>
      </w:tr>
      <w:tr w14:paraId="7066D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BF0A7BF">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债务重组损益</w:t>
            </w:r>
          </w:p>
        </w:tc>
        <w:tc>
          <w:tcPr>
            <w:tcW w:w="1928" w:type="dxa"/>
            <w:tcBorders>
              <w:top w:val="single" w:color="auto" w:sz="2" w:space="0"/>
              <w:left w:val="single" w:color="auto" w:sz="2" w:space="0"/>
              <w:bottom w:val="single" w:color="auto" w:sz="2" w:space="0"/>
              <w:right w:val="single" w:color="auto" w:sz="2" w:space="0"/>
            </w:tcBorders>
            <w:vAlign w:val="center"/>
          </w:tcPr>
          <w:p w14:paraId="52FF4B3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81,750.00</w:t>
            </w:r>
          </w:p>
        </w:tc>
        <w:tc>
          <w:tcPr>
            <w:tcW w:w="1928" w:type="dxa"/>
            <w:tcBorders>
              <w:top w:val="single" w:color="auto" w:sz="2" w:space="0"/>
              <w:left w:val="single" w:color="auto" w:sz="2" w:space="0"/>
              <w:bottom w:val="single" w:color="auto" w:sz="2" w:space="0"/>
              <w:right w:val="single" w:color="auto" w:sz="2" w:space="0"/>
            </w:tcBorders>
            <w:vAlign w:val="center"/>
          </w:tcPr>
          <w:p w14:paraId="51DE099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-737,728.81</w:t>
            </w:r>
          </w:p>
        </w:tc>
        <w:tc>
          <w:tcPr>
            <w:tcW w:w="1928" w:type="dxa"/>
            <w:tcBorders>
              <w:top w:val="single" w:color="auto" w:sz="2" w:space="0"/>
              <w:left w:val="single" w:color="auto" w:sz="2" w:space="0"/>
              <w:bottom w:val="single" w:color="auto" w:sz="2" w:space="0"/>
              <w:right w:val="single" w:color="auto" w:sz="2" w:space="0"/>
            </w:tcBorders>
            <w:vAlign w:val="center"/>
          </w:tcPr>
          <w:p w14:paraId="65E3D47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-2,799,020.00</w:t>
            </w:r>
          </w:p>
        </w:tc>
        <w:tc>
          <w:tcPr>
            <w:tcW w:w="1928" w:type="dxa"/>
            <w:tcBorders>
              <w:top w:val="single" w:color="auto" w:sz="2" w:space="0"/>
              <w:left w:val="single" w:color="auto" w:sz="2" w:space="0"/>
              <w:bottom w:val="single" w:color="auto" w:sz="2" w:space="0"/>
              <w:right w:val="single" w:color="auto" w:sz="2" w:space="0"/>
            </w:tcBorders>
            <w:vAlign w:val="center"/>
          </w:tcPr>
          <w:p w14:paraId="04BDDD34">
            <w:pPr>
              <w:spacing w:before="0" w:after="0" w:line="240" w:lineRule="exact"/>
              <w:jc w:val="left"/>
              <w:rPr>
                <w:rFonts w:hint="default" w:ascii="Times New Roman" w:hAnsi="Times New Roman" w:eastAsia="宋体" w:cs="Times New Roman"/>
                <w:sz w:val="18"/>
                <w:szCs w:val="18"/>
              </w:rPr>
            </w:pPr>
          </w:p>
        </w:tc>
      </w:tr>
      <w:tr w14:paraId="3FB5C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C3861D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除上述各项之外的其他营业外收入和支出</w:t>
            </w:r>
          </w:p>
        </w:tc>
        <w:tc>
          <w:tcPr>
            <w:tcW w:w="1928" w:type="dxa"/>
            <w:tcBorders>
              <w:top w:val="single" w:color="auto" w:sz="2" w:space="0"/>
              <w:left w:val="single" w:color="auto" w:sz="2" w:space="0"/>
              <w:bottom w:val="single" w:color="auto" w:sz="2" w:space="0"/>
              <w:right w:val="single" w:color="auto" w:sz="2" w:space="0"/>
            </w:tcBorders>
            <w:vAlign w:val="center"/>
          </w:tcPr>
          <w:p w14:paraId="16F1EEB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-3,172,951.32</w:t>
            </w:r>
          </w:p>
        </w:tc>
        <w:tc>
          <w:tcPr>
            <w:tcW w:w="1928" w:type="dxa"/>
            <w:tcBorders>
              <w:top w:val="single" w:color="auto" w:sz="2" w:space="0"/>
              <w:left w:val="single" w:color="auto" w:sz="2" w:space="0"/>
              <w:bottom w:val="single" w:color="auto" w:sz="2" w:space="0"/>
              <w:right w:val="single" w:color="auto" w:sz="2" w:space="0"/>
            </w:tcBorders>
            <w:vAlign w:val="center"/>
          </w:tcPr>
          <w:p w14:paraId="0D7F850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-224,313.17</w:t>
            </w:r>
          </w:p>
        </w:tc>
        <w:tc>
          <w:tcPr>
            <w:tcW w:w="1928" w:type="dxa"/>
            <w:tcBorders>
              <w:top w:val="single" w:color="auto" w:sz="2" w:space="0"/>
              <w:left w:val="single" w:color="auto" w:sz="2" w:space="0"/>
              <w:bottom w:val="single" w:color="auto" w:sz="2" w:space="0"/>
              <w:right w:val="single" w:color="auto" w:sz="2" w:space="0"/>
            </w:tcBorders>
            <w:vAlign w:val="center"/>
          </w:tcPr>
          <w:p w14:paraId="5F84C95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-1,899,367.34</w:t>
            </w:r>
          </w:p>
        </w:tc>
        <w:tc>
          <w:tcPr>
            <w:tcW w:w="1928" w:type="dxa"/>
            <w:tcBorders>
              <w:top w:val="single" w:color="auto" w:sz="2" w:space="0"/>
              <w:left w:val="single" w:color="auto" w:sz="2" w:space="0"/>
              <w:bottom w:val="single" w:color="auto" w:sz="2" w:space="0"/>
              <w:right w:val="single" w:color="auto" w:sz="2" w:space="0"/>
            </w:tcBorders>
            <w:vAlign w:val="center"/>
          </w:tcPr>
          <w:p w14:paraId="2033D223">
            <w:pPr>
              <w:spacing w:before="0" w:after="0" w:line="240" w:lineRule="exact"/>
              <w:jc w:val="left"/>
              <w:rPr>
                <w:rFonts w:hint="default" w:ascii="Times New Roman" w:hAnsi="Times New Roman" w:eastAsia="宋体" w:cs="Times New Roman"/>
                <w:sz w:val="18"/>
                <w:szCs w:val="18"/>
              </w:rPr>
            </w:pPr>
          </w:p>
        </w:tc>
      </w:tr>
      <w:tr w14:paraId="6DBA7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D60E15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其他符合非经常性损益定义的损益项目</w:t>
            </w:r>
          </w:p>
        </w:tc>
        <w:tc>
          <w:tcPr>
            <w:tcW w:w="1928" w:type="dxa"/>
            <w:tcBorders>
              <w:top w:val="single" w:color="auto" w:sz="2" w:space="0"/>
              <w:left w:val="single" w:color="auto" w:sz="2" w:space="0"/>
              <w:bottom w:val="single" w:color="auto" w:sz="2" w:space="0"/>
              <w:right w:val="single" w:color="auto" w:sz="2" w:space="0"/>
            </w:tcBorders>
            <w:vAlign w:val="center"/>
          </w:tcPr>
          <w:p w14:paraId="10DEC040">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15961A7">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D4A44C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-360,643.39</w:t>
            </w:r>
          </w:p>
        </w:tc>
        <w:tc>
          <w:tcPr>
            <w:tcW w:w="1928" w:type="dxa"/>
            <w:tcBorders>
              <w:top w:val="single" w:color="auto" w:sz="2" w:space="0"/>
              <w:left w:val="single" w:color="auto" w:sz="2" w:space="0"/>
              <w:bottom w:val="single" w:color="auto" w:sz="2" w:space="0"/>
              <w:right w:val="single" w:color="auto" w:sz="2" w:space="0"/>
            </w:tcBorders>
            <w:vAlign w:val="center"/>
          </w:tcPr>
          <w:p w14:paraId="624CAEC8">
            <w:pPr>
              <w:spacing w:before="0" w:after="0" w:line="240" w:lineRule="exact"/>
              <w:jc w:val="left"/>
              <w:rPr>
                <w:rFonts w:hint="default" w:ascii="Times New Roman" w:hAnsi="Times New Roman" w:eastAsia="宋体" w:cs="Times New Roman"/>
                <w:sz w:val="18"/>
                <w:szCs w:val="18"/>
              </w:rPr>
            </w:pPr>
          </w:p>
        </w:tc>
      </w:tr>
      <w:tr w14:paraId="1C7FD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0F29BD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减：所得税影响额</w:t>
            </w:r>
          </w:p>
        </w:tc>
        <w:tc>
          <w:tcPr>
            <w:tcW w:w="1928" w:type="dxa"/>
            <w:tcBorders>
              <w:top w:val="single" w:color="auto" w:sz="2" w:space="0"/>
              <w:left w:val="single" w:color="auto" w:sz="2" w:space="0"/>
              <w:bottom w:val="single" w:color="auto" w:sz="2" w:space="0"/>
              <w:right w:val="single" w:color="auto" w:sz="2" w:space="0"/>
            </w:tcBorders>
            <w:vAlign w:val="center"/>
          </w:tcPr>
          <w:p w14:paraId="33C97CF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-324,529.28</w:t>
            </w:r>
          </w:p>
        </w:tc>
        <w:tc>
          <w:tcPr>
            <w:tcW w:w="1928" w:type="dxa"/>
            <w:tcBorders>
              <w:top w:val="single" w:color="auto" w:sz="2" w:space="0"/>
              <w:left w:val="single" w:color="auto" w:sz="2" w:space="0"/>
              <w:bottom w:val="single" w:color="auto" w:sz="2" w:space="0"/>
              <w:right w:val="single" w:color="auto" w:sz="2" w:space="0"/>
            </w:tcBorders>
            <w:vAlign w:val="center"/>
          </w:tcPr>
          <w:p w14:paraId="05E1498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1,058,890.86</w:t>
            </w:r>
          </w:p>
        </w:tc>
        <w:tc>
          <w:tcPr>
            <w:tcW w:w="1928" w:type="dxa"/>
            <w:tcBorders>
              <w:top w:val="single" w:color="auto" w:sz="2" w:space="0"/>
              <w:left w:val="single" w:color="auto" w:sz="2" w:space="0"/>
              <w:bottom w:val="single" w:color="auto" w:sz="2" w:space="0"/>
              <w:right w:val="single" w:color="auto" w:sz="2" w:space="0"/>
            </w:tcBorders>
            <w:vAlign w:val="center"/>
          </w:tcPr>
          <w:p w14:paraId="16A1E76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370,405.06</w:t>
            </w:r>
          </w:p>
        </w:tc>
        <w:tc>
          <w:tcPr>
            <w:tcW w:w="1928" w:type="dxa"/>
            <w:tcBorders>
              <w:top w:val="single" w:color="auto" w:sz="2" w:space="0"/>
              <w:left w:val="single" w:color="auto" w:sz="2" w:space="0"/>
              <w:bottom w:val="single" w:color="auto" w:sz="2" w:space="0"/>
              <w:right w:val="single" w:color="auto" w:sz="2" w:space="0"/>
            </w:tcBorders>
            <w:vAlign w:val="center"/>
          </w:tcPr>
          <w:p w14:paraId="74BDADCC">
            <w:pPr>
              <w:spacing w:before="0" w:after="0" w:line="240" w:lineRule="exact"/>
              <w:jc w:val="left"/>
              <w:rPr>
                <w:rFonts w:hint="default" w:ascii="Times New Roman" w:hAnsi="Times New Roman" w:eastAsia="宋体" w:cs="Times New Roman"/>
                <w:sz w:val="18"/>
                <w:szCs w:val="18"/>
              </w:rPr>
            </w:pPr>
          </w:p>
        </w:tc>
      </w:tr>
      <w:tr w14:paraId="6DB1F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9C927B1">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少数股东权益影响额（税后）</w:t>
            </w:r>
          </w:p>
        </w:tc>
        <w:tc>
          <w:tcPr>
            <w:tcW w:w="1928" w:type="dxa"/>
            <w:tcBorders>
              <w:top w:val="single" w:color="auto" w:sz="2" w:space="0"/>
              <w:left w:val="single" w:color="auto" w:sz="2" w:space="0"/>
              <w:bottom w:val="single" w:color="auto" w:sz="2" w:space="0"/>
              <w:right w:val="single" w:color="auto" w:sz="2" w:space="0"/>
            </w:tcBorders>
            <w:vAlign w:val="center"/>
          </w:tcPr>
          <w:p w14:paraId="2A9FB6A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462,964.69</w:t>
            </w:r>
          </w:p>
        </w:tc>
        <w:tc>
          <w:tcPr>
            <w:tcW w:w="1928" w:type="dxa"/>
            <w:tcBorders>
              <w:top w:val="single" w:color="auto" w:sz="2" w:space="0"/>
              <w:left w:val="single" w:color="auto" w:sz="2" w:space="0"/>
              <w:bottom w:val="single" w:color="auto" w:sz="2" w:space="0"/>
              <w:right w:val="single" w:color="auto" w:sz="2" w:space="0"/>
            </w:tcBorders>
            <w:vAlign w:val="center"/>
          </w:tcPr>
          <w:p w14:paraId="538E969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168,398.97</w:t>
            </w:r>
          </w:p>
        </w:tc>
        <w:tc>
          <w:tcPr>
            <w:tcW w:w="1928" w:type="dxa"/>
            <w:tcBorders>
              <w:top w:val="single" w:color="auto" w:sz="2" w:space="0"/>
              <w:left w:val="single" w:color="auto" w:sz="2" w:space="0"/>
              <w:bottom w:val="single" w:color="auto" w:sz="2" w:space="0"/>
              <w:right w:val="single" w:color="auto" w:sz="2" w:space="0"/>
            </w:tcBorders>
            <w:vAlign w:val="center"/>
          </w:tcPr>
          <w:p w14:paraId="30D5DF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10,473.78</w:t>
            </w:r>
          </w:p>
        </w:tc>
        <w:tc>
          <w:tcPr>
            <w:tcW w:w="1928" w:type="dxa"/>
            <w:tcBorders>
              <w:top w:val="single" w:color="auto" w:sz="2" w:space="0"/>
              <w:left w:val="single" w:color="auto" w:sz="2" w:space="0"/>
              <w:bottom w:val="single" w:color="auto" w:sz="2" w:space="0"/>
              <w:right w:val="single" w:color="auto" w:sz="2" w:space="0"/>
            </w:tcBorders>
            <w:vAlign w:val="center"/>
          </w:tcPr>
          <w:p w14:paraId="6DD68A6E">
            <w:pPr>
              <w:spacing w:before="0" w:after="0" w:line="240" w:lineRule="exact"/>
              <w:jc w:val="left"/>
              <w:rPr>
                <w:rFonts w:hint="default" w:ascii="Times New Roman" w:hAnsi="Times New Roman" w:eastAsia="宋体" w:cs="Times New Roman"/>
                <w:sz w:val="18"/>
                <w:szCs w:val="18"/>
              </w:rPr>
            </w:pPr>
          </w:p>
        </w:tc>
      </w:tr>
      <w:tr w14:paraId="14C7F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59FBAA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0820921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-1,965,891.01</w:t>
            </w:r>
          </w:p>
        </w:tc>
        <w:tc>
          <w:tcPr>
            <w:tcW w:w="1928" w:type="dxa"/>
            <w:tcBorders>
              <w:top w:val="single" w:color="auto" w:sz="2" w:space="0"/>
              <w:left w:val="single" w:color="auto" w:sz="2" w:space="0"/>
              <w:bottom w:val="single" w:color="auto" w:sz="2" w:space="0"/>
              <w:right w:val="single" w:color="auto" w:sz="2" w:space="0"/>
            </w:tcBorders>
            <w:vAlign w:val="center"/>
          </w:tcPr>
          <w:p w14:paraId="017F02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7,702,584.64</w:t>
            </w:r>
          </w:p>
        </w:tc>
        <w:tc>
          <w:tcPr>
            <w:tcW w:w="1928" w:type="dxa"/>
            <w:tcBorders>
              <w:top w:val="single" w:color="auto" w:sz="2" w:space="0"/>
              <w:left w:val="single" w:color="auto" w:sz="2" w:space="0"/>
              <w:bottom w:val="single" w:color="auto" w:sz="2" w:space="0"/>
              <w:right w:val="single" w:color="auto" w:sz="2" w:space="0"/>
            </w:tcBorders>
            <w:vAlign w:val="center"/>
          </w:tcPr>
          <w:p w14:paraId="695D2A8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450,402.04</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D9AA207">
            <w:pPr>
              <w:spacing w:before="40" w:after="40" w:line="240" w:lineRule="exact"/>
              <w:jc w:val="center"/>
              <w:rPr>
                <w:rFonts w:hint="default" w:ascii="Times New Roman" w:hAnsi="Times New Roman" w:eastAsia="宋体" w:cs="Times New Roman"/>
                <w:sz w:val="18"/>
                <w:szCs w:val="18"/>
                <w:shd w:val="clear" w:color="auto" w:fill="D3D3D3"/>
              </w:rPr>
            </w:pPr>
            <w:r>
              <w:rPr>
                <w:rFonts w:hint="default" w:ascii="Times New Roman" w:hAnsi="Times New Roman" w:eastAsia="宋体" w:cs="Times New Roman"/>
                <w:sz w:val="18"/>
                <w:szCs w:val="18"/>
                <w:shd w:val="clear" w:color="auto" w:fill="D3D3D3"/>
              </w:rPr>
              <w:t>--</w:t>
            </w:r>
          </w:p>
        </w:tc>
      </w:tr>
    </w:tbl>
    <w:p w14:paraId="0A8FCB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z w:val="18"/>
          <w:szCs w:val="18"/>
        </w:rPr>
      </w:pPr>
      <w:r>
        <w:rPr>
          <w:rFonts w:ascii="宋体" w:hAnsi="宋体" w:eastAsia="宋体" w:cs="宋体"/>
          <w:sz w:val="18"/>
          <w:szCs w:val="18"/>
        </w:rPr>
        <w:t>其他符合非经常性损益定义的损益项目的具体情况：</w:t>
      </w:r>
    </w:p>
    <w:p w14:paraId="4F1C1D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97B12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14:paraId="4EE2D2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14:paraId="484191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DE9E0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14:paraId="6244853B">
      <w:pPr>
        <w:keepNext w:val="0"/>
        <w:keepLines w:val="0"/>
        <w:pageBreakBefore w:val="0"/>
        <w:widowControl w:val="0"/>
        <w:kinsoku/>
        <w:wordWrap/>
        <w:overflowPunct/>
        <w:topLinePunct w:val="0"/>
        <w:autoSpaceDE/>
        <w:autoSpaceDN/>
        <w:bidi w:val="0"/>
        <w:adjustRightInd/>
        <w:snapToGrid/>
        <w:spacing w:line="240" w:lineRule="auto"/>
        <w:textAlignment w:val="auto"/>
      </w:pPr>
      <w:r>
        <w:br w:type="page"/>
      </w:r>
    </w:p>
    <w:p w14:paraId="76C145CC">
      <w:pPr>
        <w:pStyle w:val="11"/>
        <w:keepNext/>
        <w:keepLines/>
        <w:spacing w:before="340" w:after="330" w:line="773" w:lineRule="exact"/>
        <w:jc w:val="center"/>
        <w:outlineLvl w:val="0"/>
        <w:rPr>
          <w:rFonts w:ascii="宋体" w:hAnsi="宋体" w:eastAsia="宋体" w:cs="宋体"/>
          <w:b/>
          <w:bCs/>
          <w:sz w:val="32"/>
          <w:szCs w:val="32"/>
        </w:rPr>
      </w:pPr>
      <w:bookmarkStart w:id="23" w:name="_Toc988901"/>
      <w:bookmarkStart w:id="24" w:name="_Toc10316"/>
      <w:r>
        <w:rPr>
          <w:rFonts w:ascii="宋体" w:hAnsi="宋体" w:eastAsia="宋体" w:cs="宋体"/>
          <w:b/>
          <w:bCs/>
          <w:sz w:val="32"/>
          <w:szCs w:val="32"/>
        </w:rPr>
        <w:t>第三节 管理层讨论与分析</w:t>
      </w:r>
      <w:bookmarkEnd w:id="23"/>
      <w:bookmarkEnd w:id="24"/>
    </w:p>
    <w:p w14:paraId="380245CE">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25" w:name="_Toc25883"/>
      <w:bookmarkStart w:id="26" w:name="_Toc988902"/>
      <w:r>
        <w:rPr>
          <w:rFonts w:ascii="宋体" w:hAnsi="宋体" w:eastAsia="宋体" w:cs="宋体"/>
          <w:b/>
          <w:bCs/>
          <w:sz w:val="24"/>
          <w:szCs w:val="24"/>
        </w:rPr>
        <w:t>一、</w:t>
      </w:r>
      <w:r>
        <w:rPr>
          <w:rFonts w:hint="default" w:ascii="Times New Roman" w:hAnsi="Times New Roman" w:eastAsia="宋体" w:cs="Times New Roman"/>
          <w:b/>
          <w:bCs/>
          <w:sz w:val="24"/>
          <w:szCs w:val="24"/>
        </w:rPr>
        <w:t>报告期内公司从事的主要业务</w:t>
      </w:r>
      <w:bookmarkEnd w:id="25"/>
      <w:bookmarkEnd w:id="26"/>
    </w:p>
    <w:p w14:paraId="46881A4F">
      <w:pPr>
        <w:keepNext w:val="0"/>
        <w:keepLines w:val="0"/>
        <w:pageBreakBefore w:val="0"/>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公司需遵守《深圳证券交易所上市公司自律监管指引第4号</w:t>
      </w:r>
      <w:r>
        <w:rPr>
          <w:rFonts w:hint="eastAsia" w:ascii="宋体" w:hAnsi="宋体" w:eastAsia="宋体" w:cs="宋体"/>
          <w:sz w:val="18"/>
          <w:szCs w:val="18"/>
        </w:rPr>
        <w:t>——</w:t>
      </w:r>
      <w:r>
        <w:rPr>
          <w:rFonts w:hint="default" w:ascii="Times New Roman" w:hAnsi="Times New Roman" w:eastAsia="宋体" w:cs="Times New Roman"/>
          <w:sz w:val="18"/>
          <w:szCs w:val="18"/>
        </w:rPr>
        <w:t>创业板行业信息披露》中的</w:t>
      </w:r>
      <w:r>
        <w:rPr>
          <w:rFonts w:hint="eastAsia" w:cs="Times New Roman"/>
          <w:sz w:val="18"/>
          <w:szCs w:val="18"/>
          <w:lang w:eastAsia="zh-CN"/>
        </w:rPr>
        <w:t>“</w:t>
      </w:r>
      <w:r>
        <w:rPr>
          <w:rFonts w:hint="default" w:ascii="Times New Roman" w:hAnsi="Times New Roman" w:eastAsia="宋体" w:cs="Times New Roman"/>
          <w:sz w:val="18"/>
          <w:szCs w:val="18"/>
        </w:rPr>
        <w:t>医疗器械业务</w:t>
      </w:r>
      <w:r>
        <w:rPr>
          <w:rFonts w:hint="eastAsia" w:cs="Times New Roman"/>
          <w:sz w:val="18"/>
          <w:szCs w:val="18"/>
          <w:lang w:eastAsia="zh-CN"/>
        </w:rPr>
        <w:t>”</w:t>
      </w:r>
      <w:r>
        <w:rPr>
          <w:rFonts w:hint="default" w:ascii="Times New Roman" w:hAnsi="Times New Roman" w:eastAsia="宋体" w:cs="Times New Roman"/>
          <w:sz w:val="18"/>
          <w:szCs w:val="18"/>
        </w:rPr>
        <w:t>的披露要求</w:t>
      </w:r>
    </w:p>
    <w:p w14:paraId="0632294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冠昊生物是一家立足再生医学产业，拓展生命健康相关领域，嫁接全球高端技术资源和成果的高新技术企业，持续在生物医药及先进医疗技术、产品业务领域布局，核心业务形成</w:t>
      </w:r>
      <w:r>
        <w:rPr>
          <w:rFonts w:hint="eastAsia" w:cs="Times New Roman"/>
          <w:sz w:val="18"/>
          <w:szCs w:val="18"/>
          <w:lang w:eastAsia="zh-CN"/>
        </w:rPr>
        <w:t>“</w:t>
      </w:r>
      <w:r>
        <w:rPr>
          <w:rFonts w:hint="default" w:ascii="Times New Roman" w:hAnsi="Times New Roman" w:eastAsia="宋体" w:cs="Times New Roman"/>
          <w:sz w:val="18"/>
          <w:szCs w:val="18"/>
        </w:rPr>
        <w:t>3+1</w:t>
      </w:r>
      <w:r>
        <w:rPr>
          <w:rFonts w:hint="eastAsia" w:cs="Times New Roman"/>
          <w:sz w:val="18"/>
          <w:szCs w:val="18"/>
          <w:lang w:eastAsia="zh-CN"/>
        </w:rPr>
        <w:t>”</w:t>
      </w:r>
      <w:r>
        <w:rPr>
          <w:rFonts w:hint="default" w:ascii="Times New Roman" w:hAnsi="Times New Roman" w:eastAsia="宋体" w:cs="Times New Roman"/>
          <w:sz w:val="18"/>
          <w:szCs w:val="18"/>
        </w:rPr>
        <w:t>格局，即生物材料、药业、细胞三大业务板块和一个科技孵化平台。</w:t>
      </w:r>
    </w:p>
    <w:p w14:paraId="5D4F94F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报告期内，公司自有主要产品及其用途如下：</w:t>
      </w:r>
    </w:p>
    <w:tbl>
      <w:tblPr>
        <w:tblStyle w:val="7"/>
        <w:tblW w:w="61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175"/>
        <w:gridCol w:w="1907"/>
        <w:gridCol w:w="5127"/>
      </w:tblGrid>
      <w:tr w14:paraId="520AC6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jc w:val="center"/>
        </w:trPr>
        <w:tc>
          <w:tcPr>
            <w:tcW w:w="2175" w:type="dxa"/>
            <w:tcBorders>
              <w:top w:val="single" w:color="auto" w:sz="8" w:space="0"/>
              <w:left w:val="single" w:color="auto" w:sz="8" w:space="0"/>
              <w:bottom w:val="single" w:color="auto" w:sz="8" w:space="0"/>
              <w:right w:val="single" w:color="auto" w:sz="8" w:space="0"/>
            </w:tcBorders>
            <w:shd w:val="clear" w:color="auto" w:fill="BFBFBF"/>
            <w:noWrap/>
            <w:tcMar>
              <w:top w:w="10" w:type="dxa"/>
              <w:left w:w="10" w:type="dxa"/>
              <w:right w:w="10" w:type="dxa"/>
            </w:tcMar>
            <w:vAlign w:val="center"/>
          </w:tcPr>
          <w:p w14:paraId="7EB21E5B">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Style w:val="9"/>
                <w:rFonts w:hint="default" w:ascii="Times New Roman" w:hAnsi="Times New Roman" w:eastAsia="宋体" w:cs="Times New Roman"/>
                <w:color w:val="000000"/>
                <w:sz w:val="18"/>
                <w:szCs w:val="18"/>
              </w:rPr>
              <w:t>产品名称</w:t>
            </w:r>
          </w:p>
        </w:tc>
        <w:tc>
          <w:tcPr>
            <w:tcW w:w="1907" w:type="dxa"/>
            <w:tcBorders>
              <w:top w:val="single" w:color="auto" w:sz="8" w:space="0"/>
              <w:left w:val="nil"/>
              <w:bottom w:val="single" w:color="auto" w:sz="8" w:space="0"/>
              <w:right w:val="single" w:color="auto" w:sz="8" w:space="0"/>
            </w:tcBorders>
            <w:shd w:val="clear" w:color="auto" w:fill="BFBFBF"/>
            <w:noWrap/>
            <w:tcMar>
              <w:top w:w="10" w:type="dxa"/>
              <w:left w:w="10" w:type="dxa"/>
              <w:right w:w="10" w:type="dxa"/>
            </w:tcMar>
            <w:vAlign w:val="center"/>
          </w:tcPr>
          <w:p w14:paraId="702D8970">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Style w:val="9"/>
                <w:rFonts w:hint="default" w:ascii="Times New Roman" w:hAnsi="Times New Roman" w:eastAsia="宋体" w:cs="Times New Roman"/>
                <w:color w:val="000000"/>
                <w:sz w:val="18"/>
                <w:szCs w:val="18"/>
              </w:rPr>
              <w:t>产品分类</w:t>
            </w:r>
          </w:p>
        </w:tc>
        <w:tc>
          <w:tcPr>
            <w:tcW w:w="5127" w:type="dxa"/>
            <w:tcBorders>
              <w:top w:val="single" w:color="auto" w:sz="8" w:space="0"/>
              <w:left w:val="nil"/>
              <w:bottom w:val="single" w:color="auto" w:sz="8" w:space="0"/>
              <w:right w:val="single" w:color="auto" w:sz="8" w:space="0"/>
            </w:tcBorders>
            <w:shd w:val="clear" w:color="auto" w:fill="BFBFBF"/>
            <w:noWrap/>
            <w:tcMar>
              <w:top w:w="10" w:type="dxa"/>
              <w:left w:w="10" w:type="dxa"/>
              <w:right w:w="10" w:type="dxa"/>
            </w:tcMar>
            <w:vAlign w:val="center"/>
          </w:tcPr>
          <w:p w14:paraId="3B00F296">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Style w:val="9"/>
                <w:rFonts w:hint="default" w:ascii="Times New Roman" w:hAnsi="Times New Roman" w:eastAsia="宋体" w:cs="Times New Roman"/>
                <w:color w:val="000000"/>
                <w:sz w:val="18"/>
                <w:szCs w:val="18"/>
              </w:rPr>
              <w:t>适用范围</w:t>
            </w:r>
          </w:p>
        </w:tc>
      </w:tr>
      <w:tr w14:paraId="435942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2175" w:type="dxa"/>
            <w:tcBorders>
              <w:top w:val="nil"/>
              <w:left w:val="single" w:color="auto" w:sz="8" w:space="0"/>
              <w:bottom w:val="single" w:color="auto" w:sz="8" w:space="0"/>
              <w:right w:val="single" w:color="auto" w:sz="8" w:space="0"/>
            </w:tcBorders>
            <w:shd w:val="clear" w:color="auto" w:fill="BFBFBF"/>
            <w:noWrap/>
            <w:tcMar>
              <w:top w:w="10" w:type="dxa"/>
              <w:left w:w="10" w:type="dxa"/>
              <w:right w:w="10" w:type="dxa"/>
            </w:tcMar>
            <w:vAlign w:val="center"/>
          </w:tcPr>
          <w:p w14:paraId="0B21B1F3">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生物型硬脑（脊）膜补片</w:t>
            </w:r>
          </w:p>
        </w:tc>
        <w:tc>
          <w:tcPr>
            <w:tcW w:w="1907" w:type="dxa"/>
            <w:tcBorders>
              <w:top w:val="nil"/>
              <w:left w:val="nil"/>
              <w:bottom w:val="single" w:color="auto" w:sz="8" w:space="0"/>
              <w:right w:val="single" w:color="auto" w:sz="8" w:space="0"/>
            </w:tcBorders>
            <w:shd w:val="clear" w:color="auto" w:fill="auto"/>
            <w:noWrap/>
            <w:tcMar>
              <w:top w:w="10" w:type="dxa"/>
              <w:left w:w="10" w:type="dxa"/>
              <w:right w:w="10" w:type="dxa"/>
            </w:tcMar>
            <w:vAlign w:val="center"/>
          </w:tcPr>
          <w:p w14:paraId="59414EB1">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第三类植入性医疗器械</w:t>
            </w:r>
          </w:p>
        </w:tc>
        <w:tc>
          <w:tcPr>
            <w:tcW w:w="512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14:paraId="3D6DF7EB">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1.颅脑、脊柱损伤后，硬脑（脊）膜的修补；</w:t>
            </w:r>
          </w:p>
          <w:p w14:paraId="60229A4A">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2.脑、脊柱肿瘤术后，硬脑（脊）膜的修补；</w:t>
            </w:r>
          </w:p>
          <w:p w14:paraId="4B7D5D2B">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3.脑出血术后，硬脑（脊）膜的修补；</w:t>
            </w:r>
          </w:p>
          <w:p w14:paraId="2A2F5524">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4.颅内高压减压，椎管内减压，硬脑（脊）膜的修补；</w:t>
            </w:r>
          </w:p>
          <w:p w14:paraId="332D547C">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5.硬膜下血肿，硬脑（脊）膜的修补；</w:t>
            </w:r>
          </w:p>
          <w:p w14:paraId="5702A2C1">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6.其它有需硬脑膜替代或加强的病症，硬脑（脊）膜的修补。</w:t>
            </w:r>
          </w:p>
        </w:tc>
      </w:tr>
      <w:tr w14:paraId="25F7F5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175" w:type="dxa"/>
            <w:tcBorders>
              <w:top w:val="nil"/>
              <w:left w:val="single" w:color="auto" w:sz="8" w:space="0"/>
              <w:bottom w:val="single" w:color="auto" w:sz="8" w:space="0"/>
              <w:right w:val="single" w:color="auto" w:sz="8" w:space="0"/>
            </w:tcBorders>
            <w:shd w:val="clear" w:color="auto" w:fill="BFBFBF"/>
            <w:noWrap/>
            <w:tcMar>
              <w:top w:w="10" w:type="dxa"/>
              <w:left w:w="10" w:type="dxa"/>
              <w:right w:w="10" w:type="dxa"/>
            </w:tcMar>
            <w:vAlign w:val="center"/>
          </w:tcPr>
          <w:p w14:paraId="4F7EBA3D">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B型硬脑（脊）膜补片</w:t>
            </w:r>
          </w:p>
        </w:tc>
        <w:tc>
          <w:tcPr>
            <w:tcW w:w="1907" w:type="dxa"/>
            <w:tcBorders>
              <w:top w:val="nil"/>
              <w:left w:val="nil"/>
              <w:bottom w:val="single" w:color="auto" w:sz="8" w:space="0"/>
              <w:right w:val="single" w:color="auto" w:sz="8" w:space="0"/>
            </w:tcBorders>
            <w:shd w:val="clear" w:color="auto" w:fill="auto"/>
            <w:noWrap/>
            <w:tcMar>
              <w:top w:w="10" w:type="dxa"/>
              <w:left w:w="10" w:type="dxa"/>
              <w:right w:w="10" w:type="dxa"/>
            </w:tcMar>
            <w:vAlign w:val="center"/>
          </w:tcPr>
          <w:p w14:paraId="4C5671CB">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第三类植入性医疗器械</w:t>
            </w:r>
          </w:p>
        </w:tc>
        <w:tc>
          <w:tcPr>
            <w:tcW w:w="512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14:paraId="0A96E5F0">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1.颅脑、脊柱损伤后，硬脑（脊）膜的修补；</w:t>
            </w:r>
          </w:p>
          <w:p w14:paraId="5FBFF5F3">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2.脑、脊柱肿瘤术后，硬脑（脊）膜的修补；</w:t>
            </w:r>
          </w:p>
          <w:p w14:paraId="7C147348">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3.脑出血术后，硬脑（脊）膜的修补；</w:t>
            </w:r>
          </w:p>
          <w:p w14:paraId="17E713ED">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4.颅内高压减压，椎管内减压，硬脑（脊）膜的修补；</w:t>
            </w:r>
          </w:p>
          <w:p w14:paraId="24FB5929">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5.硬膜下血肿，硬脑（脊）膜的修补；</w:t>
            </w:r>
          </w:p>
          <w:p w14:paraId="07A48F23">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6.其它有需硬脑膜替代或加强的病症，硬脑（脊）膜的修补。</w:t>
            </w:r>
          </w:p>
        </w:tc>
      </w:tr>
      <w:tr w14:paraId="062319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175" w:type="dxa"/>
            <w:tcBorders>
              <w:top w:val="nil"/>
              <w:left w:val="single" w:color="auto" w:sz="8" w:space="0"/>
              <w:bottom w:val="single" w:color="auto" w:sz="8" w:space="0"/>
              <w:right w:val="single" w:color="auto" w:sz="8" w:space="0"/>
            </w:tcBorders>
            <w:shd w:val="clear" w:color="auto" w:fill="BFBFBF"/>
            <w:noWrap/>
            <w:tcMar>
              <w:top w:w="10" w:type="dxa"/>
              <w:left w:w="10" w:type="dxa"/>
              <w:right w:w="10" w:type="dxa"/>
            </w:tcMar>
            <w:vAlign w:val="center"/>
          </w:tcPr>
          <w:p w14:paraId="37FE4CB9">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无菌生物护创膜</w:t>
            </w:r>
          </w:p>
        </w:tc>
        <w:tc>
          <w:tcPr>
            <w:tcW w:w="1907" w:type="dxa"/>
            <w:tcBorders>
              <w:top w:val="nil"/>
              <w:left w:val="nil"/>
              <w:bottom w:val="single" w:color="auto" w:sz="8" w:space="0"/>
              <w:right w:val="single" w:color="auto" w:sz="8" w:space="0"/>
            </w:tcBorders>
            <w:shd w:val="clear" w:color="auto" w:fill="auto"/>
            <w:noWrap/>
            <w:tcMar>
              <w:top w:w="10" w:type="dxa"/>
              <w:left w:w="10" w:type="dxa"/>
              <w:right w:w="10" w:type="dxa"/>
            </w:tcMar>
            <w:vAlign w:val="center"/>
          </w:tcPr>
          <w:p w14:paraId="465E4D66">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第三类植入性医疗器械</w:t>
            </w:r>
          </w:p>
        </w:tc>
        <w:tc>
          <w:tcPr>
            <w:tcW w:w="512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14:paraId="6243C38E">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用于皮肤Ⅰ、Ⅱ度烧伤、烫伤及创伤、皮肤缺损所致深浅创面治疗。</w:t>
            </w:r>
          </w:p>
        </w:tc>
      </w:tr>
      <w:tr w14:paraId="027810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175" w:type="dxa"/>
            <w:tcBorders>
              <w:top w:val="nil"/>
              <w:left w:val="single" w:color="auto" w:sz="8" w:space="0"/>
              <w:bottom w:val="single" w:color="auto" w:sz="8" w:space="0"/>
              <w:right w:val="single" w:color="auto" w:sz="8" w:space="0"/>
            </w:tcBorders>
            <w:shd w:val="clear" w:color="auto" w:fill="BFBFBF"/>
            <w:noWrap/>
            <w:tcMar>
              <w:top w:w="10" w:type="dxa"/>
              <w:left w:w="10" w:type="dxa"/>
              <w:right w:w="10" w:type="dxa"/>
            </w:tcMar>
            <w:vAlign w:val="center"/>
          </w:tcPr>
          <w:p w14:paraId="710C90AC">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艾瑞欧</w:t>
            </w:r>
            <w:r>
              <w:rPr>
                <w:rFonts w:hint="default" w:ascii="Times New Roman" w:hAnsi="Times New Roman" w:eastAsia="宋体" w:cs="Times New Roman"/>
                <w:color w:val="000000"/>
                <w:sz w:val="18"/>
                <w:szCs w:val="18"/>
                <w:vertAlign w:val="superscript"/>
              </w:rPr>
              <w:t>TM</w:t>
            </w:r>
            <w:r>
              <w:rPr>
                <w:rFonts w:hint="default" w:ascii="Times New Roman" w:hAnsi="Times New Roman" w:eastAsia="宋体" w:cs="Times New Roman"/>
                <w:color w:val="000000"/>
                <w:sz w:val="18"/>
                <w:szCs w:val="18"/>
              </w:rPr>
              <w:t>乳房补片</w:t>
            </w:r>
          </w:p>
        </w:tc>
        <w:tc>
          <w:tcPr>
            <w:tcW w:w="1907" w:type="dxa"/>
            <w:tcBorders>
              <w:top w:val="nil"/>
              <w:left w:val="nil"/>
              <w:bottom w:val="single" w:color="auto" w:sz="8" w:space="0"/>
              <w:right w:val="single" w:color="auto" w:sz="8" w:space="0"/>
            </w:tcBorders>
            <w:shd w:val="clear" w:color="auto" w:fill="auto"/>
            <w:noWrap/>
            <w:tcMar>
              <w:top w:w="10" w:type="dxa"/>
              <w:left w:w="10" w:type="dxa"/>
              <w:right w:w="10" w:type="dxa"/>
            </w:tcMar>
            <w:vAlign w:val="center"/>
          </w:tcPr>
          <w:p w14:paraId="0645E302">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第三类植入性医疗器械</w:t>
            </w:r>
          </w:p>
        </w:tc>
        <w:tc>
          <w:tcPr>
            <w:tcW w:w="512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14:paraId="28911241">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1.胸部软组织修补、固定、牵引；</w:t>
            </w:r>
          </w:p>
          <w:p w14:paraId="13E7ED17">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2.乳房植入体的包被、固定。</w:t>
            </w:r>
          </w:p>
        </w:tc>
      </w:tr>
      <w:tr w14:paraId="2EB1F4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175" w:type="dxa"/>
            <w:tcBorders>
              <w:top w:val="nil"/>
              <w:left w:val="single" w:color="auto" w:sz="8" w:space="0"/>
              <w:bottom w:val="single" w:color="auto" w:sz="8" w:space="0"/>
              <w:right w:val="single" w:color="auto" w:sz="8" w:space="0"/>
            </w:tcBorders>
            <w:shd w:val="clear" w:color="auto" w:fill="BFBFBF"/>
            <w:noWrap/>
            <w:tcMar>
              <w:top w:w="10" w:type="dxa"/>
              <w:left w:w="10" w:type="dxa"/>
              <w:right w:w="10" w:type="dxa"/>
            </w:tcMar>
            <w:vAlign w:val="center"/>
          </w:tcPr>
          <w:p w14:paraId="20DC1C21">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胸普外科修补膜片</w:t>
            </w:r>
          </w:p>
        </w:tc>
        <w:tc>
          <w:tcPr>
            <w:tcW w:w="1907" w:type="dxa"/>
            <w:tcBorders>
              <w:top w:val="nil"/>
              <w:left w:val="nil"/>
              <w:bottom w:val="single" w:color="auto" w:sz="8" w:space="0"/>
              <w:right w:val="single" w:color="auto" w:sz="8" w:space="0"/>
            </w:tcBorders>
            <w:shd w:val="clear" w:color="auto" w:fill="auto"/>
            <w:noWrap/>
            <w:tcMar>
              <w:top w:w="10" w:type="dxa"/>
              <w:left w:w="10" w:type="dxa"/>
              <w:right w:w="10" w:type="dxa"/>
            </w:tcMar>
            <w:vAlign w:val="center"/>
          </w:tcPr>
          <w:p w14:paraId="11AC309F">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第三类植入性医疗器械</w:t>
            </w:r>
          </w:p>
        </w:tc>
        <w:tc>
          <w:tcPr>
            <w:tcW w:w="512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14:paraId="4E17DE3E">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1.胸外科手术有关组织的修补与重建；</w:t>
            </w:r>
          </w:p>
          <w:p w14:paraId="4C3EC183">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2.普外手术中有关组织的修补与重建；</w:t>
            </w:r>
          </w:p>
          <w:p w14:paraId="6B7CCEF0">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3.组织的固定、包埋、治瘘、防疝及缺损组织的修补。</w:t>
            </w:r>
          </w:p>
        </w:tc>
      </w:tr>
      <w:tr w14:paraId="7F4462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175" w:type="dxa"/>
            <w:tcBorders>
              <w:top w:val="nil"/>
              <w:left w:val="single" w:color="auto" w:sz="8" w:space="0"/>
              <w:bottom w:val="single" w:color="auto" w:sz="8" w:space="0"/>
              <w:right w:val="single" w:color="auto" w:sz="8" w:space="0"/>
            </w:tcBorders>
            <w:shd w:val="clear" w:color="auto" w:fill="BFBFBF"/>
            <w:noWrap/>
            <w:tcMar>
              <w:top w:w="10" w:type="dxa"/>
              <w:left w:w="10" w:type="dxa"/>
              <w:right w:w="10" w:type="dxa"/>
            </w:tcMar>
            <w:vAlign w:val="center"/>
          </w:tcPr>
          <w:p w14:paraId="19100CFC">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安润®可降解泪小管栓</w:t>
            </w:r>
          </w:p>
        </w:tc>
        <w:tc>
          <w:tcPr>
            <w:tcW w:w="1907" w:type="dxa"/>
            <w:tcBorders>
              <w:top w:val="nil"/>
              <w:left w:val="nil"/>
              <w:bottom w:val="single" w:color="auto" w:sz="8" w:space="0"/>
              <w:right w:val="single" w:color="auto" w:sz="8" w:space="0"/>
            </w:tcBorders>
            <w:shd w:val="clear" w:color="auto" w:fill="auto"/>
            <w:noWrap/>
            <w:tcMar>
              <w:top w:w="10" w:type="dxa"/>
              <w:left w:w="10" w:type="dxa"/>
              <w:right w:w="10" w:type="dxa"/>
            </w:tcMar>
            <w:vAlign w:val="center"/>
          </w:tcPr>
          <w:p w14:paraId="7DF667F7">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第三类植入性医疗器械</w:t>
            </w:r>
          </w:p>
        </w:tc>
        <w:tc>
          <w:tcPr>
            <w:tcW w:w="512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14:paraId="13801D78">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主要用于对泪小管的临时性封闭。</w:t>
            </w:r>
          </w:p>
        </w:tc>
      </w:tr>
      <w:tr w14:paraId="62C371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175" w:type="dxa"/>
            <w:tcBorders>
              <w:top w:val="nil"/>
              <w:left w:val="single" w:color="auto" w:sz="8" w:space="0"/>
              <w:bottom w:val="single" w:color="auto" w:sz="8" w:space="0"/>
              <w:right w:val="single" w:color="auto" w:sz="8" w:space="0"/>
            </w:tcBorders>
            <w:shd w:val="clear" w:color="auto" w:fill="BFBFBF"/>
            <w:noWrap/>
            <w:tcMar>
              <w:top w:w="10" w:type="dxa"/>
              <w:left w:w="10" w:type="dxa"/>
              <w:right w:w="10" w:type="dxa"/>
            </w:tcMar>
            <w:vAlign w:val="center"/>
          </w:tcPr>
          <w:p w14:paraId="30B6736C">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欣比克®本维莫德乳膏</w:t>
            </w:r>
          </w:p>
        </w:tc>
        <w:tc>
          <w:tcPr>
            <w:tcW w:w="1907" w:type="dxa"/>
            <w:tcBorders>
              <w:top w:val="nil"/>
              <w:left w:val="nil"/>
              <w:bottom w:val="single" w:color="auto" w:sz="8" w:space="0"/>
              <w:right w:val="single" w:color="auto" w:sz="8" w:space="0"/>
            </w:tcBorders>
            <w:shd w:val="clear" w:color="auto" w:fill="auto"/>
            <w:noWrap/>
            <w:tcMar>
              <w:top w:w="10" w:type="dxa"/>
              <w:left w:w="10" w:type="dxa"/>
              <w:right w:w="10" w:type="dxa"/>
            </w:tcMar>
            <w:vAlign w:val="center"/>
          </w:tcPr>
          <w:p w14:paraId="18E5A611">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化学药品第1类</w:t>
            </w:r>
          </w:p>
        </w:tc>
        <w:tc>
          <w:tcPr>
            <w:tcW w:w="512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14:paraId="3D7A3DEA">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轻、中度银屑病。</w:t>
            </w:r>
          </w:p>
        </w:tc>
      </w:tr>
      <w:tr w14:paraId="768885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175" w:type="dxa"/>
            <w:tcBorders>
              <w:top w:val="nil"/>
              <w:left w:val="single" w:color="auto" w:sz="8" w:space="0"/>
              <w:bottom w:val="single" w:color="auto" w:sz="8" w:space="0"/>
              <w:right w:val="single" w:color="auto" w:sz="8" w:space="0"/>
            </w:tcBorders>
            <w:shd w:val="clear" w:color="auto" w:fill="BFBFBF"/>
            <w:noWrap/>
            <w:tcMar>
              <w:top w:w="10" w:type="dxa"/>
              <w:left w:w="10" w:type="dxa"/>
              <w:right w:w="10" w:type="dxa"/>
            </w:tcMar>
            <w:vAlign w:val="center"/>
          </w:tcPr>
          <w:p w14:paraId="0F4CDA23">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细胞技术服务</w:t>
            </w:r>
          </w:p>
        </w:tc>
        <w:tc>
          <w:tcPr>
            <w:tcW w:w="1907" w:type="dxa"/>
            <w:tcBorders>
              <w:top w:val="nil"/>
              <w:left w:val="nil"/>
              <w:bottom w:val="single" w:color="auto" w:sz="8" w:space="0"/>
              <w:right w:val="single" w:color="auto" w:sz="8" w:space="0"/>
            </w:tcBorders>
            <w:shd w:val="clear" w:color="auto" w:fill="auto"/>
            <w:noWrap/>
            <w:tcMar>
              <w:top w:w="10" w:type="dxa"/>
              <w:left w:w="10" w:type="dxa"/>
              <w:right w:w="10" w:type="dxa"/>
            </w:tcMar>
            <w:vAlign w:val="center"/>
          </w:tcPr>
          <w:p w14:paraId="3F6F93D4">
            <w:pPr>
              <w:pStyle w:val="6"/>
              <w:keepNext w:val="0"/>
              <w:keepLines w:val="0"/>
              <w:widowControl/>
              <w:suppressLineNumbers w:val="0"/>
              <w:ind w:left="0" w:right="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技术服务</w:t>
            </w:r>
          </w:p>
        </w:tc>
        <w:tc>
          <w:tcPr>
            <w:tcW w:w="512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14:paraId="3AC2CE4C">
            <w:pPr>
              <w:pStyle w:val="6"/>
              <w:keepNext w:val="0"/>
              <w:keepLines w:val="0"/>
              <w:widowControl/>
              <w:suppressLineNumbers w:val="0"/>
              <w:spacing w:before="0" w:beforeAutospacing="0" w:after="0" w:afterAutospacing="0"/>
              <w:ind w:left="220" w:right="0"/>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公司形成了集细胞技术研发、区域细胞制备、生物资源样本与信息库和细胞运营体验中心的</w:t>
            </w:r>
            <w:r>
              <w:rPr>
                <w:rFonts w:hint="eastAsia" w:cs="Times New Roman"/>
                <w:color w:val="000000"/>
                <w:sz w:val="18"/>
                <w:szCs w:val="18"/>
                <w:lang w:eastAsia="zh-CN"/>
              </w:rPr>
              <w:t>“</w:t>
            </w:r>
            <w:r>
              <w:rPr>
                <w:rFonts w:hint="default" w:ascii="Times New Roman" w:hAnsi="Times New Roman" w:eastAsia="宋体" w:cs="Times New Roman"/>
                <w:color w:val="000000"/>
                <w:sz w:val="18"/>
                <w:szCs w:val="18"/>
              </w:rPr>
              <w:t>四位一体</w:t>
            </w:r>
            <w:r>
              <w:rPr>
                <w:rFonts w:hint="eastAsia" w:cs="Times New Roman"/>
                <w:color w:val="000000"/>
                <w:sz w:val="18"/>
                <w:szCs w:val="18"/>
                <w:lang w:eastAsia="zh-CN"/>
              </w:rPr>
              <w:t>”</w:t>
            </w:r>
            <w:r>
              <w:rPr>
                <w:rFonts w:hint="default" w:ascii="Times New Roman" w:hAnsi="Times New Roman" w:eastAsia="宋体" w:cs="Times New Roman"/>
                <w:color w:val="000000"/>
                <w:sz w:val="18"/>
                <w:szCs w:val="18"/>
              </w:rPr>
              <w:t>产业模式，专业提供细胞储存、科研合作及相关技术服务。</w:t>
            </w:r>
          </w:p>
        </w:tc>
      </w:tr>
    </w:tbl>
    <w:p w14:paraId="701B36A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在生物材料领域，公司自主研发的一系列再生医学材料，是指一类以动物组织为原料，经系列创新技术处理后，具有良好的组织相容性，植入后不引起排斥反应，并能诱导机体组织生长的一类生物医学材料。公司的</w:t>
      </w:r>
      <w:r>
        <w:rPr>
          <w:rFonts w:hint="eastAsia" w:cs="Times New Roman"/>
          <w:sz w:val="18"/>
          <w:szCs w:val="18"/>
          <w:lang w:eastAsia="zh-CN"/>
        </w:rPr>
        <w:t>“</w:t>
      </w:r>
      <w:r>
        <w:rPr>
          <w:rFonts w:hint="default" w:ascii="Times New Roman" w:hAnsi="Times New Roman" w:eastAsia="宋体" w:cs="Times New Roman"/>
          <w:sz w:val="18"/>
          <w:szCs w:val="18"/>
        </w:rPr>
        <w:t>再生型生物膜高技术产业化</w:t>
      </w:r>
      <w:r>
        <w:rPr>
          <w:rFonts w:hint="eastAsia" w:cs="Times New Roman"/>
          <w:sz w:val="18"/>
          <w:szCs w:val="18"/>
          <w:lang w:eastAsia="zh-CN"/>
        </w:rPr>
        <w:t>”</w:t>
      </w:r>
      <w:r>
        <w:rPr>
          <w:rFonts w:hint="default" w:ascii="Times New Roman" w:hAnsi="Times New Roman" w:eastAsia="宋体" w:cs="Times New Roman"/>
          <w:sz w:val="18"/>
          <w:szCs w:val="18"/>
        </w:rPr>
        <w:t>项目被国家发改委列入国际高技术产业化示范工程。依托强大的研发团队及内外资源整合能力，再生型医用植入器械国家工程实验室与国内外顶尖高校、科研院所及临床机构构建了深度合作网络，聚焦再生医用材料设计开发、再生机理研究、性能评价技术创新、医疗器械转化研究及行业发展趋势分析等关键领域，开展系统性科研工作，形成了从基础研究、技术开发到临床转化的全链条科研布局，持续助力再生医学材料领域的技术突破与产业升级。公司已上市的主要产品有生物型硬脑（脊）膜补片、B型硬脑（脊）膜补片、胸普外科修补膜、无菌生物护创膜、艾瑞欧乳房补片，可广泛应用于神经外科、胸普外科、皮肤科、骨科、整形美容科、眼科等。</w:t>
      </w:r>
    </w:p>
    <w:p w14:paraId="6CE333B0">
      <w:pPr>
        <w:keepNext w:val="0"/>
        <w:keepLines w:val="0"/>
        <w:pageBreakBefore w:val="0"/>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公司需遵守《深圳证券交易所上市公司自律监管指引第4号</w:t>
      </w:r>
      <w:r>
        <w:rPr>
          <w:rFonts w:hint="eastAsia" w:ascii="宋体" w:hAnsi="宋体" w:eastAsia="宋体" w:cs="宋体"/>
          <w:sz w:val="18"/>
          <w:szCs w:val="18"/>
        </w:rPr>
        <w:t>——</w:t>
      </w:r>
      <w:r>
        <w:rPr>
          <w:rFonts w:hint="default" w:ascii="Times New Roman" w:hAnsi="Times New Roman" w:eastAsia="宋体" w:cs="Times New Roman"/>
          <w:sz w:val="18"/>
          <w:szCs w:val="18"/>
        </w:rPr>
        <w:t>创业板行业信息披露》中的</w:t>
      </w:r>
      <w:r>
        <w:rPr>
          <w:rFonts w:hint="eastAsia" w:cs="Times New Roman"/>
          <w:sz w:val="18"/>
          <w:szCs w:val="18"/>
          <w:lang w:eastAsia="zh-CN"/>
        </w:rPr>
        <w:t>“</w:t>
      </w:r>
      <w:r>
        <w:rPr>
          <w:rFonts w:hint="default" w:ascii="Times New Roman" w:hAnsi="Times New Roman" w:eastAsia="宋体" w:cs="Times New Roman"/>
          <w:sz w:val="18"/>
          <w:szCs w:val="18"/>
        </w:rPr>
        <w:t>药品、生物制品业务</w:t>
      </w:r>
      <w:r>
        <w:rPr>
          <w:rFonts w:hint="eastAsia" w:cs="Times New Roman"/>
          <w:sz w:val="18"/>
          <w:szCs w:val="18"/>
          <w:lang w:eastAsia="zh-CN"/>
        </w:rPr>
        <w:t>”</w:t>
      </w:r>
      <w:r>
        <w:rPr>
          <w:rFonts w:hint="default" w:ascii="Times New Roman" w:hAnsi="Times New Roman" w:eastAsia="宋体" w:cs="Times New Roman"/>
          <w:sz w:val="18"/>
          <w:szCs w:val="18"/>
        </w:rPr>
        <w:t>的披露要求</w:t>
      </w:r>
    </w:p>
    <w:p w14:paraId="58E79A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在药业领域，公司药业技术研究成果本维莫德是一种天然微生物代谢产物中分离出来的非激素类小分子化合物，可用于治疗炎症性和自身免疫性疾病，被国家科技部列为</w:t>
      </w:r>
      <w:r>
        <w:rPr>
          <w:rFonts w:hint="eastAsia" w:cs="Times New Roman"/>
          <w:sz w:val="18"/>
          <w:szCs w:val="18"/>
          <w:lang w:eastAsia="zh-CN"/>
        </w:rPr>
        <w:t>“</w:t>
      </w:r>
      <w:r>
        <w:rPr>
          <w:rFonts w:hint="default" w:ascii="Times New Roman" w:hAnsi="Times New Roman" w:eastAsia="宋体" w:cs="Times New Roman"/>
          <w:sz w:val="18"/>
          <w:szCs w:val="18"/>
        </w:rPr>
        <w:t>十二五</w:t>
      </w:r>
      <w:r>
        <w:rPr>
          <w:rFonts w:hint="eastAsia" w:cs="Times New Roman"/>
          <w:sz w:val="18"/>
          <w:szCs w:val="18"/>
          <w:lang w:eastAsia="zh-CN"/>
        </w:rPr>
        <w:t>”</w:t>
      </w:r>
      <w:r>
        <w:rPr>
          <w:rFonts w:hint="default" w:ascii="Times New Roman" w:hAnsi="Times New Roman" w:eastAsia="宋体" w:cs="Times New Roman"/>
          <w:sz w:val="18"/>
          <w:szCs w:val="18"/>
        </w:rPr>
        <w:t>、国家</w:t>
      </w:r>
      <w:r>
        <w:rPr>
          <w:rFonts w:hint="eastAsia" w:cs="Times New Roman"/>
          <w:sz w:val="18"/>
          <w:szCs w:val="18"/>
          <w:lang w:eastAsia="zh-CN"/>
        </w:rPr>
        <w:t>“</w:t>
      </w:r>
      <w:r>
        <w:rPr>
          <w:rFonts w:hint="default" w:ascii="Times New Roman" w:hAnsi="Times New Roman" w:eastAsia="宋体" w:cs="Times New Roman"/>
          <w:sz w:val="18"/>
          <w:szCs w:val="18"/>
        </w:rPr>
        <w:t>重大新药创制</w:t>
      </w:r>
      <w:r>
        <w:rPr>
          <w:rFonts w:hint="eastAsia" w:cs="Times New Roman"/>
          <w:sz w:val="18"/>
          <w:szCs w:val="18"/>
          <w:lang w:eastAsia="zh-CN"/>
        </w:rPr>
        <w:t>”</w:t>
      </w:r>
      <w:r>
        <w:rPr>
          <w:rFonts w:hint="default" w:ascii="Times New Roman" w:hAnsi="Times New Roman" w:eastAsia="宋体" w:cs="Times New Roman"/>
          <w:sz w:val="18"/>
          <w:szCs w:val="18"/>
        </w:rPr>
        <w:t>科技重大专项成果。2019年5月，公司本维莫德乳膏获批新药证书，填补了皮肤科领域近30年来没有外用创新药的空白。本维莫德乳膏（商品名：欣比克）于2020年国家医保谈判中成功入围，2021年3月1日正式进入国家医保谈判目录，2026年1月被纳入常规医保药品目录。除银屑病治疗领域外，本维莫德在特应性皮炎、过敏性鼻炎、溃疡性结肠炎等多个重大疾病领域均具备广阔的应用潜力，目前针对特应性皮炎适应症的III期临床试验正有序推进，针对银屑病扩大人群的IV期临床试验已经完成。</w:t>
      </w:r>
    </w:p>
    <w:p w14:paraId="344E9B0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在细胞领域，公司始终坚持在干细胞治疗和技术前沿领域开拓创新，深入发展干细胞资源库、干细胞药物研发和干细胞临床试验合作研究。公司拥有通过GMP现场认证的细胞生产线，生产的多批干细胞制剂均通过了中国食品药品检定研究院的质量合格认定。目前涉及业务包括自体软骨组织细胞移植技术、免疫细胞储存技术、干细胞储存技术、膝关节及美肤类细胞衍生物产品应用技术等。报告期内，公司启动了已通过备案的干细胞临床研究项目，通过了国家卫健委对临床研究项目的现场审查和第三方机构的质量体系审查；公司在研的生物人工肝项目，目前正推进细胞药物的药学研究和体外支持装置等第三类医疗器械性能研究工作，并积极与相关医院等多方合作申请开展临床前研究；公司积极参与制定了2项干细胞相关团体标准和1项国家标准。</w:t>
      </w:r>
    </w:p>
    <w:p w14:paraId="34B7DB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在科技孵化领域，公司子公司冠昊科技园作为专业的创新创业孵化平台，是国家级科技企业孵化器、广州市中小企业服务站、优秀科技金融工作站、青年众创空间、粤港澳青少年交流活动基地、黄埔区企业家服务中心工作站。公司立足</w:t>
      </w:r>
      <w:r>
        <w:rPr>
          <w:rFonts w:hint="eastAsia" w:cs="Times New Roman"/>
          <w:sz w:val="18"/>
          <w:szCs w:val="18"/>
          <w:lang w:eastAsia="zh-CN"/>
        </w:rPr>
        <w:t>“</w:t>
      </w:r>
      <w:r>
        <w:rPr>
          <w:rFonts w:hint="default" w:ascii="Times New Roman" w:hAnsi="Times New Roman" w:eastAsia="宋体" w:cs="Times New Roman"/>
          <w:sz w:val="18"/>
          <w:szCs w:val="18"/>
        </w:rPr>
        <w:t>众创—孵化—加速—产业园</w:t>
      </w:r>
      <w:r>
        <w:rPr>
          <w:rFonts w:hint="eastAsia" w:cs="Times New Roman"/>
          <w:sz w:val="18"/>
          <w:szCs w:val="18"/>
          <w:lang w:eastAsia="zh-CN"/>
        </w:rPr>
        <w:t>”</w:t>
      </w:r>
      <w:r>
        <w:rPr>
          <w:rFonts w:hint="default" w:ascii="Times New Roman" w:hAnsi="Times New Roman" w:eastAsia="宋体" w:cs="Times New Roman"/>
          <w:sz w:val="18"/>
          <w:szCs w:val="18"/>
        </w:rPr>
        <w:t>全链条服务体系，坚定践行专业化孵化服务模式，以高效链接与精准孵化为核心，推行创业项目整体解决方案及产业化转化一站式打包服务，凭借优质服务荣获广州市工业和信息化局颁发的</w:t>
      </w:r>
      <w:r>
        <w:rPr>
          <w:rFonts w:hint="eastAsia" w:cs="Times New Roman"/>
          <w:sz w:val="18"/>
          <w:szCs w:val="18"/>
          <w:lang w:eastAsia="zh-CN"/>
        </w:rPr>
        <w:t>“</w:t>
      </w:r>
      <w:r>
        <w:rPr>
          <w:rFonts w:hint="default" w:ascii="Times New Roman" w:hAnsi="Times New Roman" w:eastAsia="宋体" w:cs="Times New Roman"/>
          <w:sz w:val="18"/>
          <w:szCs w:val="18"/>
        </w:rPr>
        <w:t>广州市民营和中小企业服务站</w:t>
      </w:r>
      <w:r>
        <w:rPr>
          <w:rFonts w:hint="eastAsia" w:cs="Times New Roman"/>
          <w:sz w:val="18"/>
          <w:szCs w:val="18"/>
          <w:lang w:eastAsia="zh-CN"/>
        </w:rPr>
        <w:t>”</w:t>
      </w:r>
      <w:r>
        <w:rPr>
          <w:rFonts w:hint="default" w:ascii="Times New Roman" w:hAnsi="Times New Roman" w:eastAsia="宋体" w:cs="Times New Roman"/>
          <w:sz w:val="18"/>
          <w:szCs w:val="18"/>
        </w:rPr>
        <w:t>称号。</w:t>
      </w:r>
    </w:p>
    <w:p w14:paraId="27FE2AE0">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27" w:name="_Toc23136"/>
      <w:bookmarkStart w:id="28" w:name="_Toc988903"/>
      <w:r>
        <w:rPr>
          <w:rFonts w:hint="default" w:ascii="Times New Roman" w:hAnsi="Times New Roman" w:eastAsia="宋体" w:cs="Times New Roman"/>
          <w:b/>
          <w:bCs/>
          <w:sz w:val="24"/>
          <w:szCs w:val="24"/>
        </w:rPr>
        <w:t>二、报告期内公司所处行业情况</w:t>
      </w:r>
      <w:bookmarkEnd w:id="27"/>
      <w:bookmarkEnd w:id="28"/>
    </w:p>
    <w:p w14:paraId="04FF7BA3">
      <w:pPr>
        <w:pStyle w:val="6"/>
        <w:keepNext w:val="0"/>
        <w:keepLines w:val="0"/>
        <w:widowControl/>
        <w:suppressLineNumbers w:val="0"/>
        <w:spacing w:before="0" w:beforeAutospacing="0" w:after="0" w:afterAutospacing="0"/>
        <w:ind w:left="0" w:right="0" w:firstLine="361"/>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1、公司所处医疗器械行业发展现状</w:t>
      </w:r>
    </w:p>
    <w:p w14:paraId="2967D7EB">
      <w:pPr>
        <w:pStyle w:val="6"/>
        <w:keepNext w:val="0"/>
        <w:keepLines w:val="0"/>
        <w:widowControl/>
        <w:suppressLineNumbers w:val="0"/>
        <w:spacing w:before="0" w:beforeAutospacing="0" w:after="0" w:afterAutospacing="0"/>
        <w:ind w:left="0" w:right="0" w:firstLine="36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依托</w:t>
      </w:r>
      <w:r>
        <w:rPr>
          <w:rFonts w:hint="eastAsia" w:cs="Times New Roman"/>
          <w:sz w:val="18"/>
          <w:szCs w:val="18"/>
          <w:lang w:eastAsia="zh-CN"/>
        </w:rPr>
        <w:t>“</w:t>
      </w:r>
      <w:r>
        <w:rPr>
          <w:rFonts w:hint="default" w:ascii="Times New Roman" w:hAnsi="Times New Roman" w:eastAsia="宋体" w:cs="Times New Roman"/>
          <w:sz w:val="18"/>
          <w:szCs w:val="18"/>
        </w:rPr>
        <w:t>健康中国2030</w:t>
      </w:r>
      <w:r>
        <w:rPr>
          <w:rFonts w:hint="eastAsia" w:cs="Times New Roman"/>
          <w:sz w:val="18"/>
          <w:szCs w:val="18"/>
          <w:lang w:eastAsia="zh-CN"/>
        </w:rPr>
        <w:t>”</w:t>
      </w:r>
      <w:r>
        <w:rPr>
          <w:rFonts w:hint="default" w:ascii="Times New Roman" w:hAnsi="Times New Roman" w:eastAsia="宋体" w:cs="Times New Roman"/>
          <w:sz w:val="18"/>
          <w:szCs w:val="18"/>
        </w:rPr>
        <w:t>战略和庞大的</w:t>
      </w:r>
      <w:r>
        <w:rPr>
          <w:rFonts w:hint="eastAsia" w:cs="Times New Roman"/>
          <w:sz w:val="18"/>
          <w:szCs w:val="18"/>
          <w:lang w:eastAsia="zh-CN"/>
        </w:rPr>
        <w:t>“</w:t>
      </w:r>
      <w:r>
        <w:rPr>
          <w:rFonts w:hint="default" w:ascii="Times New Roman" w:hAnsi="Times New Roman" w:eastAsia="宋体" w:cs="Times New Roman"/>
          <w:sz w:val="18"/>
          <w:szCs w:val="18"/>
        </w:rPr>
        <w:t>银发经济</w:t>
      </w:r>
      <w:r>
        <w:rPr>
          <w:rFonts w:hint="eastAsia" w:cs="Times New Roman"/>
          <w:sz w:val="18"/>
          <w:szCs w:val="18"/>
          <w:lang w:eastAsia="zh-CN"/>
        </w:rPr>
        <w:t>”</w:t>
      </w:r>
      <w:r>
        <w:rPr>
          <w:rFonts w:hint="default" w:ascii="Times New Roman" w:hAnsi="Times New Roman" w:eastAsia="宋体" w:cs="Times New Roman"/>
          <w:sz w:val="18"/>
          <w:szCs w:val="18"/>
        </w:rPr>
        <w:t>需求，医疗器械行业正处于从成长期向成熟期过渡的关键阶段。根据弗若斯特沙利文数据分析，2020-2025年中国医疗器械总体市场规模已从7,298亿元人民币增至约12,200亿元人民币，预计到2035年将达到18,134亿元人民币。2025年1月，国务院办公厅印发的《关于全面深化药品医疗器械监管改革促进医药产业高质量发展的意见》</w:t>
      </w:r>
      <w:r>
        <w:rPr>
          <w:rFonts w:hint="default" w:ascii="Times New Roman" w:hAnsi="Times New Roman" w:eastAsia="宋体" w:cs="Times New Roman"/>
          <w:color w:val="0C0C0C"/>
          <w:sz w:val="18"/>
          <w:szCs w:val="18"/>
        </w:rPr>
        <w:t>（国办发〔2024</w:t>
      </w:r>
      <w:r>
        <w:rPr>
          <w:rFonts w:hint="default" w:ascii="Times New Roman" w:hAnsi="Times New Roman" w:eastAsia="宋体" w:cs="Times New Roman"/>
          <w:sz w:val="18"/>
          <w:szCs w:val="18"/>
        </w:rPr>
        <w:t>〕53</w:t>
      </w:r>
      <w:r>
        <w:rPr>
          <w:rFonts w:hint="default" w:ascii="Times New Roman" w:hAnsi="Times New Roman" w:eastAsia="宋体" w:cs="Times New Roman"/>
          <w:color w:val="0C0C0C"/>
          <w:sz w:val="18"/>
          <w:szCs w:val="18"/>
        </w:rPr>
        <w:t>号）</w:t>
      </w:r>
      <w:r>
        <w:rPr>
          <w:rFonts w:hint="default" w:ascii="Times New Roman" w:hAnsi="Times New Roman" w:eastAsia="宋体" w:cs="Times New Roman"/>
          <w:sz w:val="18"/>
          <w:szCs w:val="18"/>
        </w:rPr>
        <w:t>，从加大对药品医疗器械研发创新的支持力度、提高药品医疗器械审评审批质效等六方面全面深化药品医疗器械监管改革，促进医药产业高质量发展，推动我国从制药大国向制药强国跨越。2025年3月，《政府工作报告》明确提出优化药品和耗材集采政策、强化质量评估和监管，同月国务院发布《推动大规模设备更新和消费品以旧换新行动方案》，明确到2027年，包括医疗领域在内的多个重点领域设备投资规模较2023年增长25%以上，为医疗器械市场需求释放提供有力支撑。与此同时，集采政策持续深化、规则不断优化，2025年国家组织及地方联盟持续推进医用耗材集中带量采购，覆盖品类进一步拓展，有效减轻群众医疗负担，截至2025年底，集采药品</w:t>
      </w:r>
      <w:r>
        <w:rPr>
          <w:rFonts w:hint="eastAsia" w:cs="Times New Roman"/>
          <w:sz w:val="18"/>
          <w:szCs w:val="18"/>
          <w:lang w:eastAsia="zh-CN"/>
        </w:rPr>
        <w:t>“</w:t>
      </w:r>
      <w:r>
        <w:rPr>
          <w:rFonts w:hint="default" w:ascii="Times New Roman" w:hAnsi="Times New Roman" w:eastAsia="宋体" w:cs="Times New Roman"/>
          <w:sz w:val="18"/>
          <w:szCs w:val="18"/>
        </w:rPr>
        <w:t>三进</w:t>
      </w:r>
      <w:r>
        <w:rPr>
          <w:rFonts w:hint="eastAsia" w:cs="Times New Roman"/>
          <w:sz w:val="18"/>
          <w:szCs w:val="18"/>
          <w:lang w:eastAsia="zh-CN"/>
        </w:rPr>
        <w:t>”</w:t>
      </w:r>
      <w:r>
        <w:rPr>
          <w:rFonts w:hint="default" w:ascii="Times New Roman" w:hAnsi="Times New Roman" w:eastAsia="宋体" w:cs="Times New Roman"/>
          <w:sz w:val="18"/>
          <w:szCs w:val="18"/>
        </w:rPr>
        <w:t>工作已在所有省份全面推开，各地持续拓展参与品种和医药机构范围。国家医保局开展的第十一批药品国采中，集采品种进一步向医疗器械领域延伸，通过</w:t>
      </w:r>
      <w:r>
        <w:rPr>
          <w:rFonts w:hint="eastAsia" w:cs="Times New Roman"/>
          <w:sz w:val="18"/>
          <w:szCs w:val="18"/>
          <w:lang w:eastAsia="zh-CN"/>
        </w:rPr>
        <w:t>“</w:t>
      </w:r>
      <w:r>
        <w:rPr>
          <w:rFonts w:hint="default" w:ascii="Times New Roman" w:hAnsi="Times New Roman" w:eastAsia="宋体" w:cs="Times New Roman"/>
          <w:sz w:val="18"/>
          <w:szCs w:val="18"/>
        </w:rPr>
        <w:t>新药不集采</w:t>
      </w:r>
      <w:r>
        <w:rPr>
          <w:rFonts w:hint="eastAsia" w:cs="Times New Roman"/>
          <w:sz w:val="18"/>
          <w:szCs w:val="18"/>
          <w:lang w:eastAsia="zh-CN"/>
        </w:rPr>
        <w:t>”“</w:t>
      </w:r>
      <w:r>
        <w:rPr>
          <w:rFonts w:hint="default" w:ascii="Times New Roman" w:hAnsi="Times New Roman" w:eastAsia="宋体" w:cs="Times New Roman"/>
          <w:sz w:val="18"/>
          <w:szCs w:val="18"/>
        </w:rPr>
        <w:t>市场规模小的品种不集采</w:t>
      </w:r>
      <w:r>
        <w:rPr>
          <w:rFonts w:hint="eastAsia" w:cs="Times New Roman"/>
          <w:sz w:val="18"/>
          <w:szCs w:val="18"/>
          <w:lang w:eastAsia="zh-CN"/>
        </w:rPr>
        <w:t>”</w:t>
      </w:r>
      <w:r>
        <w:rPr>
          <w:rFonts w:hint="default" w:ascii="Times New Roman" w:hAnsi="Times New Roman" w:eastAsia="宋体" w:cs="Times New Roman"/>
          <w:sz w:val="18"/>
          <w:szCs w:val="18"/>
        </w:rPr>
        <w:t>等机制优化，结合医疗器械唯一标识（UDI）体系全面推进，既为行业创新预留充足空间，又提高企业投标质量门槛，推动行业良性发展。在相关政策的支持下，为医疗器械市场的健康有序发展提供了坚实的法治保障。</w:t>
      </w:r>
    </w:p>
    <w:p w14:paraId="29DCB91D">
      <w:pPr>
        <w:pStyle w:val="6"/>
        <w:keepNext w:val="0"/>
        <w:keepLines w:val="0"/>
        <w:widowControl/>
        <w:suppressLineNumbers w:val="0"/>
        <w:spacing w:before="0" w:beforeAutospacing="0" w:after="0" w:afterAutospacing="0"/>
        <w:ind w:left="0" w:right="0" w:firstLine="361"/>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2、公司所处医药行业发展现状</w:t>
      </w:r>
    </w:p>
    <w:p w14:paraId="082B655F">
      <w:pPr>
        <w:pStyle w:val="6"/>
        <w:keepNext w:val="0"/>
        <w:keepLines w:val="0"/>
        <w:widowControl/>
        <w:suppressLineNumbers w:val="0"/>
        <w:spacing w:before="0" w:beforeAutospacing="0" w:after="0" w:afterAutospacing="0"/>
        <w:ind w:left="0" w:right="0" w:firstLine="36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2025年为</w:t>
      </w:r>
      <w:r>
        <w:rPr>
          <w:rFonts w:hint="eastAsia" w:cs="Times New Roman"/>
          <w:sz w:val="18"/>
          <w:szCs w:val="18"/>
          <w:lang w:eastAsia="zh-CN"/>
        </w:rPr>
        <w:t>“</w:t>
      </w:r>
      <w:r>
        <w:rPr>
          <w:rFonts w:hint="default" w:ascii="Times New Roman" w:hAnsi="Times New Roman" w:eastAsia="宋体" w:cs="Times New Roman"/>
          <w:sz w:val="18"/>
          <w:szCs w:val="18"/>
        </w:rPr>
        <w:t>十四五</w:t>
      </w:r>
      <w:r>
        <w:rPr>
          <w:rFonts w:hint="eastAsia" w:cs="Times New Roman"/>
          <w:sz w:val="18"/>
          <w:szCs w:val="18"/>
          <w:lang w:eastAsia="zh-CN"/>
        </w:rPr>
        <w:t>”</w:t>
      </w:r>
      <w:r>
        <w:rPr>
          <w:rFonts w:hint="default" w:ascii="Times New Roman" w:hAnsi="Times New Roman" w:eastAsia="宋体" w:cs="Times New Roman"/>
          <w:sz w:val="18"/>
          <w:szCs w:val="18"/>
        </w:rPr>
        <w:t>规划收官与</w:t>
      </w:r>
      <w:r>
        <w:rPr>
          <w:rFonts w:hint="eastAsia" w:cs="Times New Roman"/>
          <w:sz w:val="18"/>
          <w:szCs w:val="18"/>
          <w:lang w:eastAsia="zh-CN"/>
        </w:rPr>
        <w:t>“</w:t>
      </w:r>
      <w:r>
        <w:rPr>
          <w:rFonts w:hint="default" w:ascii="Times New Roman" w:hAnsi="Times New Roman" w:eastAsia="宋体" w:cs="Times New Roman"/>
          <w:sz w:val="18"/>
          <w:szCs w:val="18"/>
        </w:rPr>
        <w:t>十五五</w:t>
      </w:r>
      <w:r>
        <w:rPr>
          <w:rFonts w:hint="eastAsia" w:cs="Times New Roman"/>
          <w:sz w:val="18"/>
          <w:szCs w:val="18"/>
          <w:lang w:eastAsia="zh-CN"/>
        </w:rPr>
        <w:t>”</w:t>
      </w:r>
      <w:r>
        <w:rPr>
          <w:rFonts w:hint="default" w:ascii="Times New Roman" w:hAnsi="Times New Roman" w:eastAsia="宋体" w:cs="Times New Roman"/>
          <w:sz w:val="18"/>
          <w:szCs w:val="18"/>
        </w:rPr>
        <w:t>规划谋篇布局的关键节点。2025年5月，第78届世界卫生大会一致通过历史性决议，将皮肤病列为全球公共卫生重点事项，标志着皮肤健康问题受到全球高度重视。当前我国皮肤病疾病谱不断演变，银屑病、特应性皮炎等慢性非感染性皮肤病已成为我国公共卫生与临床诊疗领域重点关注的健康问题。其中银屑病俗称</w:t>
      </w:r>
      <w:r>
        <w:rPr>
          <w:rFonts w:hint="eastAsia" w:cs="Times New Roman"/>
          <w:sz w:val="18"/>
          <w:szCs w:val="18"/>
          <w:lang w:eastAsia="zh-CN"/>
        </w:rPr>
        <w:t>“</w:t>
      </w:r>
      <w:r>
        <w:rPr>
          <w:rFonts w:hint="default" w:ascii="Times New Roman" w:hAnsi="Times New Roman" w:eastAsia="宋体" w:cs="Times New Roman"/>
          <w:sz w:val="18"/>
          <w:szCs w:val="18"/>
        </w:rPr>
        <w:t>牛皮癣</w:t>
      </w:r>
      <w:r>
        <w:rPr>
          <w:rFonts w:hint="eastAsia" w:cs="Times New Roman"/>
          <w:sz w:val="18"/>
          <w:szCs w:val="18"/>
          <w:lang w:eastAsia="zh-CN"/>
        </w:rPr>
        <w:t>”</w:t>
      </w:r>
      <w:r>
        <w:rPr>
          <w:rFonts w:hint="default" w:ascii="Times New Roman" w:hAnsi="Times New Roman" w:eastAsia="宋体" w:cs="Times New Roman"/>
          <w:sz w:val="18"/>
          <w:szCs w:val="18"/>
        </w:rPr>
        <w:t>，是一种由遗传、免疫及感染等多种因素诱发的慢性自身免疫性皮肤疾病，病程长、易复发、难根治，而环境污染加剧，社会节奏加快，长期精神高压叠加熬夜、久坐、缺乏运动等不良生活习惯，进一步引发免疫紊乱，推动银屑病发病率攀升，发病人群也日趋年轻化。据统计，我国有超过800万的银屑病患者和超过8000万的湿疹患者，银屑病的发病率约为0.47%至1.23%，患者整体负担持续加重，临床治疗需求日益迫切。市场规模方面，根据有关数据显示，2025年中国银屑病药物市场规模达352.62亿元，到2032年中国银屑病药物市场规模将增至894亿元，年复合增长率达到59.1%。随着我国医药行业监管不断完善，政策体系持续优化，《支持创新药高质量发展的若干措施》《商业健康保险创新药品目录》等一系列医药产业政策密集出台，从研发支持、医保准入、多元支付、鼓励商业保险覆盖创新药等多个维度强化政策保障，为创新药产业高质量发展保驾护航。</w:t>
      </w:r>
    </w:p>
    <w:p w14:paraId="427BC44E">
      <w:pPr>
        <w:pStyle w:val="6"/>
        <w:keepNext w:val="0"/>
        <w:keepLines w:val="0"/>
        <w:widowControl/>
        <w:suppressLineNumbers w:val="0"/>
        <w:spacing w:before="0" w:beforeAutospacing="0" w:after="0" w:afterAutospacing="0"/>
        <w:ind w:left="0" w:right="0" w:firstLine="361"/>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3、公司所处细胞行业发展现状</w:t>
      </w:r>
    </w:p>
    <w:p w14:paraId="27826371">
      <w:pPr>
        <w:pStyle w:val="6"/>
        <w:keepNext w:val="0"/>
        <w:keepLines w:val="0"/>
        <w:widowControl/>
        <w:suppressLineNumbers w:val="0"/>
        <w:spacing w:before="0" w:beforeAutospacing="0" w:after="0" w:afterAutospacing="0"/>
        <w:ind w:left="0" w:right="0" w:firstLine="36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随着我国老龄化社会现象逐渐凸显，加之人口基数较大，罹患各种疾病的人数不断增多，尤其是以慢性病和肿瘤等疾病为主的人数不断增加。干细胞技术在心血管、神经退行性疾病、骨关节修复等方面的潜力，使其从探索性研究加速走向临床解决方案。2025年1月13日，国家药监局正式发布《细胞治疗产品生产检查指南》，对细胞治疗产品的生产环节、质量管理和数据可追溯性提出了严格要求，开启细胞规范化时代。同年4月1日，国家卫生健康委将</w:t>
      </w:r>
      <w:r>
        <w:rPr>
          <w:rFonts w:hint="eastAsia" w:cs="Times New Roman"/>
          <w:sz w:val="18"/>
          <w:szCs w:val="18"/>
          <w:lang w:eastAsia="zh-CN"/>
        </w:rPr>
        <w:t>“</w:t>
      </w:r>
      <w:r>
        <w:rPr>
          <w:rFonts w:hint="default" w:ascii="Times New Roman" w:hAnsi="Times New Roman" w:eastAsia="宋体" w:cs="Times New Roman"/>
          <w:sz w:val="18"/>
          <w:szCs w:val="18"/>
        </w:rPr>
        <w:t>干细胞研究与器官修复</w:t>
      </w:r>
      <w:r>
        <w:rPr>
          <w:rFonts w:hint="eastAsia" w:cs="Times New Roman"/>
          <w:sz w:val="18"/>
          <w:szCs w:val="18"/>
          <w:lang w:eastAsia="zh-CN"/>
        </w:rPr>
        <w:t>”</w:t>
      </w:r>
      <w:r>
        <w:rPr>
          <w:rFonts w:hint="default" w:ascii="Times New Roman" w:hAnsi="Times New Roman" w:eastAsia="宋体" w:cs="Times New Roman"/>
          <w:sz w:val="18"/>
          <w:szCs w:val="18"/>
        </w:rPr>
        <w:t>首次正式纳入国家重点研发计划重点专项，一体推进相关领域基础理论、前沿技术与临床转化研究。6月10日，国家药监局药品审评中心首次明确将细胞治疗药品与基因治疗药品等前沿疗法统一纳入</w:t>
      </w:r>
      <w:r>
        <w:rPr>
          <w:rFonts w:hint="eastAsia" w:cs="Times New Roman"/>
          <w:sz w:val="18"/>
          <w:szCs w:val="18"/>
          <w:lang w:eastAsia="zh-CN"/>
        </w:rPr>
        <w:t>“</w:t>
      </w:r>
      <w:r>
        <w:rPr>
          <w:rFonts w:hint="default" w:ascii="Times New Roman" w:hAnsi="Times New Roman" w:eastAsia="宋体" w:cs="Times New Roman"/>
          <w:sz w:val="18"/>
          <w:szCs w:val="18"/>
        </w:rPr>
        <w:t>先进治疗药品</w:t>
      </w:r>
      <w:r>
        <w:rPr>
          <w:rFonts w:hint="eastAsia" w:cs="Times New Roman"/>
          <w:sz w:val="18"/>
          <w:szCs w:val="18"/>
          <w:lang w:eastAsia="zh-CN"/>
        </w:rPr>
        <w:t>”</w:t>
      </w:r>
      <w:r>
        <w:rPr>
          <w:rFonts w:hint="default" w:ascii="Times New Roman" w:hAnsi="Times New Roman" w:eastAsia="宋体" w:cs="Times New Roman"/>
          <w:sz w:val="18"/>
          <w:szCs w:val="18"/>
        </w:rPr>
        <w:t>范畴，为干细胞药物监管提供了清晰框架。6月30日，国家医保局联合国家卫生健康委发布《支持创新药高质量发展的若干措施》，将干细胞疗法正式纳入创新药医保通道，标志着干细胞产业进入监管明确、支付明朗的新时代。9月28日，国务院总理李强签署《中华人民共和国国务院令（第818号）》，公布《生物医学新技术临床研究和临床转化应用管理条例》，首次系统规范细胞治疗等生物医学新技术从临床研究到转化应用的全流程管理，建立</w:t>
      </w:r>
      <w:r>
        <w:rPr>
          <w:rFonts w:hint="eastAsia" w:cs="Times New Roman"/>
          <w:sz w:val="18"/>
          <w:szCs w:val="18"/>
          <w:lang w:eastAsia="zh-CN"/>
        </w:rPr>
        <w:t>“</w:t>
      </w:r>
      <w:r>
        <w:rPr>
          <w:rFonts w:hint="default" w:ascii="Times New Roman" w:hAnsi="Times New Roman" w:eastAsia="宋体" w:cs="Times New Roman"/>
          <w:sz w:val="18"/>
          <w:szCs w:val="18"/>
        </w:rPr>
        <w:t>临床研究备案+临床转化审批</w:t>
      </w:r>
      <w:r>
        <w:rPr>
          <w:rFonts w:hint="eastAsia" w:cs="Times New Roman"/>
          <w:sz w:val="18"/>
          <w:szCs w:val="18"/>
          <w:lang w:eastAsia="zh-CN"/>
        </w:rPr>
        <w:t>”</w:t>
      </w:r>
      <w:r>
        <w:rPr>
          <w:rFonts w:hint="default" w:ascii="Times New Roman" w:hAnsi="Times New Roman" w:eastAsia="宋体" w:cs="Times New Roman"/>
          <w:sz w:val="18"/>
          <w:szCs w:val="18"/>
        </w:rPr>
        <w:t>双轨制，标志着我国在生物医学新技术临床研究和临床转化应用的创新发展从粗放走向精细，风险防控从</w:t>
      </w:r>
      <w:r>
        <w:rPr>
          <w:rFonts w:hint="eastAsia" w:cs="Times New Roman"/>
          <w:sz w:val="18"/>
          <w:szCs w:val="18"/>
          <w:lang w:eastAsia="zh-CN"/>
        </w:rPr>
        <w:t>“</w:t>
      </w:r>
      <w:r>
        <w:rPr>
          <w:rFonts w:hint="default" w:ascii="Times New Roman" w:hAnsi="Times New Roman" w:eastAsia="宋体" w:cs="Times New Roman"/>
          <w:sz w:val="18"/>
          <w:szCs w:val="18"/>
        </w:rPr>
        <w:t>被动</w:t>
      </w:r>
      <w:r>
        <w:rPr>
          <w:rFonts w:hint="eastAsia" w:cs="Times New Roman"/>
          <w:sz w:val="18"/>
          <w:szCs w:val="18"/>
          <w:lang w:eastAsia="zh-CN"/>
        </w:rPr>
        <w:t>”</w:t>
      </w:r>
      <w:r>
        <w:rPr>
          <w:rFonts w:hint="default" w:ascii="Times New Roman" w:hAnsi="Times New Roman" w:eastAsia="宋体" w:cs="Times New Roman"/>
          <w:sz w:val="18"/>
          <w:szCs w:val="18"/>
        </w:rPr>
        <w:t>走向</w:t>
      </w:r>
      <w:r>
        <w:rPr>
          <w:rFonts w:hint="eastAsia" w:cs="Times New Roman"/>
          <w:sz w:val="18"/>
          <w:szCs w:val="18"/>
          <w:lang w:eastAsia="zh-CN"/>
        </w:rPr>
        <w:t>“</w:t>
      </w:r>
      <w:r>
        <w:rPr>
          <w:rFonts w:hint="default" w:ascii="Times New Roman" w:hAnsi="Times New Roman" w:eastAsia="宋体" w:cs="Times New Roman"/>
          <w:sz w:val="18"/>
          <w:szCs w:val="18"/>
        </w:rPr>
        <w:t>主动</w:t>
      </w:r>
      <w:r>
        <w:rPr>
          <w:rFonts w:hint="eastAsia" w:cs="Times New Roman"/>
          <w:sz w:val="18"/>
          <w:szCs w:val="18"/>
          <w:lang w:eastAsia="zh-CN"/>
        </w:rPr>
        <w:t>”</w:t>
      </w:r>
      <w:r>
        <w:rPr>
          <w:rFonts w:hint="default" w:ascii="Times New Roman" w:hAnsi="Times New Roman" w:eastAsia="宋体" w:cs="Times New Roman"/>
          <w:sz w:val="18"/>
          <w:szCs w:val="18"/>
        </w:rPr>
        <w:t>，为生物医学新技术从科研进入临床转化应用铺设了合法合规的快车道。随着一系列干细胞行业政策的出台，我国干细胞产业进入了监管明确、支付明朗的新时代。</w:t>
      </w:r>
    </w:p>
    <w:p w14:paraId="3E3191BE">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29" w:name="_Toc20266"/>
      <w:bookmarkStart w:id="30" w:name="_Toc988904"/>
      <w:r>
        <w:rPr>
          <w:rFonts w:hint="default" w:ascii="Times New Roman" w:hAnsi="Times New Roman" w:eastAsia="宋体" w:cs="Times New Roman"/>
          <w:b/>
          <w:bCs/>
          <w:sz w:val="24"/>
          <w:szCs w:val="24"/>
        </w:rPr>
        <w:t>三、核心竞争力分析</w:t>
      </w:r>
      <w:bookmarkEnd w:id="29"/>
      <w:bookmarkEnd w:id="30"/>
    </w:p>
    <w:p w14:paraId="046F36D6">
      <w:pPr>
        <w:pStyle w:val="6"/>
        <w:keepNext w:val="0"/>
        <w:keepLines w:val="0"/>
        <w:widowControl/>
        <w:suppressLineNumbers w:val="0"/>
        <w:spacing w:before="0" w:beforeAutospacing="0" w:after="0" w:afterAutospacing="0"/>
        <w:ind w:left="0" w:right="0" w:firstLine="361"/>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1、行业前沿的原创技术优势</w:t>
      </w:r>
    </w:p>
    <w:p w14:paraId="4EDD9281">
      <w:pPr>
        <w:pStyle w:val="6"/>
        <w:keepNext w:val="0"/>
        <w:keepLines w:val="0"/>
        <w:widowControl/>
        <w:suppressLineNumbers w:val="0"/>
        <w:spacing w:before="0" w:beforeAutospacing="0" w:after="0" w:afterAutospacing="0"/>
        <w:ind w:left="0" w:right="0" w:firstLine="36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公司作为</w:t>
      </w:r>
      <w:r>
        <w:rPr>
          <w:rFonts w:hint="eastAsia" w:cs="Times New Roman"/>
          <w:sz w:val="18"/>
          <w:szCs w:val="18"/>
          <w:lang w:eastAsia="zh-CN"/>
        </w:rPr>
        <w:t>“</w:t>
      </w:r>
      <w:r>
        <w:rPr>
          <w:rFonts w:hint="default" w:ascii="Times New Roman" w:hAnsi="Times New Roman" w:eastAsia="宋体" w:cs="Times New Roman"/>
          <w:sz w:val="18"/>
          <w:szCs w:val="18"/>
        </w:rPr>
        <w:t>国家知识产权优势企业</w:t>
      </w:r>
      <w:r>
        <w:rPr>
          <w:rFonts w:hint="eastAsia" w:cs="Times New Roman"/>
          <w:sz w:val="18"/>
          <w:szCs w:val="18"/>
          <w:lang w:eastAsia="zh-CN"/>
        </w:rPr>
        <w:t>”</w:t>
      </w:r>
      <w:r>
        <w:rPr>
          <w:rFonts w:hint="default" w:ascii="Times New Roman" w:hAnsi="Times New Roman" w:eastAsia="宋体" w:cs="Times New Roman"/>
          <w:sz w:val="18"/>
          <w:szCs w:val="18"/>
        </w:rPr>
        <w:t>，其中商标</w:t>
      </w:r>
      <w:r>
        <w:rPr>
          <w:rFonts w:hint="eastAsia" w:cs="Times New Roman"/>
          <w:sz w:val="18"/>
          <w:szCs w:val="18"/>
          <w:lang w:eastAsia="zh-CN"/>
        </w:rPr>
        <w:t>“</w:t>
      </w:r>
      <w:r>
        <w:rPr>
          <w:rFonts w:hint="default" w:ascii="Times New Roman" w:hAnsi="Times New Roman" w:eastAsia="宋体" w:cs="Times New Roman"/>
          <w:sz w:val="18"/>
          <w:szCs w:val="18"/>
        </w:rPr>
        <w:t>冠昊生物</w:t>
      </w:r>
      <w:r>
        <w:rPr>
          <w:rFonts w:hint="eastAsia" w:cs="Times New Roman"/>
          <w:sz w:val="18"/>
          <w:szCs w:val="18"/>
          <w:lang w:eastAsia="zh-CN"/>
        </w:rPr>
        <w:t>”“</w:t>
      </w:r>
      <w:r>
        <w:rPr>
          <w:rFonts w:hint="default" w:ascii="Times New Roman" w:hAnsi="Times New Roman" w:eastAsia="宋体" w:cs="Times New Roman"/>
          <w:sz w:val="18"/>
          <w:szCs w:val="18"/>
        </w:rPr>
        <w:t>欣比克</w:t>
      </w:r>
      <w:r>
        <w:rPr>
          <w:rFonts w:hint="eastAsia" w:cs="Times New Roman"/>
          <w:sz w:val="18"/>
          <w:szCs w:val="18"/>
          <w:lang w:eastAsia="zh-CN"/>
        </w:rPr>
        <w:t>”</w:t>
      </w:r>
      <w:r>
        <w:rPr>
          <w:rFonts w:hint="default" w:ascii="Times New Roman" w:hAnsi="Times New Roman" w:eastAsia="宋体" w:cs="Times New Roman"/>
          <w:sz w:val="18"/>
          <w:szCs w:val="18"/>
        </w:rPr>
        <w:t>纳入广东省重点商标保护名录；报告期内，冠昊生物荣获国家专精特新</w:t>
      </w:r>
      <w:r>
        <w:rPr>
          <w:rFonts w:hint="eastAsia" w:cs="Times New Roman"/>
          <w:sz w:val="18"/>
          <w:szCs w:val="18"/>
          <w:lang w:eastAsia="zh-CN"/>
        </w:rPr>
        <w:t>“</w:t>
      </w:r>
      <w:r>
        <w:rPr>
          <w:rFonts w:hint="default" w:ascii="Times New Roman" w:hAnsi="Times New Roman" w:eastAsia="宋体" w:cs="Times New Roman"/>
          <w:sz w:val="18"/>
          <w:szCs w:val="18"/>
        </w:rPr>
        <w:t>小巨人</w:t>
      </w:r>
      <w:r>
        <w:rPr>
          <w:rFonts w:hint="eastAsia" w:cs="Times New Roman"/>
          <w:sz w:val="18"/>
          <w:szCs w:val="18"/>
          <w:lang w:eastAsia="zh-CN"/>
        </w:rPr>
        <w:t>”</w:t>
      </w:r>
      <w:r>
        <w:rPr>
          <w:rFonts w:hint="default" w:ascii="Times New Roman" w:hAnsi="Times New Roman" w:eastAsia="宋体" w:cs="Times New Roman"/>
          <w:sz w:val="18"/>
          <w:szCs w:val="18"/>
        </w:rPr>
        <w:t>称号并通过广东省专精特新中小企业复核，成功当选为广州市黄埔区社会建设促进会第二届理事会理事长单位并荣获</w:t>
      </w:r>
      <w:r>
        <w:rPr>
          <w:rFonts w:hint="eastAsia" w:cs="Times New Roman"/>
          <w:sz w:val="18"/>
          <w:szCs w:val="18"/>
          <w:lang w:eastAsia="zh-CN"/>
        </w:rPr>
        <w:t>“</w:t>
      </w:r>
      <w:r>
        <w:rPr>
          <w:rFonts w:hint="default" w:ascii="Times New Roman" w:hAnsi="Times New Roman" w:eastAsia="宋体" w:cs="Times New Roman"/>
          <w:sz w:val="18"/>
          <w:szCs w:val="18"/>
        </w:rPr>
        <w:t>2020-2025年度优秀会员单位</w:t>
      </w:r>
      <w:r>
        <w:rPr>
          <w:rFonts w:hint="eastAsia" w:cs="Times New Roman"/>
          <w:sz w:val="18"/>
          <w:szCs w:val="18"/>
          <w:lang w:eastAsia="zh-CN"/>
        </w:rPr>
        <w:t>”</w:t>
      </w:r>
      <w:r>
        <w:rPr>
          <w:rFonts w:hint="default" w:ascii="Times New Roman" w:hAnsi="Times New Roman" w:eastAsia="宋体" w:cs="Times New Roman"/>
          <w:sz w:val="18"/>
          <w:szCs w:val="18"/>
        </w:rPr>
        <w:t>称号；公司子公司北昊研究院顺利通过国家级高新技术企业认定、广东省专精特新中小企业复核。公司搭建了再生医学生物材料技术平台、细胞与干细胞研发应用平台、药业技术平台三大技术平台，并围绕三大技术平台，进一步整合资源，形成持续驱动创新的良性发展模式。未来公司将持续在三大业务板块原创技术道路上布局。报告期内，公司持续加强知识产权体系建设及无形资产保护，新申请专利23项，新增授权专利4项。公司累计拥有授权专利167项，包括发明专利109项，实用新型专利56项，外观设计专利2项；新增商标注册证1项，拥有商标注册证185项。</w:t>
      </w:r>
    </w:p>
    <w:p w14:paraId="39BD2BEB">
      <w:pPr>
        <w:pStyle w:val="6"/>
        <w:keepNext w:val="0"/>
        <w:keepLines w:val="0"/>
        <w:widowControl/>
        <w:suppressLineNumbers w:val="0"/>
        <w:spacing w:before="0" w:beforeAutospacing="0" w:after="0" w:afterAutospacing="0"/>
        <w:ind w:left="0" w:right="0" w:firstLine="36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再生医学生物材料技术平台：公司原创四大核心技术——组织固定技术、多方位去抗原技术、力学改性技术、组织诱导技术。具有行业前沿水平的动物源性医用生物材料技术平台，承担了二十多项国家和地方的科技攻关项目。公司的</w:t>
      </w:r>
      <w:r>
        <w:rPr>
          <w:rFonts w:hint="eastAsia" w:cs="Times New Roman"/>
          <w:sz w:val="18"/>
          <w:szCs w:val="18"/>
          <w:lang w:eastAsia="zh-CN"/>
        </w:rPr>
        <w:t>“</w:t>
      </w:r>
      <w:r>
        <w:rPr>
          <w:rFonts w:hint="default" w:ascii="Times New Roman" w:hAnsi="Times New Roman" w:eastAsia="宋体" w:cs="Times New Roman"/>
          <w:sz w:val="18"/>
          <w:szCs w:val="18"/>
        </w:rPr>
        <w:t>再生型生物膜高技术产业化</w:t>
      </w:r>
      <w:r>
        <w:rPr>
          <w:rFonts w:hint="eastAsia" w:cs="Times New Roman"/>
          <w:sz w:val="18"/>
          <w:szCs w:val="18"/>
          <w:lang w:eastAsia="zh-CN"/>
        </w:rPr>
        <w:t>”</w:t>
      </w:r>
      <w:r>
        <w:rPr>
          <w:rFonts w:hint="default" w:ascii="Times New Roman" w:hAnsi="Times New Roman" w:eastAsia="宋体" w:cs="Times New Roman"/>
          <w:sz w:val="18"/>
          <w:szCs w:val="18"/>
        </w:rPr>
        <w:t>项目被国家发改委列入国际高技术产业化示范工程，再生型医用植入器械国家工程实验室依托公司强有力的研发团队和丰富的内外部资源，积极同国内外知名高校、科研院所及临床机构合作，对再生医用材料的设计开发、再生机理研究、性能评价方法与技术、器械开发以及行业发展趋势等方面重点开展了工作。</w:t>
      </w:r>
    </w:p>
    <w:p w14:paraId="3B4C838B">
      <w:pPr>
        <w:pStyle w:val="6"/>
        <w:keepNext w:val="0"/>
        <w:keepLines w:val="0"/>
        <w:widowControl/>
        <w:suppressLineNumbers w:val="0"/>
        <w:spacing w:before="0" w:beforeAutospacing="0" w:after="0" w:afterAutospacing="0"/>
        <w:ind w:left="0" w:right="0" w:firstLine="36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药业技术平台：药业技术研究成果本维莫德，是中国原研、从一种天然微生物代谢产物中分离出来的非激素类小分子化合物。国家药监局通过优先审评审批程序，批准1类创新药本维莫德乳膏局部治疗成人轻至中度稳定性寻常型银屑病。该药物被国家科技部列为</w:t>
      </w:r>
      <w:r>
        <w:rPr>
          <w:rFonts w:hint="eastAsia" w:cs="Times New Roman"/>
          <w:sz w:val="18"/>
          <w:szCs w:val="18"/>
          <w:lang w:eastAsia="zh-CN"/>
        </w:rPr>
        <w:t>“</w:t>
      </w:r>
      <w:r>
        <w:rPr>
          <w:rFonts w:hint="default" w:ascii="Times New Roman" w:hAnsi="Times New Roman" w:eastAsia="宋体" w:cs="Times New Roman"/>
          <w:sz w:val="18"/>
          <w:szCs w:val="18"/>
        </w:rPr>
        <w:t>十一五</w:t>
      </w:r>
      <w:r>
        <w:rPr>
          <w:rFonts w:hint="eastAsia" w:cs="Times New Roman"/>
          <w:sz w:val="18"/>
          <w:szCs w:val="18"/>
          <w:lang w:eastAsia="zh-CN"/>
        </w:rPr>
        <w:t>”</w:t>
      </w:r>
      <w:r>
        <w:rPr>
          <w:rFonts w:hint="default" w:ascii="Times New Roman" w:hAnsi="Times New Roman" w:eastAsia="宋体" w:cs="Times New Roman"/>
          <w:sz w:val="18"/>
          <w:szCs w:val="18"/>
        </w:rPr>
        <w:t>、</w:t>
      </w:r>
      <w:r>
        <w:rPr>
          <w:rFonts w:hint="eastAsia" w:cs="Times New Roman"/>
          <w:sz w:val="18"/>
          <w:szCs w:val="18"/>
          <w:lang w:eastAsia="zh-CN"/>
        </w:rPr>
        <w:t>“</w:t>
      </w:r>
      <w:r>
        <w:rPr>
          <w:rFonts w:hint="default" w:ascii="Times New Roman" w:hAnsi="Times New Roman" w:eastAsia="宋体" w:cs="Times New Roman"/>
          <w:sz w:val="18"/>
          <w:szCs w:val="18"/>
        </w:rPr>
        <w:t>十二五</w:t>
      </w:r>
      <w:r>
        <w:rPr>
          <w:rFonts w:hint="eastAsia" w:cs="Times New Roman"/>
          <w:sz w:val="18"/>
          <w:szCs w:val="18"/>
          <w:lang w:eastAsia="zh-CN"/>
        </w:rPr>
        <w:t>”</w:t>
      </w:r>
      <w:r>
        <w:rPr>
          <w:rFonts w:hint="default" w:ascii="Times New Roman" w:hAnsi="Times New Roman" w:eastAsia="宋体" w:cs="Times New Roman"/>
          <w:sz w:val="18"/>
          <w:szCs w:val="18"/>
        </w:rPr>
        <w:t>、</w:t>
      </w:r>
      <w:r>
        <w:rPr>
          <w:rFonts w:hint="eastAsia" w:cs="Times New Roman"/>
          <w:sz w:val="18"/>
          <w:szCs w:val="18"/>
          <w:lang w:eastAsia="zh-CN"/>
        </w:rPr>
        <w:t>“</w:t>
      </w:r>
      <w:r>
        <w:rPr>
          <w:rFonts w:hint="default" w:ascii="Times New Roman" w:hAnsi="Times New Roman" w:eastAsia="宋体" w:cs="Times New Roman"/>
          <w:sz w:val="18"/>
          <w:szCs w:val="18"/>
        </w:rPr>
        <w:t>重大新药创制</w:t>
      </w:r>
      <w:r>
        <w:rPr>
          <w:rFonts w:hint="eastAsia" w:cs="Times New Roman"/>
          <w:sz w:val="18"/>
          <w:szCs w:val="18"/>
          <w:lang w:eastAsia="zh-CN"/>
        </w:rPr>
        <w:t>”</w:t>
      </w:r>
      <w:r>
        <w:rPr>
          <w:rFonts w:hint="default" w:ascii="Times New Roman" w:hAnsi="Times New Roman" w:eastAsia="宋体" w:cs="Times New Roman"/>
          <w:sz w:val="18"/>
          <w:szCs w:val="18"/>
        </w:rPr>
        <w:t>国家科技重大专项成果，被广东省高新技术企业协会评为</w:t>
      </w:r>
      <w:r>
        <w:rPr>
          <w:rFonts w:hint="eastAsia" w:cs="Times New Roman"/>
          <w:sz w:val="18"/>
          <w:szCs w:val="18"/>
          <w:lang w:eastAsia="zh-CN"/>
        </w:rPr>
        <w:t>“</w:t>
      </w:r>
      <w:r>
        <w:rPr>
          <w:rFonts w:hint="default" w:ascii="Times New Roman" w:hAnsi="Times New Roman" w:eastAsia="宋体" w:cs="Times New Roman"/>
          <w:sz w:val="18"/>
          <w:szCs w:val="18"/>
        </w:rPr>
        <w:t>2023年广东省名优高新技术产品</w:t>
      </w:r>
      <w:r>
        <w:rPr>
          <w:rFonts w:hint="eastAsia" w:cs="Times New Roman"/>
          <w:sz w:val="18"/>
          <w:szCs w:val="18"/>
          <w:lang w:eastAsia="zh-CN"/>
        </w:rPr>
        <w:t>”</w:t>
      </w:r>
      <w:r>
        <w:rPr>
          <w:rFonts w:hint="default" w:ascii="Times New Roman" w:hAnsi="Times New Roman" w:eastAsia="宋体" w:cs="Times New Roman"/>
          <w:sz w:val="18"/>
          <w:szCs w:val="18"/>
        </w:rPr>
        <w:t>。公司药业板块，整体架构完备，覆盖了新药研发、制造及营销的整个流程，具有</w:t>
      </w:r>
      <w:r>
        <w:rPr>
          <w:rFonts w:hint="eastAsia" w:cs="Times New Roman"/>
          <w:sz w:val="18"/>
          <w:szCs w:val="18"/>
          <w:lang w:eastAsia="zh-CN"/>
        </w:rPr>
        <w:t>“</w:t>
      </w:r>
      <w:r>
        <w:rPr>
          <w:rFonts w:hint="default" w:ascii="Times New Roman" w:hAnsi="Times New Roman" w:eastAsia="宋体" w:cs="Times New Roman"/>
          <w:sz w:val="18"/>
          <w:szCs w:val="18"/>
        </w:rPr>
        <w:t>一条龙</w:t>
      </w:r>
      <w:r>
        <w:rPr>
          <w:rFonts w:hint="eastAsia" w:cs="Times New Roman"/>
          <w:sz w:val="18"/>
          <w:szCs w:val="18"/>
          <w:lang w:eastAsia="zh-CN"/>
        </w:rPr>
        <w:t>”</w:t>
      </w:r>
      <w:r>
        <w:rPr>
          <w:rFonts w:hint="default" w:ascii="Times New Roman" w:hAnsi="Times New Roman" w:eastAsia="宋体" w:cs="Times New Roman"/>
          <w:sz w:val="18"/>
          <w:szCs w:val="18"/>
        </w:rPr>
        <w:t>式的完备产业转化能力。在《皮肤病靶向治疗专家共识</w:t>
      </w:r>
      <w:r>
        <w:rPr>
          <w:rFonts w:hint="eastAsia" w:cs="Times New Roman"/>
          <w:sz w:val="18"/>
          <w:szCs w:val="18"/>
          <w:lang w:eastAsia="zh-CN"/>
        </w:rPr>
        <w:t>（</w:t>
      </w:r>
      <w:r>
        <w:rPr>
          <w:rFonts w:hint="default" w:ascii="Times New Roman" w:hAnsi="Times New Roman" w:eastAsia="宋体" w:cs="Times New Roman"/>
          <w:sz w:val="18"/>
          <w:szCs w:val="18"/>
        </w:rPr>
        <w:t>2025版</w:t>
      </w:r>
      <w:r>
        <w:rPr>
          <w:rFonts w:hint="eastAsia" w:cs="Times New Roman"/>
          <w:sz w:val="18"/>
          <w:szCs w:val="18"/>
          <w:lang w:eastAsia="zh-CN"/>
        </w:rPr>
        <w:t>）</w:t>
      </w:r>
      <w:r>
        <w:rPr>
          <w:rFonts w:hint="default" w:ascii="Times New Roman" w:hAnsi="Times New Roman" w:eastAsia="宋体" w:cs="Times New Roman"/>
          <w:sz w:val="18"/>
          <w:szCs w:val="18"/>
        </w:rPr>
        <w:t>》《本维莫德乳膏治疗银屑病专家指导意见》《中国银屑病诊疗指南（2023年）》等各类医学指南共识已多次推荐本维莫德乳膏用于银屑病和特应性皮炎的治疗。在《中国银屑病诊疗指南》（2023版）中，本维莫德的化学名被单独列为一类，排在第6位。</w:t>
      </w:r>
    </w:p>
    <w:p w14:paraId="244D9589">
      <w:pPr>
        <w:pStyle w:val="6"/>
        <w:keepNext w:val="0"/>
        <w:keepLines w:val="0"/>
        <w:widowControl/>
        <w:suppressLineNumbers w:val="0"/>
        <w:spacing w:before="0" w:beforeAutospacing="0" w:after="0" w:afterAutospacing="0"/>
        <w:ind w:left="0" w:right="0" w:firstLine="36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细胞与干细胞研发应用平台：公司从2013年开始搭建细胞与干细胞研发应用平台，通过建立符合GMP标准的免疫细胞和干细胞制备技术体系、临床前效能/安全性评估体系、临床试验评估体系，扎根大健康前沿领域，生产的多批干细胞制剂均通过了中国食品药品检定研究院的质量合格认定。目前涉及业务包括自体软骨组织细胞移植技术、免疫细胞储存技术、干细胞储存技术、膝关节及美肤类细胞衍生物产品应用技术等。其中，软骨细胞移植技术，主要应用于关节软骨缺损的修复，即从患者关节软骨非负重区采集小块健康的软骨组织，通过人源软骨细胞标准化生产获得足够数量的软骨细胞与细胞支架复合形成人源组织工程化再生软骨产品，将该产品移植缺损部位达到软骨再生的目的；免疫细胞存储技术，是指将健康时的免疫细胞在严格操作流程下长期储存，以供需要时使用，如发生癌症等疾病，可使用存储的免疫细胞及时采取免疫细胞疗法治疗。公司在细胞与干细胞研发应用平台基础上，积极推进公司大湾区生物样本信息资源库及区域细胞制备中心的建设，并在此基础上与多家科研院所、医疗机构合作开展干细胞临床前和临床研究。</w:t>
      </w:r>
    </w:p>
    <w:p w14:paraId="396F13C5">
      <w:pPr>
        <w:pStyle w:val="6"/>
        <w:keepNext w:val="0"/>
        <w:keepLines w:val="0"/>
        <w:widowControl/>
        <w:suppressLineNumbers w:val="0"/>
        <w:spacing w:before="0" w:beforeAutospacing="0" w:after="0" w:afterAutospacing="0"/>
        <w:ind w:left="0" w:right="0" w:firstLine="361"/>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2、快速产业化能力</w:t>
      </w:r>
    </w:p>
    <w:p w14:paraId="13B14C22">
      <w:pPr>
        <w:pStyle w:val="6"/>
        <w:keepNext w:val="0"/>
        <w:keepLines w:val="0"/>
        <w:widowControl/>
        <w:suppressLineNumbers w:val="0"/>
        <w:spacing w:before="0" w:beforeAutospacing="0" w:after="0" w:afterAutospacing="0"/>
        <w:ind w:left="0" w:right="0" w:firstLine="36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公司通过自有科技孵化平台聚焦公司三大技术平台产品、产业进行前期项目孵化，拥有丰富的产业化经验，致力于通过创新的商业模式和完善的共享平台，提供生命健康领域的一站式创业服务，真正做到</w:t>
      </w:r>
      <w:r>
        <w:rPr>
          <w:rFonts w:hint="eastAsia" w:cs="Times New Roman"/>
          <w:sz w:val="18"/>
          <w:szCs w:val="18"/>
          <w:lang w:eastAsia="zh-CN"/>
        </w:rPr>
        <w:t>“</w:t>
      </w:r>
      <w:r>
        <w:rPr>
          <w:rFonts w:hint="default" w:ascii="Times New Roman" w:hAnsi="Times New Roman" w:eastAsia="宋体" w:cs="Times New Roman"/>
          <w:sz w:val="18"/>
          <w:szCs w:val="18"/>
        </w:rPr>
        <w:t>让创业变得更高效、更轻松</w:t>
      </w:r>
      <w:r>
        <w:rPr>
          <w:rFonts w:hint="eastAsia" w:cs="Times New Roman"/>
          <w:sz w:val="18"/>
          <w:szCs w:val="18"/>
          <w:lang w:eastAsia="zh-CN"/>
        </w:rPr>
        <w:t>”</w:t>
      </w:r>
      <w:r>
        <w:rPr>
          <w:rFonts w:hint="default" w:ascii="Times New Roman" w:hAnsi="Times New Roman" w:eastAsia="宋体" w:cs="Times New Roman"/>
          <w:sz w:val="18"/>
          <w:szCs w:val="18"/>
        </w:rPr>
        <w:t>，成功孵化出多家具有创新能力的企业和产品，实现项目或技术</w:t>
      </w:r>
      <w:r>
        <w:rPr>
          <w:rFonts w:hint="eastAsia" w:cs="Times New Roman"/>
          <w:sz w:val="18"/>
          <w:szCs w:val="18"/>
          <w:lang w:eastAsia="zh-CN"/>
        </w:rPr>
        <w:t>“</w:t>
      </w:r>
      <w:r>
        <w:rPr>
          <w:rFonts w:hint="default" w:ascii="Times New Roman" w:hAnsi="Times New Roman" w:eastAsia="宋体" w:cs="Times New Roman"/>
          <w:sz w:val="18"/>
          <w:szCs w:val="18"/>
        </w:rPr>
        <w:t>从实验室到市场</w:t>
      </w:r>
      <w:r>
        <w:rPr>
          <w:rFonts w:hint="eastAsia" w:cs="Times New Roman"/>
          <w:sz w:val="18"/>
          <w:szCs w:val="18"/>
          <w:lang w:eastAsia="zh-CN"/>
        </w:rPr>
        <w:t>”</w:t>
      </w:r>
      <w:r>
        <w:rPr>
          <w:rFonts w:hint="default" w:ascii="Times New Roman" w:hAnsi="Times New Roman" w:eastAsia="宋体" w:cs="Times New Roman"/>
          <w:sz w:val="18"/>
          <w:szCs w:val="18"/>
        </w:rPr>
        <w:t>的技术转化，充分体现了公司快速的产业化能力，为公司的快速发展提供有力的支持。</w:t>
      </w:r>
    </w:p>
    <w:p w14:paraId="243318A4">
      <w:pPr>
        <w:pStyle w:val="6"/>
        <w:keepNext w:val="0"/>
        <w:keepLines w:val="0"/>
        <w:widowControl/>
        <w:suppressLineNumbers w:val="0"/>
        <w:spacing w:before="0" w:beforeAutospacing="0" w:after="0" w:afterAutospacing="0"/>
        <w:ind w:left="0" w:right="0" w:firstLine="361"/>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3、规范的质量管控体系</w:t>
      </w:r>
    </w:p>
    <w:p w14:paraId="148591D9">
      <w:pPr>
        <w:pStyle w:val="6"/>
        <w:keepNext w:val="0"/>
        <w:keepLines w:val="0"/>
        <w:widowControl/>
        <w:suppressLineNumbers w:val="0"/>
        <w:spacing w:before="0" w:beforeAutospacing="0" w:after="0" w:afterAutospacing="0"/>
        <w:ind w:left="0" w:right="0" w:firstLine="36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生物材料产品属于第三类植入医疗器械，直接关系到患者的健康和生命安全，公司始终把产品质量放在第一位，严格按国家法规和质量规范要求，组织和规范企业医疗器械生产质量管理工作，建立、实施和保持涵盖设计开发、采购、生产、检验、销售等产品生命周期全过程的质量管理体系。公司持续贯彻和加强</w:t>
      </w:r>
      <w:r>
        <w:rPr>
          <w:rFonts w:hint="eastAsia" w:cs="Times New Roman"/>
          <w:sz w:val="18"/>
          <w:szCs w:val="18"/>
          <w:lang w:eastAsia="zh-CN"/>
        </w:rPr>
        <w:t>“</w:t>
      </w:r>
      <w:r>
        <w:rPr>
          <w:rFonts w:hint="default" w:ascii="Times New Roman" w:hAnsi="Times New Roman" w:eastAsia="宋体" w:cs="Times New Roman"/>
          <w:sz w:val="18"/>
          <w:szCs w:val="18"/>
        </w:rPr>
        <w:t>全员参与、全过程管理</w:t>
      </w:r>
      <w:r>
        <w:rPr>
          <w:rFonts w:hint="eastAsia" w:cs="Times New Roman"/>
          <w:sz w:val="18"/>
          <w:szCs w:val="18"/>
          <w:lang w:eastAsia="zh-CN"/>
        </w:rPr>
        <w:t>”</w:t>
      </w:r>
      <w:r>
        <w:rPr>
          <w:rFonts w:hint="default" w:ascii="Times New Roman" w:hAnsi="Times New Roman" w:eastAsia="宋体" w:cs="Times New Roman"/>
          <w:sz w:val="18"/>
          <w:szCs w:val="18"/>
        </w:rPr>
        <w:t>的质量意识，保证产品的安全性和质量的稳定性。公司通过了ISO13485管理体系认证。公司子公司广东中昊药业拥有药品GMP证书，其生产车间符合国家法定要求，满足本维莫德乳膏的批量生产。公司从2013年开始搭建细胞与干细胞研发应用平台，拥有通过GMP现场认证的两条细胞生产线，该生产线依循GMP车间的</w:t>
      </w:r>
      <w:r>
        <w:rPr>
          <w:rFonts w:hint="eastAsia" w:cs="Times New Roman"/>
          <w:sz w:val="18"/>
          <w:szCs w:val="18"/>
          <w:lang w:eastAsia="zh-CN"/>
        </w:rPr>
        <w:t>“</w:t>
      </w:r>
      <w:r>
        <w:rPr>
          <w:rFonts w:hint="default" w:ascii="Times New Roman" w:hAnsi="Times New Roman" w:eastAsia="宋体" w:cs="Times New Roman"/>
          <w:sz w:val="18"/>
          <w:szCs w:val="18"/>
        </w:rPr>
        <w:t>标准化、规范化</w:t>
      </w:r>
      <w:r>
        <w:rPr>
          <w:rFonts w:hint="eastAsia" w:cs="Times New Roman"/>
          <w:sz w:val="18"/>
          <w:szCs w:val="18"/>
          <w:lang w:eastAsia="zh-CN"/>
        </w:rPr>
        <w:t>”</w:t>
      </w:r>
      <w:r>
        <w:rPr>
          <w:rFonts w:hint="default" w:ascii="Times New Roman" w:hAnsi="Times New Roman" w:eastAsia="宋体" w:cs="Times New Roman"/>
          <w:sz w:val="18"/>
          <w:szCs w:val="18"/>
        </w:rPr>
        <w:t>，在细胞存储的安全性、有效性上遵循国际最高标准。公司的控股子公司北昊研究院以细胞产品为核心，以</w:t>
      </w:r>
      <w:r>
        <w:rPr>
          <w:rFonts w:hint="eastAsia" w:cs="Times New Roman"/>
          <w:sz w:val="18"/>
          <w:szCs w:val="18"/>
          <w:lang w:eastAsia="zh-CN"/>
        </w:rPr>
        <w:t>“</w:t>
      </w:r>
      <w:r>
        <w:rPr>
          <w:rFonts w:hint="default" w:ascii="Times New Roman" w:hAnsi="Times New Roman" w:eastAsia="宋体" w:cs="Times New Roman"/>
          <w:sz w:val="18"/>
          <w:szCs w:val="18"/>
        </w:rPr>
        <w:t>精准健康</w:t>
      </w:r>
      <w:r>
        <w:rPr>
          <w:rFonts w:hint="eastAsia" w:cs="Times New Roman"/>
          <w:sz w:val="18"/>
          <w:szCs w:val="18"/>
          <w:lang w:eastAsia="zh-CN"/>
        </w:rPr>
        <w:t>”</w:t>
      </w:r>
      <w:r>
        <w:rPr>
          <w:rFonts w:hint="default" w:ascii="Times New Roman" w:hAnsi="Times New Roman" w:eastAsia="宋体" w:cs="Times New Roman"/>
          <w:sz w:val="18"/>
          <w:szCs w:val="18"/>
        </w:rPr>
        <w:t>为目标，精心打造北昊研究院高端生物科技品牌，引领和带动其他产业集群共同发展。北昊研究院承担着多项国家地方的科技攻关项目，已成为细胞产业领域国家级的研发中心和产业化示范基地。</w:t>
      </w:r>
    </w:p>
    <w:p w14:paraId="34E9E202">
      <w:pPr>
        <w:pStyle w:val="6"/>
        <w:keepNext w:val="0"/>
        <w:keepLines w:val="0"/>
        <w:widowControl/>
        <w:suppressLineNumbers w:val="0"/>
        <w:spacing w:before="0" w:beforeAutospacing="0" w:after="0" w:afterAutospacing="0"/>
        <w:ind w:left="0" w:right="0" w:firstLine="361"/>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4、成熟销售渠道持续开拓</w:t>
      </w:r>
    </w:p>
    <w:p w14:paraId="780354EE">
      <w:pPr>
        <w:pStyle w:val="6"/>
        <w:keepNext w:val="0"/>
        <w:keepLines w:val="0"/>
        <w:widowControl/>
        <w:suppressLineNumbers w:val="0"/>
        <w:spacing w:before="0" w:beforeAutospacing="0" w:after="0" w:afterAutospacing="0"/>
        <w:ind w:left="0" w:right="0" w:firstLine="36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三大业务板块自建业务团队，依据行业特点及产品特性，不同业务模块采用不同的营销模式。公司的生物材料膜类产品坚持以品质为核心，通过代理分销模式及服务配送模式，建立起一套立体销售模式，公司已经构建了遍及全国的销售网络，形成了专业、规范、有序、完善的销售体系。公司在药业板块持续加强医院覆盖和医学信息推广效能，加强国家1类皮肤科新药的市场渗透，主要分为四个方面：第一，坚持学术深耕，聚焦核心市场，强化区域辐射与准入深度：以</w:t>
      </w:r>
      <w:r>
        <w:rPr>
          <w:rFonts w:hint="eastAsia" w:cs="Times New Roman"/>
          <w:sz w:val="18"/>
          <w:szCs w:val="18"/>
          <w:lang w:eastAsia="zh-CN"/>
        </w:rPr>
        <w:t>“</w:t>
      </w:r>
      <w:r>
        <w:rPr>
          <w:rFonts w:hint="default" w:ascii="Times New Roman" w:hAnsi="Times New Roman" w:eastAsia="宋体" w:cs="Times New Roman"/>
          <w:sz w:val="18"/>
          <w:szCs w:val="18"/>
        </w:rPr>
        <w:t>核心学术中心+区域辐射</w:t>
      </w:r>
      <w:r>
        <w:rPr>
          <w:rFonts w:hint="eastAsia" w:cs="Times New Roman"/>
          <w:sz w:val="18"/>
          <w:szCs w:val="18"/>
          <w:lang w:eastAsia="zh-CN"/>
        </w:rPr>
        <w:t>”</w:t>
      </w:r>
      <w:r>
        <w:rPr>
          <w:rFonts w:hint="default" w:ascii="Times New Roman" w:hAnsi="Times New Roman" w:eastAsia="宋体" w:cs="Times New Roman"/>
          <w:sz w:val="18"/>
          <w:szCs w:val="18"/>
        </w:rPr>
        <w:t>模式为抓手，依托全国重点地区学术中心构建医学信息传递网络，通过参与区域学协会发起、由区域学术带头人参与的各类会议，实现</w:t>
      </w:r>
      <w:r>
        <w:rPr>
          <w:rFonts w:hint="eastAsia" w:cs="Times New Roman"/>
          <w:sz w:val="18"/>
          <w:szCs w:val="18"/>
          <w:lang w:eastAsia="zh-CN"/>
        </w:rPr>
        <w:t>“</w:t>
      </w:r>
      <w:r>
        <w:rPr>
          <w:rFonts w:hint="default" w:ascii="Times New Roman" w:hAnsi="Times New Roman" w:eastAsia="宋体" w:cs="Times New Roman"/>
          <w:sz w:val="18"/>
          <w:szCs w:val="18"/>
        </w:rPr>
        <w:t>以点带面</w:t>
      </w:r>
      <w:r>
        <w:rPr>
          <w:rFonts w:hint="eastAsia" w:cs="Times New Roman"/>
          <w:sz w:val="18"/>
          <w:szCs w:val="18"/>
          <w:lang w:eastAsia="zh-CN"/>
        </w:rPr>
        <w:t>”</w:t>
      </w:r>
      <w:r>
        <w:rPr>
          <w:rFonts w:hint="default" w:ascii="Times New Roman" w:hAnsi="Times New Roman" w:eastAsia="宋体" w:cs="Times New Roman"/>
          <w:sz w:val="18"/>
          <w:szCs w:val="18"/>
        </w:rPr>
        <w:t>的医学信息的广覆盖，同步深化三级医院准入覆盖与现有医院的学术教育深度，巩固学术品牌影响力；自营专员的精准覆盖：在关键省份及高潜力区域持续强化自营医学信息沟通专员配置，依托其专业医学背景与临床洞察力，精准传递产品价值，夯实核心市场的学术主导地位；第二，营销提效，内外协同优化动能：持续深化</w:t>
      </w:r>
      <w:r>
        <w:rPr>
          <w:rFonts w:hint="eastAsia" w:cs="Times New Roman"/>
          <w:sz w:val="18"/>
          <w:szCs w:val="18"/>
          <w:lang w:eastAsia="zh-CN"/>
        </w:rPr>
        <w:t>“</w:t>
      </w:r>
      <w:r>
        <w:rPr>
          <w:rFonts w:hint="default" w:ascii="Times New Roman" w:hAnsi="Times New Roman" w:eastAsia="宋体" w:cs="Times New Roman"/>
          <w:sz w:val="18"/>
          <w:szCs w:val="18"/>
        </w:rPr>
        <w:t>双轮驱动</w:t>
      </w:r>
      <w:r>
        <w:rPr>
          <w:rFonts w:hint="eastAsia" w:cs="Times New Roman"/>
          <w:sz w:val="18"/>
          <w:szCs w:val="18"/>
          <w:lang w:eastAsia="zh-CN"/>
        </w:rPr>
        <w:t>”</w:t>
      </w:r>
      <w:r>
        <w:rPr>
          <w:rFonts w:hint="default" w:ascii="Times New Roman" w:hAnsi="Times New Roman" w:eastAsia="宋体" w:cs="Times New Roman"/>
          <w:sz w:val="18"/>
          <w:szCs w:val="18"/>
        </w:rPr>
        <w:t>的营销体系，对内强化专业营销团队能力建设，聚焦临床问题解决等核心技能培训，增加市场部人员和力量，优化销售团队的人员布局，使销售管理更加精细化、市场和品牌管理更加区域化；对外优化经销商合作机制，通过资源整合与目标协同提升终端服务效率，形成</w:t>
      </w:r>
      <w:r>
        <w:rPr>
          <w:rFonts w:hint="eastAsia" w:cs="Times New Roman"/>
          <w:sz w:val="18"/>
          <w:szCs w:val="18"/>
          <w:lang w:eastAsia="zh-CN"/>
        </w:rPr>
        <w:t>“</w:t>
      </w:r>
      <w:r>
        <w:rPr>
          <w:rFonts w:hint="default" w:ascii="Times New Roman" w:hAnsi="Times New Roman" w:eastAsia="宋体" w:cs="Times New Roman"/>
          <w:sz w:val="18"/>
          <w:szCs w:val="18"/>
        </w:rPr>
        <w:t>内部精耕+外部聚力</w:t>
      </w:r>
      <w:r>
        <w:rPr>
          <w:rFonts w:hint="eastAsia" w:cs="Times New Roman"/>
          <w:sz w:val="18"/>
          <w:szCs w:val="18"/>
          <w:lang w:eastAsia="zh-CN"/>
        </w:rPr>
        <w:t>”</w:t>
      </w:r>
      <w:r>
        <w:rPr>
          <w:rFonts w:hint="default" w:ascii="Times New Roman" w:hAnsi="Times New Roman" w:eastAsia="宋体" w:cs="Times New Roman"/>
          <w:sz w:val="18"/>
          <w:szCs w:val="18"/>
        </w:rPr>
        <w:t>的增长合力，深入经销商的销售一线进行培训指导，有效贯彻年度市场策略并保证落实效果；第三，继续下沉终端，强化并传递医保和1类新药属性的价值：加大腰部城市的覆盖力度，并开始开拓县域市场；依托已建立的省级三甲学术标杆医院，构建向市级二三级医院、县医院延伸的价值传递网络，通过参与医学会、专业基金会等学术活动，实现</w:t>
      </w:r>
      <w:r>
        <w:rPr>
          <w:rFonts w:hint="eastAsia" w:cs="Times New Roman"/>
          <w:sz w:val="18"/>
          <w:szCs w:val="18"/>
          <w:lang w:eastAsia="zh-CN"/>
        </w:rPr>
        <w:t>“</w:t>
      </w:r>
      <w:r>
        <w:rPr>
          <w:rFonts w:hint="default" w:ascii="Times New Roman" w:hAnsi="Times New Roman" w:eastAsia="宋体" w:cs="Times New Roman"/>
          <w:sz w:val="18"/>
          <w:szCs w:val="18"/>
        </w:rPr>
        <w:t>由上至下</w:t>
      </w:r>
      <w:r>
        <w:rPr>
          <w:rFonts w:hint="eastAsia" w:cs="Times New Roman"/>
          <w:sz w:val="18"/>
          <w:szCs w:val="18"/>
          <w:lang w:eastAsia="zh-CN"/>
        </w:rPr>
        <w:t>”</w:t>
      </w:r>
      <w:r>
        <w:rPr>
          <w:rFonts w:hint="default" w:ascii="Times New Roman" w:hAnsi="Times New Roman" w:eastAsia="宋体" w:cs="Times New Roman"/>
          <w:sz w:val="18"/>
          <w:szCs w:val="18"/>
        </w:rPr>
        <w:t>的医学信息有效覆盖，强化基层医生对产品安全性与疗效的认知，夯实差异化竞争壁垒；第四，加强患者连接，创新互联网教育模式：报告期内，公司与头部医疗MCN机构达成战略合作，通过短视频科普、短视频推文等新媒体形式开展患者教育，构建</w:t>
      </w:r>
      <w:r>
        <w:rPr>
          <w:rFonts w:hint="eastAsia" w:cs="Times New Roman"/>
          <w:sz w:val="18"/>
          <w:szCs w:val="18"/>
          <w:lang w:eastAsia="zh-CN"/>
        </w:rPr>
        <w:t>“</w:t>
      </w:r>
      <w:r>
        <w:rPr>
          <w:rFonts w:hint="default" w:ascii="Times New Roman" w:hAnsi="Times New Roman" w:eastAsia="宋体" w:cs="Times New Roman"/>
          <w:sz w:val="18"/>
          <w:szCs w:val="18"/>
        </w:rPr>
        <w:t>医院-医生-患者</w:t>
      </w:r>
      <w:r>
        <w:rPr>
          <w:rFonts w:hint="eastAsia" w:cs="Times New Roman"/>
          <w:sz w:val="18"/>
          <w:szCs w:val="18"/>
          <w:lang w:eastAsia="zh-CN"/>
        </w:rPr>
        <w:t>”</w:t>
      </w:r>
      <w:r>
        <w:rPr>
          <w:rFonts w:hint="default" w:ascii="Times New Roman" w:hAnsi="Times New Roman" w:eastAsia="宋体" w:cs="Times New Roman"/>
          <w:sz w:val="18"/>
          <w:szCs w:val="18"/>
        </w:rPr>
        <w:t>线上教育生态，提升患者认知与用药依从性，推动治疗场景的延伸覆盖。公司将进一步做好销售规划，加大市场拓展力度，适应外部经营环境变化，不断提高市场占有率。</w:t>
      </w:r>
    </w:p>
    <w:p w14:paraId="541E10D5">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31" w:name="_Toc988905"/>
      <w:bookmarkStart w:id="32" w:name="_Toc11246"/>
      <w:r>
        <w:rPr>
          <w:rFonts w:hint="default" w:ascii="Times New Roman" w:hAnsi="Times New Roman" w:eastAsia="宋体" w:cs="Times New Roman"/>
          <w:b/>
          <w:bCs/>
          <w:sz w:val="24"/>
          <w:szCs w:val="24"/>
        </w:rPr>
        <w:t>四、主营业务分析</w:t>
      </w:r>
      <w:bookmarkEnd w:id="31"/>
      <w:bookmarkEnd w:id="32"/>
    </w:p>
    <w:p w14:paraId="02BCB36F">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33" w:name="_Toc988906"/>
      <w:r>
        <w:rPr>
          <w:rFonts w:hint="default" w:ascii="Times New Roman" w:hAnsi="Times New Roman" w:eastAsia="宋体" w:cs="Times New Roman"/>
          <w:b/>
          <w:bCs/>
          <w:sz w:val="21"/>
          <w:szCs w:val="21"/>
        </w:rPr>
        <w:t>1、概述</w:t>
      </w:r>
      <w:bookmarkEnd w:id="33"/>
    </w:p>
    <w:p w14:paraId="15EFDFA4">
      <w:pPr>
        <w:pStyle w:val="6"/>
        <w:keepNext w:val="0"/>
        <w:keepLines w:val="0"/>
        <w:widowControl/>
        <w:suppressLineNumbers w:val="0"/>
        <w:ind w:left="0" w:right="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参见</w:t>
      </w:r>
      <w:r>
        <w:rPr>
          <w:rFonts w:hint="eastAsia" w:cs="Times New Roman"/>
          <w:sz w:val="18"/>
          <w:szCs w:val="18"/>
          <w:lang w:eastAsia="zh-CN"/>
        </w:rPr>
        <w:t>“</w:t>
      </w:r>
      <w:r>
        <w:rPr>
          <w:rFonts w:hint="default" w:ascii="Times New Roman" w:hAnsi="Times New Roman" w:eastAsia="宋体" w:cs="Times New Roman"/>
          <w:sz w:val="18"/>
          <w:szCs w:val="18"/>
        </w:rPr>
        <w:t>第三节 管理层讨论与分析</w:t>
      </w:r>
      <w:r>
        <w:rPr>
          <w:rFonts w:hint="eastAsia" w:cs="Times New Roman"/>
          <w:sz w:val="18"/>
          <w:szCs w:val="18"/>
          <w:lang w:eastAsia="zh-CN"/>
        </w:rPr>
        <w:t>”</w:t>
      </w:r>
      <w:r>
        <w:rPr>
          <w:rFonts w:hint="default" w:ascii="Times New Roman" w:hAnsi="Times New Roman" w:eastAsia="宋体" w:cs="Times New Roman"/>
          <w:sz w:val="18"/>
          <w:szCs w:val="18"/>
        </w:rPr>
        <w:t>中</w:t>
      </w:r>
      <w:r>
        <w:rPr>
          <w:rFonts w:hint="eastAsia" w:cs="Times New Roman"/>
          <w:sz w:val="18"/>
          <w:szCs w:val="18"/>
          <w:lang w:eastAsia="zh-CN"/>
        </w:rPr>
        <w:t>“</w:t>
      </w:r>
      <w:r>
        <w:rPr>
          <w:rFonts w:hint="default" w:ascii="Times New Roman" w:hAnsi="Times New Roman" w:eastAsia="宋体" w:cs="Times New Roman"/>
          <w:sz w:val="18"/>
          <w:szCs w:val="18"/>
        </w:rPr>
        <w:t>一、报告期内公司从事的主要业务</w:t>
      </w:r>
      <w:r>
        <w:rPr>
          <w:rFonts w:hint="eastAsia" w:cs="Times New Roman"/>
          <w:sz w:val="18"/>
          <w:szCs w:val="18"/>
          <w:lang w:eastAsia="zh-CN"/>
        </w:rPr>
        <w:t>”</w:t>
      </w:r>
      <w:r>
        <w:rPr>
          <w:rFonts w:hint="default" w:ascii="Times New Roman" w:hAnsi="Times New Roman" w:eastAsia="宋体" w:cs="Times New Roman"/>
          <w:sz w:val="18"/>
          <w:szCs w:val="18"/>
        </w:rPr>
        <w:t>相关内容。</w:t>
      </w:r>
    </w:p>
    <w:p w14:paraId="7175532E">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34" w:name="_Toc988907"/>
      <w:r>
        <w:rPr>
          <w:rFonts w:hint="default" w:ascii="Times New Roman" w:hAnsi="Times New Roman" w:eastAsia="宋体" w:cs="Times New Roman"/>
          <w:b/>
          <w:bCs/>
          <w:sz w:val="21"/>
          <w:szCs w:val="21"/>
        </w:rPr>
        <w:t>2、收入与成本</w:t>
      </w:r>
      <w:bookmarkEnd w:id="34"/>
    </w:p>
    <w:p w14:paraId="76880895">
      <w:pPr>
        <w:keepNext/>
        <w:keepLines/>
        <w:spacing w:before="300" w:after="300" w:line="280" w:lineRule="exact"/>
        <w:jc w:val="left"/>
        <w:outlineLvl w:val="3"/>
        <w:rPr>
          <w:rFonts w:hint="default" w:ascii="Times New Roman" w:hAnsi="Times New Roman" w:eastAsia="宋体" w:cs="Times New Roman"/>
          <w:b/>
          <w:bCs/>
          <w:sz w:val="21"/>
          <w:szCs w:val="21"/>
        </w:rPr>
      </w:pPr>
      <w:bookmarkStart w:id="35" w:name="_Toc988908"/>
      <w:r>
        <w:rPr>
          <w:rFonts w:hint="default" w:ascii="Times New Roman" w:hAnsi="Times New Roman" w:eastAsia="宋体" w:cs="Times New Roman"/>
          <w:b/>
          <w:bCs/>
          <w:sz w:val="21"/>
          <w:szCs w:val="21"/>
        </w:rPr>
        <w:t>（1） 营业收入构成</w:t>
      </w:r>
      <w:bookmarkEnd w:id="35"/>
    </w:p>
    <w:p w14:paraId="0E5DF154">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营业收入整体情况</w:t>
      </w:r>
    </w:p>
    <w:p w14:paraId="46F94F59">
      <w:pPr>
        <w:spacing w:before="40" w:after="4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20E69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0AB9D99">
            <w:pPr>
              <w:rPr>
                <w:rFonts w:hint="default" w:ascii="Times New Roman" w:hAnsi="Times New Roman" w:cs="Times New Roman"/>
              </w:rPr>
            </w:pP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823AF0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33980B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83652C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同比增减</w:t>
            </w:r>
          </w:p>
        </w:tc>
      </w:tr>
      <w:tr w14:paraId="791D8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42D1B9B">
            <w:pPr>
              <w:rPr>
                <w:rFonts w:hint="default" w:ascii="Times New Roman" w:hAnsi="Times New Roman" w:cs="Times New Roman"/>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F20317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B88D15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占营业收入比重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6C189F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637480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占营业收入比重</w:t>
            </w: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6FE3390">
            <w:pPr>
              <w:rPr>
                <w:rFonts w:hint="default" w:ascii="Times New Roman" w:hAnsi="Times New Roman" w:cs="Times New Roman"/>
              </w:rPr>
            </w:pPr>
          </w:p>
        </w:tc>
      </w:tr>
      <w:tr w14:paraId="33F2D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A407A93">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营业收入合计</w:t>
            </w:r>
          </w:p>
        </w:tc>
        <w:tc>
          <w:tcPr>
            <w:tcW w:w="1606" w:type="dxa"/>
            <w:tcBorders>
              <w:top w:val="single" w:color="auto" w:sz="2" w:space="0"/>
              <w:left w:val="single" w:color="auto" w:sz="2" w:space="0"/>
              <w:bottom w:val="single" w:color="auto" w:sz="2" w:space="0"/>
              <w:right w:val="single" w:color="auto" w:sz="2" w:space="0"/>
            </w:tcBorders>
            <w:vAlign w:val="center"/>
          </w:tcPr>
          <w:p w14:paraId="0D59EC9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387,749,767.90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BA60C89">
            <w:pPr>
              <w:spacing w:before="40" w:after="40" w:line="240" w:lineRule="exact"/>
              <w:jc w:val="right"/>
              <w:rPr>
                <w:rFonts w:hint="default" w:ascii="Times New Roman" w:hAnsi="Times New Roman" w:eastAsia="宋体" w:cs="Times New Roman"/>
                <w:sz w:val="18"/>
                <w:szCs w:val="18"/>
                <w:shd w:val="clear" w:color="auto" w:fill="D3D3D3"/>
              </w:rPr>
            </w:pPr>
            <w:r>
              <w:rPr>
                <w:rFonts w:hint="default" w:ascii="Times New Roman" w:hAnsi="Times New Roman" w:eastAsia="宋体" w:cs="Times New Roman"/>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14:paraId="6F82FAB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377,483,103.80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3C5B17F">
            <w:pPr>
              <w:spacing w:before="40" w:after="40" w:line="240" w:lineRule="exact"/>
              <w:jc w:val="right"/>
              <w:rPr>
                <w:rFonts w:hint="default" w:ascii="Times New Roman" w:hAnsi="Times New Roman" w:eastAsia="宋体" w:cs="Times New Roman"/>
                <w:sz w:val="18"/>
                <w:szCs w:val="18"/>
                <w:shd w:val="clear" w:color="auto" w:fill="D3D3D3"/>
              </w:rPr>
            </w:pPr>
            <w:r>
              <w:rPr>
                <w:rFonts w:hint="default" w:ascii="Times New Roman" w:hAnsi="Times New Roman" w:eastAsia="宋体" w:cs="Times New Roman"/>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14:paraId="198070D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2.72%</w:t>
            </w:r>
          </w:p>
        </w:tc>
      </w:tr>
      <w:tr w14:paraId="38C66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70B3EFA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分行业</w:t>
            </w:r>
          </w:p>
        </w:tc>
      </w:tr>
      <w:tr w14:paraId="2BABF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23DF20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医疗器械</w:t>
            </w:r>
          </w:p>
        </w:tc>
        <w:tc>
          <w:tcPr>
            <w:tcW w:w="1606" w:type="dxa"/>
            <w:tcBorders>
              <w:top w:val="single" w:color="auto" w:sz="2" w:space="0"/>
              <w:left w:val="single" w:color="auto" w:sz="2" w:space="0"/>
              <w:bottom w:val="single" w:color="auto" w:sz="2" w:space="0"/>
              <w:right w:val="single" w:color="auto" w:sz="2" w:space="0"/>
            </w:tcBorders>
            <w:vAlign w:val="center"/>
          </w:tcPr>
          <w:p w14:paraId="13CBEB9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283,283,972.07</w:t>
            </w:r>
          </w:p>
        </w:tc>
        <w:tc>
          <w:tcPr>
            <w:tcW w:w="1606" w:type="dxa"/>
            <w:tcBorders>
              <w:top w:val="single" w:color="auto" w:sz="2" w:space="0"/>
              <w:left w:val="single" w:color="auto" w:sz="2" w:space="0"/>
              <w:bottom w:val="single" w:color="auto" w:sz="2" w:space="0"/>
              <w:right w:val="single" w:color="auto" w:sz="2" w:space="0"/>
            </w:tcBorders>
            <w:vAlign w:val="center"/>
          </w:tcPr>
          <w:p w14:paraId="263312C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73.05%</w:t>
            </w:r>
          </w:p>
        </w:tc>
        <w:tc>
          <w:tcPr>
            <w:tcW w:w="1606" w:type="dxa"/>
            <w:tcBorders>
              <w:top w:val="single" w:color="auto" w:sz="2" w:space="0"/>
              <w:left w:val="single" w:color="auto" w:sz="2" w:space="0"/>
              <w:bottom w:val="single" w:color="auto" w:sz="2" w:space="0"/>
              <w:right w:val="single" w:color="auto" w:sz="2" w:space="0"/>
            </w:tcBorders>
            <w:vAlign w:val="center"/>
          </w:tcPr>
          <w:p w14:paraId="729E3D9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287,028,488.79</w:t>
            </w:r>
          </w:p>
        </w:tc>
        <w:tc>
          <w:tcPr>
            <w:tcW w:w="1606" w:type="dxa"/>
            <w:tcBorders>
              <w:top w:val="single" w:color="auto" w:sz="2" w:space="0"/>
              <w:left w:val="single" w:color="auto" w:sz="2" w:space="0"/>
              <w:bottom w:val="single" w:color="auto" w:sz="2" w:space="0"/>
              <w:right w:val="single" w:color="auto" w:sz="2" w:space="0"/>
            </w:tcBorders>
            <w:vAlign w:val="center"/>
          </w:tcPr>
          <w:p w14:paraId="0C3977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76.04%</w:t>
            </w:r>
          </w:p>
        </w:tc>
        <w:tc>
          <w:tcPr>
            <w:tcW w:w="1606" w:type="dxa"/>
            <w:tcBorders>
              <w:top w:val="single" w:color="auto" w:sz="2" w:space="0"/>
              <w:left w:val="single" w:color="auto" w:sz="2" w:space="0"/>
              <w:bottom w:val="single" w:color="auto" w:sz="2" w:space="0"/>
              <w:right w:val="single" w:color="auto" w:sz="2" w:space="0"/>
            </w:tcBorders>
            <w:vAlign w:val="center"/>
          </w:tcPr>
          <w:p w14:paraId="7585AD1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-1.30%</w:t>
            </w:r>
          </w:p>
        </w:tc>
      </w:tr>
      <w:tr w14:paraId="294DF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665794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药品</w:t>
            </w:r>
          </w:p>
        </w:tc>
        <w:tc>
          <w:tcPr>
            <w:tcW w:w="1606" w:type="dxa"/>
            <w:tcBorders>
              <w:top w:val="single" w:color="auto" w:sz="2" w:space="0"/>
              <w:left w:val="single" w:color="auto" w:sz="2" w:space="0"/>
              <w:bottom w:val="single" w:color="auto" w:sz="2" w:space="0"/>
              <w:right w:val="single" w:color="auto" w:sz="2" w:space="0"/>
            </w:tcBorders>
            <w:vAlign w:val="center"/>
          </w:tcPr>
          <w:p w14:paraId="5648450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57,875,163.56</w:t>
            </w:r>
          </w:p>
        </w:tc>
        <w:tc>
          <w:tcPr>
            <w:tcW w:w="1606" w:type="dxa"/>
            <w:tcBorders>
              <w:top w:val="single" w:color="auto" w:sz="2" w:space="0"/>
              <w:left w:val="single" w:color="auto" w:sz="2" w:space="0"/>
              <w:bottom w:val="single" w:color="auto" w:sz="2" w:space="0"/>
              <w:right w:val="single" w:color="auto" w:sz="2" w:space="0"/>
            </w:tcBorders>
            <w:vAlign w:val="center"/>
          </w:tcPr>
          <w:p w14:paraId="1620143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14.93%</w:t>
            </w:r>
          </w:p>
        </w:tc>
        <w:tc>
          <w:tcPr>
            <w:tcW w:w="1606" w:type="dxa"/>
            <w:tcBorders>
              <w:top w:val="single" w:color="auto" w:sz="2" w:space="0"/>
              <w:left w:val="single" w:color="auto" w:sz="2" w:space="0"/>
              <w:bottom w:val="single" w:color="auto" w:sz="2" w:space="0"/>
              <w:right w:val="single" w:color="auto" w:sz="2" w:space="0"/>
            </w:tcBorders>
            <w:vAlign w:val="center"/>
          </w:tcPr>
          <w:p w14:paraId="16059F7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37,005,568.41</w:t>
            </w:r>
          </w:p>
        </w:tc>
        <w:tc>
          <w:tcPr>
            <w:tcW w:w="1606" w:type="dxa"/>
            <w:tcBorders>
              <w:top w:val="single" w:color="auto" w:sz="2" w:space="0"/>
              <w:left w:val="single" w:color="auto" w:sz="2" w:space="0"/>
              <w:bottom w:val="single" w:color="auto" w:sz="2" w:space="0"/>
              <w:right w:val="single" w:color="auto" w:sz="2" w:space="0"/>
            </w:tcBorders>
            <w:vAlign w:val="center"/>
          </w:tcPr>
          <w:p w14:paraId="5CD8C84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9.80%</w:t>
            </w:r>
          </w:p>
        </w:tc>
        <w:tc>
          <w:tcPr>
            <w:tcW w:w="1606" w:type="dxa"/>
            <w:tcBorders>
              <w:top w:val="single" w:color="auto" w:sz="2" w:space="0"/>
              <w:left w:val="single" w:color="auto" w:sz="2" w:space="0"/>
              <w:bottom w:val="single" w:color="auto" w:sz="2" w:space="0"/>
              <w:right w:val="single" w:color="auto" w:sz="2" w:space="0"/>
            </w:tcBorders>
            <w:vAlign w:val="center"/>
          </w:tcPr>
          <w:p w14:paraId="5CE7501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56.40%</w:t>
            </w:r>
          </w:p>
        </w:tc>
      </w:tr>
      <w:tr w14:paraId="644B5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6BB815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租赁及其他</w:t>
            </w:r>
          </w:p>
        </w:tc>
        <w:tc>
          <w:tcPr>
            <w:tcW w:w="1606" w:type="dxa"/>
            <w:tcBorders>
              <w:top w:val="single" w:color="auto" w:sz="2" w:space="0"/>
              <w:left w:val="single" w:color="auto" w:sz="2" w:space="0"/>
              <w:bottom w:val="single" w:color="auto" w:sz="2" w:space="0"/>
              <w:right w:val="single" w:color="auto" w:sz="2" w:space="0"/>
            </w:tcBorders>
            <w:vAlign w:val="center"/>
          </w:tcPr>
          <w:p w14:paraId="75676EA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46,590,632.27</w:t>
            </w:r>
          </w:p>
        </w:tc>
        <w:tc>
          <w:tcPr>
            <w:tcW w:w="1606" w:type="dxa"/>
            <w:tcBorders>
              <w:top w:val="single" w:color="auto" w:sz="2" w:space="0"/>
              <w:left w:val="single" w:color="auto" w:sz="2" w:space="0"/>
              <w:bottom w:val="single" w:color="auto" w:sz="2" w:space="0"/>
              <w:right w:val="single" w:color="auto" w:sz="2" w:space="0"/>
            </w:tcBorders>
            <w:vAlign w:val="center"/>
          </w:tcPr>
          <w:p w14:paraId="0C35422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12.02%</w:t>
            </w:r>
          </w:p>
        </w:tc>
        <w:tc>
          <w:tcPr>
            <w:tcW w:w="1606" w:type="dxa"/>
            <w:tcBorders>
              <w:top w:val="single" w:color="auto" w:sz="2" w:space="0"/>
              <w:left w:val="single" w:color="auto" w:sz="2" w:space="0"/>
              <w:bottom w:val="single" w:color="auto" w:sz="2" w:space="0"/>
              <w:right w:val="single" w:color="auto" w:sz="2" w:space="0"/>
            </w:tcBorders>
            <w:vAlign w:val="center"/>
          </w:tcPr>
          <w:p w14:paraId="61AB4AC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53,449,046.60</w:t>
            </w:r>
          </w:p>
        </w:tc>
        <w:tc>
          <w:tcPr>
            <w:tcW w:w="1606" w:type="dxa"/>
            <w:tcBorders>
              <w:top w:val="single" w:color="auto" w:sz="2" w:space="0"/>
              <w:left w:val="single" w:color="auto" w:sz="2" w:space="0"/>
              <w:bottom w:val="single" w:color="auto" w:sz="2" w:space="0"/>
              <w:right w:val="single" w:color="auto" w:sz="2" w:space="0"/>
            </w:tcBorders>
            <w:vAlign w:val="center"/>
          </w:tcPr>
          <w:p w14:paraId="73E428E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14.16%</w:t>
            </w:r>
          </w:p>
        </w:tc>
        <w:tc>
          <w:tcPr>
            <w:tcW w:w="1606" w:type="dxa"/>
            <w:tcBorders>
              <w:top w:val="single" w:color="auto" w:sz="2" w:space="0"/>
              <w:left w:val="single" w:color="auto" w:sz="2" w:space="0"/>
              <w:bottom w:val="single" w:color="auto" w:sz="2" w:space="0"/>
              <w:right w:val="single" w:color="auto" w:sz="2" w:space="0"/>
            </w:tcBorders>
            <w:vAlign w:val="center"/>
          </w:tcPr>
          <w:p w14:paraId="5F13B5C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-12.83%</w:t>
            </w:r>
          </w:p>
        </w:tc>
      </w:tr>
      <w:tr w14:paraId="0B4B4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5C94961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分产品</w:t>
            </w:r>
          </w:p>
        </w:tc>
      </w:tr>
      <w:tr w14:paraId="21680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261E36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生物型硬脑（脊）膜补片</w:t>
            </w:r>
          </w:p>
        </w:tc>
        <w:tc>
          <w:tcPr>
            <w:tcW w:w="1606" w:type="dxa"/>
            <w:tcBorders>
              <w:top w:val="single" w:color="auto" w:sz="2" w:space="0"/>
              <w:left w:val="single" w:color="auto" w:sz="2" w:space="0"/>
              <w:bottom w:val="single" w:color="auto" w:sz="2" w:space="0"/>
              <w:right w:val="single" w:color="auto" w:sz="2" w:space="0"/>
            </w:tcBorders>
            <w:vAlign w:val="center"/>
          </w:tcPr>
          <w:p w14:paraId="3D6FE90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67,548,430.00</w:t>
            </w:r>
          </w:p>
        </w:tc>
        <w:tc>
          <w:tcPr>
            <w:tcW w:w="1606" w:type="dxa"/>
            <w:tcBorders>
              <w:top w:val="single" w:color="auto" w:sz="2" w:space="0"/>
              <w:left w:val="single" w:color="auto" w:sz="2" w:space="0"/>
              <w:bottom w:val="single" w:color="auto" w:sz="2" w:space="0"/>
              <w:right w:val="single" w:color="auto" w:sz="2" w:space="0"/>
            </w:tcBorders>
            <w:vAlign w:val="center"/>
          </w:tcPr>
          <w:p w14:paraId="26C14F9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17.42%</w:t>
            </w:r>
          </w:p>
        </w:tc>
        <w:tc>
          <w:tcPr>
            <w:tcW w:w="1606" w:type="dxa"/>
            <w:tcBorders>
              <w:top w:val="single" w:color="auto" w:sz="2" w:space="0"/>
              <w:left w:val="single" w:color="auto" w:sz="2" w:space="0"/>
              <w:bottom w:val="single" w:color="auto" w:sz="2" w:space="0"/>
              <w:right w:val="single" w:color="auto" w:sz="2" w:space="0"/>
            </w:tcBorders>
            <w:vAlign w:val="center"/>
          </w:tcPr>
          <w:p w14:paraId="148E08C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74,771,668.37</w:t>
            </w:r>
          </w:p>
        </w:tc>
        <w:tc>
          <w:tcPr>
            <w:tcW w:w="1606" w:type="dxa"/>
            <w:tcBorders>
              <w:top w:val="single" w:color="auto" w:sz="2" w:space="0"/>
              <w:left w:val="single" w:color="auto" w:sz="2" w:space="0"/>
              <w:bottom w:val="single" w:color="auto" w:sz="2" w:space="0"/>
              <w:right w:val="single" w:color="auto" w:sz="2" w:space="0"/>
            </w:tcBorders>
            <w:vAlign w:val="center"/>
          </w:tcPr>
          <w:p w14:paraId="5BEF8AA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19.81%</w:t>
            </w:r>
          </w:p>
        </w:tc>
        <w:tc>
          <w:tcPr>
            <w:tcW w:w="1606" w:type="dxa"/>
            <w:tcBorders>
              <w:top w:val="single" w:color="auto" w:sz="2" w:space="0"/>
              <w:left w:val="single" w:color="auto" w:sz="2" w:space="0"/>
              <w:bottom w:val="single" w:color="auto" w:sz="2" w:space="0"/>
              <w:right w:val="single" w:color="auto" w:sz="2" w:space="0"/>
            </w:tcBorders>
            <w:vAlign w:val="center"/>
          </w:tcPr>
          <w:p w14:paraId="320CA13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-9.66%</w:t>
            </w:r>
          </w:p>
        </w:tc>
      </w:tr>
      <w:tr w14:paraId="684FE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48C967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胸普外科修补膜</w:t>
            </w:r>
          </w:p>
        </w:tc>
        <w:tc>
          <w:tcPr>
            <w:tcW w:w="1606" w:type="dxa"/>
            <w:tcBorders>
              <w:top w:val="single" w:color="auto" w:sz="2" w:space="0"/>
              <w:left w:val="single" w:color="auto" w:sz="2" w:space="0"/>
              <w:bottom w:val="single" w:color="auto" w:sz="2" w:space="0"/>
              <w:right w:val="single" w:color="auto" w:sz="2" w:space="0"/>
            </w:tcBorders>
            <w:vAlign w:val="center"/>
          </w:tcPr>
          <w:p w14:paraId="1A0C283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35,816,917.37</w:t>
            </w:r>
          </w:p>
        </w:tc>
        <w:tc>
          <w:tcPr>
            <w:tcW w:w="1606" w:type="dxa"/>
            <w:tcBorders>
              <w:top w:val="single" w:color="auto" w:sz="2" w:space="0"/>
              <w:left w:val="single" w:color="auto" w:sz="2" w:space="0"/>
              <w:bottom w:val="single" w:color="auto" w:sz="2" w:space="0"/>
              <w:right w:val="single" w:color="auto" w:sz="2" w:space="0"/>
            </w:tcBorders>
            <w:vAlign w:val="center"/>
          </w:tcPr>
          <w:p w14:paraId="6648C59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9.24%</w:t>
            </w:r>
          </w:p>
        </w:tc>
        <w:tc>
          <w:tcPr>
            <w:tcW w:w="1606" w:type="dxa"/>
            <w:tcBorders>
              <w:top w:val="single" w:color="auto" w:sz="2" w:space="0"/>
              <w:left w:val="single" w:color="auto" w:sz="2" w:space="0"/>
              <w:bottom w:val="single" w:color="auto" w:sz="2" w:space="0"/>
              <w:right w:val="single" w:color="auto" w:sz="2" w:space="0"/>
            </w:tcBorders>
            <w:vAlign w:val="center"/>
          </w:tcPr>
          <w:p w14:paraId="40183A8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38,986,275.95</w:t>
            </w:r>
          </w:p>
        </w:tc>
        <w:tc>
          <w:tcPr>
            <w:tcW w:w="1606" w:type="dxa"/>
            <w:tcBorders>
              <w:top w:val="single" w:color="auto" w:sz="2" w:space="0"/>
              <w:left w:val="single" w:color="auto" w:sz="2" w:space="0"/>
              <w:bottom w:val="single" w:color="auto" w:sz="2" w:space="0"/>
              <w:right w:val="single" w:color="auto" w:sz="2" w:space="0"/>
            </w:tcBorders>
            <w:vAlign w:val="center"/>
          </w:tcPr>
          <w:p w14:paraId="5C4F6E4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10.33%</w:t>
            </w:r>
          </w:p>
        </w:tc>
        <w:tc>
          <w:tcPr>
            <w:tcW w:w="1606" w:type="dxa"/>
            <w:tcBorders>
              <w:top w:val="single" w:color="auto" w:sz="2" w:space="0"/>
              <w:left w:val="single" w:color="auto" w:sz="2" w:space="0"/>
              <w:bottom w:val="single" w:color="auto" w:sz="2" w:space="0"/>
              <w:right w:val="single" w:color="auto" w:sz="2" w:space="0"/>
            </w:tcBorders>
            <w:vAlign w:val="center"/>
          </w:tcPr>
          <w:p w14:paraId="21E1774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-8.13%</w:t>
            </w:r>
          </w:p>
        </w:tc>
      </w:tr>
      <w:tr w14:paraId="53872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E4A686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B型硬脑（脊）膜补片</w:t>
            </w:r>
          </w:p>
        </w:tc>
        <w:tc>
          <w:tcPr>
            <w:tcW w:w="1606" w:type="dxa"/>
            <w:tcBorders>
              <w:top w:val="single" w:color="auto" w:sz="2" w:space="0"/>
              <w:left w:val="single" w:color="auto" w:sz="2" w:space="0"/>
              <w:bottom w:val="single" w:color="auto" w:sz="2" w:space="0"/>
              <w:right w:val="single" w:color="auto" w:sz="2" w:space="0"/>
            </w:tcBorders>
            <w:vAlign w:val="center"/>
          </w:tcPr>
          <w:p w14:paraId="7CC42D9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74,021,246.82</w:t>
            </w:r>
          </w:p>
        </w:tc>
        <w:tc>
          <w:tcPr>
            <w:tcW w:w="1606" w:type="dxa"/>
            <w:tcBorders>
              <w:top w:val="single" w:color="auto" w:sz="2" w:space="0"/>
              <w:left w:val="single" w:color="auto" w:sz="2" w:space="0"/>
              <w:bottom w:val="single" w:color="auto" w:sz="2" w:space="0"/>
              <w:right w:val="single" w:color="auto" w:sz="2" w:space="0"/>
            </w:tcBorders>
            <w:vAlign w:val="center"/>
          </w:tcPr>
          <w:p w14:paraId="181818C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19.09%</w:t>
            </w:r>
          </w:p>
        </w:tc>
        <w:tc>
          <w:tcPr>
            <w:tcW w:w="1606" w:type="dxa"/>
            <w:tcBorders>
              <w:top w:val="single" w:color="auto" w:sz="2" w:space="0"/>
              <w:left w:val="single" w:color="auto" w:sz="2" w:space="0"/>
              <w:bottom w:val="single" w:color="auto" w:sz="2" w:space="0"/>
              <w:right w:val="single" w:color="auto" w:sz="2" w:space="0"/>
            </w:tcBorders>
            <w:vAlign w:val="center"/>
          </w:tcPr>
          <w:p w14:paraId="0657901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72,141,941.51</w:t>
            </w:r>
          </w:p>
        </w:tc>
        <w:tc>
          <w:tcPr>
            <w:tcW w:w="1606" w:type="dxa"/>
            <w:tcBorders>
              <w:top w:val="single" w:color="auto" w:sz="2" w:space="0"/>
              <w:left w:val="single" w:color="auto" w:sz="2" w:space="0"/>
              <w:bottom w:val="single" w:color="auto" w:sz="2" w:space="0"/>
              <w:right w:val="single" w:color="auto" w:sz="2" w:space="0"/>
            </w:tcBorders>
            <w:vAlign w:val="center"/>
          </w:tcPr>
          <w:p w14:paraId="25EC17A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19.11%</w:t>
            </w:r>
          </w:p>
        </w:tc>
        <w:tc>
          <w:tcPr>
            <w:tcW w:w="1606" w:type="dxa"/>
            <w:tcBorders>
              <w:top w:val="single" w:color="auto" w:sz="2" w:space="0"/>
              <w:left w:val="single" w:color="auto" w:sz="2" w:space="0"/>
              <w:bottom w:val="single" w:color="auto" w:sz="2" w:space="0"/>
              <w:right w:val="single" w:color="auto" w:sz="2" w:space="0"/>
            </w:tcBorders>
            <w:vAlign w:val="center"/>
          </w:tcPr>
          <w:p w14:paraId="43E66A9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2.61%</w:t>
            </w:r>
          </w:p>
        </w:tc>
      </w:tr>
      <w:tr w14:paraId="3E891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BAED95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代理品</w:t>
            </w:r>
          </w:p>
        </w:tc>
        <w:tc>
          <w:tcPr>
            <w:tcW w:w="1606" w:type="dxa"/>
            <w:tcBorders>
              <w:top w:val="single" w:color="auto" w:sz="2" w:space="0"/>
              <w:left w:val="single" w:color="auto" w:sz="2" w:space="0"/>
              <w:bottom w:val="single" w:color="auto" w:sz="2" w:space="0"/>
              <w:right w:val="single" w:color="auto" w:sz="2" w:space="0"/>
            </w:tcBorders>
            <w:vAlign w:val="center"/>
          </w:tcPr>
          <w:p w14:paraId="79308DF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97,859,912.20</w:t>
            </w:r>
          </w:p>
        </w:tc>
        <w:tc>
          <w:tcPr>
            <w:tcW w:w="1606" w:type="dxa"/>
            <w:tcBorders>
              <w:top w:val="single" w:color="auto" w:sz="2" w:space="0"/>
              <w:left w:val="single" w:color="auto" w:sz="2" w:space="0"/>
              <w:bottom w:val="single" w:color="auto" w:sz="2" w:space="0"/>
              <w:right w:val="single" w:color="auto" w:sz="2" w:space="0"/>
            </w:tcBorders>
            <w:vAlign w:val="center"/>
          </w:tcPr>
          <w:p w14:paraId="31FBBA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25.23%</w:t>
            </w:r>
          </w:p>
        </w:tc>
        <w:tc>
          <w:tcPr>
            <w:tcW w:w="1606" w:type="dxa"/>
            <w:tcBorders>
              <w:top w:val="single" w:color="auto" w:sz="2" w:space="0"/>
              <w:left w:val="single" w:color="auto" w:sz="2" w:space="0"/>
              <w:bottom w:val="single" w:color="auto" w:sz="2" w:space="0"/>
              <w:right w:val="single" w:color="auto" w:sz="2" w:space="0"/>
            </w:tcBorders>
            <w:vAlign w:val="center"/>
          </w:tcPr>
          <w:p w14:paraId="2AF2AC1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86,691,457.03</w:t>
            </w:r>
          </w:p>
        </w:tc>
        <w:tc>
          <w:tcPr>
            <w:tcW w:w="1606" w:type="dxa"/>
            <w:tcBorders>
              <w:top w:val="single" w:color="auto" w:sz="2" w:space="0"/>
              <w:left w:val="single" w:color="auto" w:sz="2" w:space="0"/>
              <w:bottom w:val="single" w:color="auto" w:sz="2" w:space="0"/>
              <w:right w:val="single" w:color="auto" w:sz="2" w:space="0"/>
            </w:tcBorders>
            <w:vAlign w:val="center"/>
          </w:tcPr>
          <w:p w14:paraId="0B7F6C4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22.97%</w:t>
            </w:r>
          </w:p>
        </w:tc>
        <w:tc>
          <w:tcPr>
            <w:tcW w:w="1606" w:type="dxa"/>
            <w:tcBorders>
              <w:top w:val="single" w:color="auto" w:sz="2" w:space="0"/>
              <w:left w:val="single" w:color="auto" w:sz="2" w:space="0"/>
              <w:bottom w:val="single" w:color="auto" w:sz="2" w:space="0"/>
              <w:right w:val="single" w:color="auto" w:sz="2" w:space="0"/>
            </w:tcBorders>
            <w:vAlign w:val="center"/>
          </w:tcPr>
          <w:p w14:paraId="6D63E57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12.88%</w:t>
            </w:r>
          </w:p>
        </w:tc>
      </w:tr>
      <w:tr w14:paraId="2B6DA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DF351A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其他医疗器械</w:t>
            </w:r>
          </w:p>
        </w:tc>
        <w:tc>
          <w:tcPr>
            <w:tcW w:w="1606" w:type="dxa"/>
            <w:tcBorders>
              <w:top w:val="single" w:color="auto" w:sz="2" w:space="0"/>
              <w:left w:val="single" w:color="auto" w:sz="2" w:space="0"/>
              <w:bottom w:val="single" w:color="auto" w:sz="2" w:space="0"/>
              <w:right w:val="single" w:color="auto" w:sz="2" w:space="0"/>
            </w:tcBorders>
            <w:vAlign w:val="center"/>
          </w:tcPr>
          <w:p w14:paraId="39BCC92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8,037,465.68</w:t>
            </w:r>
          </w:p>
        </w:tc>
        <w:tc>
          <w:tcPr>
            <w:tcW w:w="1606" w:type="dxa"/>
            <w:tcBorders>
              <w:top w:val="single" w:color="auto" w:sz="2" w:space="0"/>
              <w:left w:val="single" w:color="auto" w:sz="2" w:space="0"/>
              <w:bottom w:val="single" w:color="auto" w:sz="2" w:space="0"/>
              <w:right w:val="single" w:color="auto" w:sz="2" w:space="0"/>
            </w:tcBorders>
            <w:vAlign w:val="center"/>
          </w:tcPr>
          <w:p w14:paraId="6677521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w:t>
            </w:r>
          </w:p>
        </w:tc>
        <w:tc>
          <w:tcPr>
            <w:tcW w:w="1606" w:type="dxa"/>
            <w:tcBorders>
              <w:top w:val="single" w:color="auto" w:sz="2" w:space="0"/>
              <w:left w:val="single" w:color="auto" w:sz="2" w:space="0"/>
              <w:bottom w:val="single" w:color="auto" w:sz="2" w:space="0"/>
              <w:right w:val="single" w:color="auto" w:sz="2" w:space="0"/>
            </w:tcBorders>
            <w:vAlign w:val="center"/>
          </w:tcPr>
          <w:p w14:paraId="71EAEE6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14,437,145.93</w:t>
            </w:r>
          </w:p>
        </w:tc>
        <w:tc>
          <w:tcPr>
            <w:tcW w:w="1606" w:type="dxa"/>
            <w:tcBorders>
              <w:top w:val="single" w:color="auto" w:sz="2" w:space="0"/>
              <w:left w:val="single" w:color="auto" w:sz="2" w:space="0"/>
              <w:bottom w:val="single" w:color="auto" w:sz="2" w:space="0"/>
              <w:right w:val="single" w:color="auto" w:sz="2" w:space="0"/>
            </w:tcBorders>
            <w:vAlign w:val="center"/>
          </w:tcPr>
          <w:p w14:paraId="22D40DF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3.82%</w:t>
            </w:r>
          </w:p>
        </w:tc>
        <w:tc>
          <w:tcPr>
            <w:tcW w:w="1606" w:type="dxa"/>
            <w:tcBorders>
              <w:top w:val="single" w:color="auto" w:sz="2" w:space="0"/>
              <w:left w:val="single" w:color="auto" w:sz="2" w:space="0"/>
              <w:bottom w:val="single" w:color="auto" w:sz="2" w:space="0"/>
              <w:right w:val="single" w:color="auto" w:sz="2" w:space="0"/>
            </w:tcBorders>
            <w:vAlign w:val="center"/>
          </w:tcPr>
          <w:p w14:paraId="3B4208C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-44.33%</w:t>
            </w:r>
          </w:p>
        </w:tc>
      </w:tr>
      <w:tr w14:paraId="2EC53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BB596D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细胞技术服务</w:t>
            </w:r>
          </w:p>
        </w:tc>
        <w:tc>
          <w:tcPr>
            <w:tcW w:w="1606" w:type="dxa"/>
            <w:tcBorders>
              <w:top w:val="single" w:color="auto" w:sz="2" w:space="0"/>
              <w:left w:val="single" w:color="auto" w:sz="2" w:space="0"/>
              <w:bottom w:val="single" w:color="auto" w:sz="2" w:space="0"/>
              <w:right w:val="single" w:color="auto" w:sz="2" w:space="0"/>
            </w:tcBorders>
            <w:vAlign w:val="center"/>
          </w:tcPr>
          <w:p w14:paraId="7302C1B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31,685,397.81</w:t>
            </w:r>
          </w:p>
        </w:tc>
        <w:tc>
          <w:tcPr>
            <w:tcW w:w="1606" w:type="dxa"/>
            <w:tcBorders>
              <w:top w:val="single" w:color="auto" w:sz="2" w:space="0"/>
              <w:left w:val="single" w:color="auto" w:sz="2" w:space="0"/>
              <w:bottom w:val="single" w:color="auto" w:sz="2" w:space="0"/>
              <w:right w:val="single" w:color="auto" w:sz="2" w:space="0"/>
            </w:tcBorders>
            <w:vAlign w:val="center"/>
          </w:tcPr>
          <w:p w14:paraId="7F7E494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8.17%</w:t>
            </w:r>
          </w:p>
        </w:tc>
        <w:tc>
          <w:tcPr>
            <w:tcW w:w="1606" w:type="dxa"/>
            <w:tcBorders>
              <w:top w:val="single" w:color="auto" w:sz="2" w:space="0"/>
              <w:left w:val="single" w:color="auto" w:sz="2" w:space="0"/>
              <w:bottom w:val="single" w:color="auto" w:sz="2" w:space="0"/>
              <w:right w:val="single" w:color="auto" w:sz="2" w:space="0"/>
            </w:tcBorders>
            <w:vAlign w:val="center"/>
          </w:tcPr>
          <w:p w14:paraId="731614B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39,483,872.32</w:t>
            </w:r>
          </w:p>
        </w:tc>
        <w:tc>
          <w:tcPr>
            <w:tcW w:w="1606" w:type="dxa"/>
            <w:tcBorders>
              <w:top w:val="single" w:color="auto" w:sz="2" w:space="0"/>
              <w:left w:val="single" w:color="auto" w:sz="2" w:space="0"/>
              <w:bottom w:val="single" w:color="auto" w:sz="2" w:space="0"/>
              <w:right w:val="single" w:color="auto" w:sz="2" w:space="0"/>
            </w:tcBorders>
            <w:vAlign w:val="center"/>
          </w:tcPr>
          <w:p w14:paraId="15C302D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10.46%</w:t>
            </w:r>
          </w:p>
        </w:tc>
        <w:tc>
          <w:tcPr>
            <w:tcW w:w="1606" w:type="dxa"/>
            <w:tcBorders>
              <w:top w:val="single" w:color="auto" w:sz="2" w:space="0"/>
              <w:left w:val="single" w:color="auto" w:sz="2" w:space="0"/>
              <w:bottom w:val="single" w:color="auto" w:sz="2" w:space="0"/>
              <w:right w:val="single" w:color="auto" w:sz="2" w:space="0"/>
            </w:tcBorders>
            <w:vAlign w:val="center"/>
          </w:tcPr>
          <w:p w14:paraId="3B1D480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-19.75%</w:t>
            </w:r>
          </w:p>
        </w:tc>
      </w:tr>
      <w:tr w14:paraId="03301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1771FE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本维莫德</w:t>
            </w:r>
          </w:p>
        </w:tc>
        <w:tc>
          <w:tcPr>
            <w:tcW w:w="1606" w:type="dxa"/>
            <w:tcBorders>
              <w:top w:val="single" w:color="auto" w:sz="2" w:space="0"/>
              <w:left w:val="single" w:color="auto" w:sz="2" w:space="0"/>
              <w:bottom w:val="single" w:color="auto" w:sz="2" w:space="0"/>
              <w:right w:val="single" w:color="auto" w:sz="2" w:space="0"/>
            </w:tcBorders>
            <w:vAlign w:val="center"/>
          </w:tcPr>
          <w:p w14:paraId="7FCA542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57,875,163.56</w:t>
            </w:r>
          </w:p>
        </w:tc>
        <w:tc>
          <w:tcPr>
            <w:tcW w:w="1606" w:type="dxa"/>
            <w:tcBorders>
              <w:top w:val="single" w:color="auto" w:sz="2" w:space="0"/>
              <w:left w:val="single" w:color="auto" w:sz="2" w:space="0"/>
              <w:bottom w:val="single" w:color="auto" w:sz="2" w:space="0"/>
              <w:right w:val="single" w:color="auto" w:sz="2" w:space="0"/>
            </w:tcBorders>
            <w:vAlign w:val="center"/>
          </w:tcPr>
          <w:p w14:paraId="40CD53A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14.93%</w:t>
            </w:r>
          </w:p>
        </w:tc>
        <w:tc>
          <w:tcPr>
            <w:tcW w:w="1606" w:type="dxa"/>
            <w:tcBorders>
              <w:top w:val="single" w:color="auto" w:sz="2" w:space="0"/>
              <w:left w:val="single" w:color="auto" w:sz="2" w:space="0"/>
              <w:bottom w:val="single" w:color="auto" w:sz="2" w:space="0"/>
              <w:right w:val="single" w:color="auto" w:sz="2" w:space="0"/>
            </w:tcBorders>
            <w:vAlign w:val="center"/>
          </w:tcPr>
          <w:p w14:paraId="726839F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37,005,568.41</w:t>
            </w:r>
          </w:p>
        </w:tc>
        <w:tc>
          <w:tcPr>
            <w:tcW w:w="1606" w:type="dxa"/>
            <w:tcBorders>
              <w:top w:val="single" w:color="auto" w:sz="2" w:space="0"/>
              <w:left w:val="single" w:color="auto" w:sz="2" w:space="0"/>
              <w:bottom w:val="single" w:color="auto" w:sz="2" w:space="0"/>
              <w:right w:val="single" w:color="auto" w:sz="2" w:space="0"/>
            </w:tcBorders>
            <w:vAlign w:val="center"/>
          </w:tcPr>
          <w:p w14:paraId="6DCEEB5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9.80%</w:t>
            </w:r>
          </w:p>
        </w:tc>
        <w:tc>
          <w:tcPr>
            <w:tcW w:w="1606" w:type="dxa"/>
            <w:tcBorders>
              <w:top w:val="single" w:color="auto" w:sz="2" w:space="0"/>
              <w:left w:val="single" w:color="auto" w:sz="2" w:space="0"/>
              <w:bottom w:val="single" w:color="auto" w:sz="2" w:space="0"/>
              <w:right w:val="single" w:color="auto" w:sz="2" w:space="0"/>
            </w:tcBorders>
            <w:vAlign w:val="center"/>
          </w:tcPr>
          <w:p w14:paraId="3C42A2F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56.40%</w:t>
            </w:r>
          </w:p>
        </w:tc>
      </w:tr>
      <w:tr w14:paraId="54A73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451C48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租赁及其他</w:t>
            </w:r>
          </w:p>
        </w:tc>
        <w:tc>
          <w:tcPr>
            <w:tcW w:w="1606" w:type="dxa"/>
            <w:tcBorders>
              <w:top w:val="single" w:color="auto" w:sz="2" w:space="0"/>
              <w:left w:val="single" w:color="auto" w:sz="2" w:space="0"/>
              <w:bottom w:val="single" w:color="auto" w:sz="2" w:space="0"/>
              <w:right w:val="single" w:color="auto" w:sz="2" w:space="0"/>
            </w:tcBorders>
            <w:vAlign w:val="center"/>
          </w:tcPr>
          <w:p w14:paraId="1E0B4F3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14,905,234.46</w:t>
            </w:r>
          </w:p>
        </w:tc>
        <w:tc>
          <w:tcPr>
            <w:tcW w:w="1606" w:type="dxa"/>
            <w:tcBorders>
              <w:top w:val="single" w:color="auto" w:sz="2" w:space="0"/>
              <w:left w:val="single" w:color="auto" w:sz="2" w:space="0"/>
              <w:bottom w:val="single" w:color="auto" w:sz="2" w:space="0"/>
              <w:right w:val="single" w:color="auto" w:sz="2" w:space="0"/>
            </w:tcBorders>
            <w:vAlign w:val="center"/>
          </w:tcPr>
          <w:p w14:paraId="6FF080D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3.84%</w:t>
            </w:r>
          </w:p>
        </w:tc>
        <w:tc>
          <w:tcPr>
            <w:tcW w:w="1606" w:type="dxa"/>
            <w:tcBorders>
              <w:top w:val="single" w:color="auto" w:sz="2" w:space="0"/>
              <w:left w:val="single" w:color="auto" w:sz="2" w:space="0"/>
              <w:bottom w:val="single" w:color="auto" w:sz="2" w:space="0"/>
              <w:right w:val="single" w:color="auto" w:sz="2" w:space="0"/>
            </w:tcBorders>
            <w:vAlign w:val="center"/>
          </w:tcPr>
          <w:p w14:paraId="42BFB33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13,965,174.28</w:t>
            </w:r>
          </w:p>
        </w:tc>
        <w:tc>
          <w:tcPr>
            <w:tcW w:w="1606" w:type="dxa"/>
            <w:tcBorders>
              <w:top w:val="single" w:color="auto" w:sz="2" w:space="0"/>
              <w:left w:val="single" w:color="auto" w:sz="2" w:space="0"/>
              <w:bottom w:val="single" w:color="auto" w:sz="2" w:space="0"/>
              <w:right w:val="single" w:color="auto" w:sz="2" w:space="0"/>
            </w:tcBorders>
            <w:vAlign w:val="center"/>
          </w:tcPr>
          <w:p w14:paraId="2073489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24.33%</w:t>
            </w:r>
          </w:p>
        </w:tc>
        <w:tc>
          <w:tcPr>
            <w:tcW w:w="1606" w:type="dxa"/>
            <w:tcBorders>
              <w:top w:val="single" w:color="auto" w:sz="2" w:space="0"/>
              <w:left w:val="single" w:color="auto" w:sz="2" w:space="0"/>
              <w:bottom w:val="single" w:color="auto" w:sz="2" w:space="0"/>
              <w:right w:val="single" w:color="auto" w:sz="2" w:space="0"/>
            </w:tcBorders>
            <w:vAlign w:val="center"/>
          </w:tcPr>
          <w:p w14:paraId="2B0F708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6.73%</w:t>
            </w:r>
          </w:p>
        </w:tc>
      </w:tr>
      <w:tr w14:paraId="46486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7A5C56A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分地区</w:t>
            </w:r>
          </w:p>
        </w:tc>
      </w:tr>
      <w:tr w14:paraId="5C4FA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6226E0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北大区</w:t>
            </w:r>
          </w:p>
        </w:tc>
        <w:tc>
          <w:tcPr>
            <w:tcW w:w="1606" w:type="dxa"/>
            <w:tcBorders>
              <w:top w:val="single" w:color="auto" w:sz="2" w:space="0"/>
              <w:left w:val="single" w:color="auto" w:sz="2" w:space="0"/>
              <w:bottom w:val="single" w:color="auto" w:sz="2" w:space="0"/>
              <w:right w:val="single" w:color="auto" w:sz="2" w:space="0"/>
            </w:tcBorders>
            <w:vAlign w:val="center"/>
          </w:tcPr>
          <w:p w14:paraId="3BFEF55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86,171,616.02</w:t>
            </w:r>
          </w:p>
        </w:tc>
        <w:tc>
          <w:tcPr>
            <w:tcW w:w="1606" w:type="dxa"/>
            <w:tcBorders>
              <w:top w:val="single" w:color="auto" w:sz="2" w:space="0"/>
              <w:left w:val="single" w:color="auto" w:sz="2" w:space="0"/>
              <w:bottom w:val="single" w:color="auto" w:sz="2" w:space="0"/>
              <w:right w:val="single" w:color="auto" w:sz="2" w:space="0"/>
            </w:tcBorders>
            <w:vAlign w:val="center"/>
          </w:tcPr>
          <w:p w14:paraId="39C6F5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22.22%</w:t>
            </w:r>
          </w:p>
        </w:tc>
        <w:tc>
          <w:tcPr>
            <w:tcW w:w="1606" w:type="dxa"/>
            <w:tcBorders>
              <w:top w:val="single" w:color="auto" w:sz="2" w:space="0"/>
              <w:left w:val="single" w:color="auto" w:sz="2" w:space="0"/>
              <w:bottom w:val="single" w:color="auto" w:sz="2" w:space="0"/>
              <w:right w:val="single" w:color="auto" w:sz="2" w:space="0"/>
            </w:tcBorders>
            <w:vAlign w:val="center"/>
          </w:tcPr>
          <w:p w14:paraId="7C6B78B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79,157,006.60</w:t>
            </w:r>
          </w:p>
        </w:tc>
        <w:tc>
          <w:tcPr>
            <w:tcW w:w="1606" w:type="dxa"/>
            <w:tcBorders>
              <w:top w:val="single" w:color="auto" w:sz="2" w:space="0"/>
              <w:left w:val="single" w:color="auto" w:sz="2" w:space="0"/>
              <w:bottom w:val="single" w:color="auto" w:sz="2" w:space="0"/>
              <w:right w:val="single" w:color="auto" w:sz="2" w:space="0"/>
            </w:tcBorders>
            <w:vAlign w:val="center"/>
          </w:tcPr>
          <w:p w14:paraId="71B4DC4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20.97%</w:t>
            </w:r>
          </w:p>
        </w:tc>
        <w:tc>
          <w:tcPr>
            <w:tcW w:w="1606" w:type="dxa"/>
            <w:tcBorders>
              <w:top w:val="single" w:color="auto" w:sz="2" w:space="0"/>
              <w:left w:val="single" w:color="auto" w:sz="2" w:space="0"/>
              <w:bottom w:val="single" w:color="auto" w:sz="2" w:space="0"/>
              <w:right w:val="single" w:color="auto" w:sz="2" w:space="0"/>
            </w:tcBorders>
            <w:vAlign w:val="center"/>
          </w:tcPr>
          <w:p w14:paraId="6702BE9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8.86%</w:t>
            </w:r>
          </w:p>
        </w:tc>
      </w:tr>
      <w:tr w14:paraId="26863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CC7E77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东大区</w:t>
            </w:r>
          </w:p>
        </w:tc>
        <w:tc>
          <w:tcPr>
            <w:tcW w:w="1606" w:type="dxa"/>
            <w:tcBorders>
              <w:top w:val="single" w:color="auto" w:sz="2" w:space="0"/>
              <w:left w:val="single" w:color="auto" w:sz="2" w:space="0"/>
              <w:bottom w:val="single" w:color="auto" w:sz="2" w:space="0"/>
              <w:right w:val="single" w:color="auto" w:sz="2" w:space="0"/>
            </w:tcBorders>
            <w:vAlign w:val="center"/>
          </w:tcPr>
          <w:p w14:paraId="3B74B69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129,535,542.90</w:t>
            </w:r>
          </w:p>
        </w:tc>
        <w:tc>
          <w:tcPr>
            <w:tcW w:w="1606" w:type="dxa"/>
            <w:tcBorders>
              <w:top w:val="single" w:color="auto" w:sz="2" w:space="0"/>
              <w:left w:val="single" w:color="auto" w:sz="2" w:space="0"/>
              <w:bottom w:val="single" w:color="auto" w:sz="2" w:space="0"/>
              <w:right w:val="single" w:color="auto" w:sz="2" w:space="0"/>
            </w:tcBorders>
            <w:vAlign w:val="center"/>
          </w:tcPr>
          <w:p w14:paraId="7DFE506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33.41%</w:t>
            </w:r>
          </w:p>
        </w:tc>
        <w:tc>
          <w:tcPr>
            <w:tcW w:w="1606" w:type="dxa"/>
            <w:tcBorders>
              <w:top w:val="single" w:color="auto" w:sz="2" w:space="0"/>
              <w:left w:val="single" w:color="auto" w:sz="2" w:space="0"/>
              <w:bottom w:val="single" w:color="auto" w:sz="2" w:space="0"/>
              <w:right w:val="single" w:color="auto" w:sz="2" w:space="0"/>
            </w:tcBorders>
            <w:vAlign w:val="center"/>
          </w:tcPr>
          <w:p w14:paraId="6EC2665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136,909,835.50</w:t>
            </w:r>
          </w:p>
        </w:tc>
        <w:tc>
          <w:tcPr>
            <w:tcW w:w="1606" w:type="dxa"/>
            <w:tcBorders>
              <w:top w:val="single" w:color="auto" w:sz="2" w:space="0"/>
              <w:left w:val="single" w:color="auto" w:sz="2" w:space="0"/>
              <w:bottom w:val="single" w:color="auto" w:sz="2" w:space="0"/>
              <w:right w:val="single" w:color="auto" w:sz="2" w:space="0"/>
            </w:tcBorders>
            <w:vAlign w:val="center"/>
          </w:tcPr>
          <w:p w14:paraId="02E0471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36.27%</w:t>
            </w:r>
          </w:p>
        </w:tc>
        <w:tc>
          <w:tcPr>
            <w:tcW w:w="1606" w:type="dxa"/>
            <w:tcBorders>
              <w:top w:val="single" w:color="auto" w:sz="2" w:space="0"/>
              <w:left w:val="single" w:color="auto" w:sz="2" w:space="0"/>
              <w:bottom w:val="single" w:color="auto" w:sz="2" w:space="0"/>
              <w:right w:val="single" w:color="auto" w:sz="2" w:space="0"/>
            </w:tcBorders>
            <w:vAlign w:val="center"/>
          </w:tcPr>
          <w:p w14:paraId="6E6A527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-5.39%</w:t>
            </w:r>
          </w:p>
        </w:tc>
      </w:tr>
      <w:tr w14:paraId="1D202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2408CA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南大区</w:t>
            </w:r>
          </w:p>
        </w:tc>
        <w:tc>
          <w:tcPr>
            <w:tcW w:w="1606" w:type="dxa"/>
            <w:tcBorders>
              <w:top w:val="single" w:color="auto" w:sz="2" w:space="0"/>
              <w:left w:val="single" w:color="auto" w:sz="2" w:space="0"/>
              <w:bottom w:val="single" w:color="auto" w:sz="2" w:space="0"/>
              <w:right w:val="single" w:color="auto" w:sz="2" w:space="0"/>
            </w:tcBorders>
            <w:vAlign w:val="center"/>
          </w:tcPr>
          <w:p w14:paraId="31A0C83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91,413,816.20</w:t>
            </w:r>
          </w:p>
        </w:tc>
        <w:tc>
          <w:tcPr>
            <w:tcW w:w="1606" w:type="dxa"/>
            <w:tcBorders>
              <w:top w:val="single" w:color="auto" w:sz="2" w:space="0"/>
              <w:left w:val="single" w:color="auto" w:sz="2" w:space="0"/>
              <w:bottom w:val="single" w:color="auto" w:sz="2" w:space="0"/>
              <w:right w:val="single" w:color="auto" w:sz="2" w:space="0"/>
            </w:tcBorders>
            <w:vAlign w:val="center"/>
          </w:tcPr>
          <w:p w14:paraId="3F31087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23.58%</w:t>
            </w:r>
          </w:p>
        </w:tc>
        <w:tc>
          <w:tcPr>
            <w:tcW w:w="1606" w:type="dxa"/>
            <w:tcBorders>
              <w:top w:val="single" w:color="auto" w:sz="2" w:space="0"/>
              <w:left w:val="single" w:color="auto" w:sz="2" w:space="0"/>
              <w:bottom w:val="single" w:color="auto" w:sz="2" w:space="0"/>
              <w:right w:val="single" w:color="auto" w:sz="2" w:space="0"/>
            </w:tcBorders>
            <w:vAlign w:val="center"/>
          </w:tcPr>
          <w:p w14:paraId="1C86755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85,225,891.58</w:t>
            </w:r>
          </w:p>
        </w:tc>
        <w:tc>
          <w:tcPr>
            <w:tcW w:w="1606" w:type="dxa"/>
            <w:tcBorders>
              <w:top w:val="single" w:color="auto" w:sz="2" w:space="0"/>
              <w:left w:val="single" w:color="auto" w:sz="2" w:space="0"/>
              <w:bottom w:val="single" w:color="auto" w:sz="2" w:space="0"/>
              <w:right w:val="single" w:color="auto" w:sz="2" w:space="0"/>
            </w:tcBorders>
            <w:vAlign w:val="center"/>
          </w:tcPr>
          <w:p w14:paraId="103256F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22.58%</w:t>
            </w:r>
          </w:p>
        </w:tc>
        <w:tc>
          <w:tcPr>
            <w:tcW w:w="1606" w:type="dxa"/>
            <w:tcBorders>
              <w:top w:val="single" w:color="auto" w:sz="2" w:space="0"/>
              <w:left w:val="single" w:color="auto" w:sz="2" w:space="0"/>
              <w:bottom w:val="single" w:color="auto" w:sz="2" w:space="0"/>
              <w:right w:val="single" w:color="auto" w:sz="2" w:space="0"/>
            </w:tcBorders>
            <w:vAlign w:val="center"/>
          </w:tcPr>
          <w:p w14:paraId="3183457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7.26%</w:t>
            </w:r>
          </w:p>
        </w:tc>
      </w:tr>
      <w:tr w14:paraId="47959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1D9A46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西大区</w:t>
            </w:r>
          </w:p>
        </w:tc>
        <w:tc>
          <w:tcPr>
            <w:tcW w:w="1606" w:type="dxa"/>
            <w:tcBorders>
              <w:top w:val="single" w:color="auto" w:sz="2" w:space="0"/>
              <w:left w:val="single" w:color="auto" w:sz="2" w:space="0"/>
              <w:bottom w:val="single" w:color="auto" w:sz="2" w:space="0"/>
              <w:right w:val="single" w:color="auto" w:sz="2" w:space="0"/>
            </w:tcBorders>
            <w:vAlign w:val="center"/>
          </w:tcPr>
          <w:p w14:paraId="743442E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80,628,792.78</w:t>
            </w:r>
          </w:p>
        </w:tc>
        <w:tc>
          <w:tcPr>
            <w:tcW w:w="1606" w:type="dxa"/>
            <w:tcBorders>
              <w:top w:val="single" w:color="auto" w:sz="2" w:space="0"/>
              <w:left w:val="single" w:color="auto" w:sz="2" w:space="0"/>
              <w:bottom w:val="single" w:color="auto" w:sz="2" w:space="0"/>
              <w:right w:val="single" w:color="auto" w:sz="2" w:space="0"/>
            </w:tcBorders>
            <w:vAlign w:val="center"/>
          </w:tcPr>
          <w:p w14:paraId="37DED61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20.79%</w:t>
            </w:r>
          </w:p>
        </w:tc>
        <w:tc>
          <w:tcPr>
            <w:tcW w:w="1606" w:type="dxa"/>
            <w:tcBorders>
              <w:top w:val="single" w:color="auto" w:sz="2" w:space="0"/>
              <w:left w:val="single" w:color="auto" w:sz="2" w:space="0"/>
              <w:bottom w:val="single" w:color="auto" w:sz="2" w:space="0"/>
              <w:right w:val="single" w:color="auto" w:sz="2" w:space="0"/>
            </w:tcBorders>
            <w:vAlign w:val="center"/>
          </w:tcPr>
          <w:p w14:paraId="2B3DBDA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76,190,370.12</w:t>
            </w:r>
          </w:p>
        </w:tc>
        <w:tc>
          <w:tcPr>
            <w:tcW w:w="1606" w:type="dxa"/>
            <w:tcBorders>
              <w:top w:val="single" w:color="auto" w:sz="2" w:space="0"/>
              <w:left w:val="single" w:color="auto" w:sz="2" w:space="0"/>
              <w:bottom w:val="single" w:color="auto" w:sz="2" w:space="0"/>
              <w:right w:val="single" w:color="auto" w:sz="2" w:space="0"/>
            </w:tcBorders>
            <w:vAlign w:val="center"/>
          </w:tcPr>
          <w:p w14:paraId="6429B84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20.18%</w:t>
            </w:r>
          </w:p>
        </w:tc>
        <w:tc>
          <w:tcPr>
            <w:tcW w:w="1606" w:type="dxa"/>
            <w:tcBorders>
              <w:top w:val="single" w:color="auto" w:sz="2" w:space="0"/>
              <w:left w:val="single" w:color="auto" w:sz="2" w:space="0"/>
              <w:bottom w:val="single" w:color="auto" w:sz="2" w:space="0"/>
              <w:right w:val="single" w:color="auto" w:sz="2" w:space="0"/>
            </w:tcBorders>
            <w:vAlign w:val="center"/>
          </w:tcPr>
          <w:p w14:paraId="702ED0F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5.83%</w:t>
            </w:r>
          </w:p>
        </w:tc>
      </w:tr>
      <w:tr w14:paraId="447D0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7010077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分销售模式</w:t>
            </w:r>
          </w:p>
        </w:tc>
      </w:tr>
    </w:tbl>
    <w:p w14:paraId="5C1EA9B4">
      <w:pPr>
        <w:keepNext/>
        <w:keepLines/>
        <w:spacing w:before="300" w:after="300" w:line="280" w:lineRule="exact"/>
        <w:jc w:val="left"/>
        <w:outlineLvl w:val="3"/>
        <w:rPr>
          <w:rFonts w:hint="default" w:ascii="Times New Roman" w:hAnsi="Times New Roman" w:eastAsia="宋体" w:cs="Times New Roman"/>
          <w:b/>
          <w:bCs/>
          <w:sz w:val="18"/>
          <w:szCs w:val="18"/>
        </w:rPr>
      </w:pPr>
      <w:bookmarkStart w:id="36" w:name="_Toc988909"/>
      <w:r>
        <w:rPr>
          <w:rFonts w:hint="default" w:ascii="Times New Roman" w:hAnsi="Times New Roman" w:eastAsia="宋体" w:cs="Times New Roman"/>
          <w:b/>
          <w:bCs/>
          <w:sz w:val="18"/>
          <w:szCs w:val="18"/>
        </w:rPr>
        <w:t>（2） 占公司营业收入或营业利润10%以上的行业、产品、地区、销售模式的情况</w:t>
      </w:r>
      <w:bookmarkEnd w:id="36"/>
    </w:p>
    <w:p w14:paraId="169A2621">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p w14:paraId="7876D62F">
      <w:pPr>
        <w:spacing w:before="40" w:after="4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0395A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12FE590">
            <w:pPr>
              <w:rPr>
                <w:rFonts w:hint="default"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3D0903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营业收入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84C7D5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营业成本</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04C38B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毛利率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D6603A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营业收入比上年同期增减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FD0B03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营业成本比上年同期增减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B3B5AC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毛利率比上年同期增减</w:t>
            </w:r>
          </w:p>
        </w:tc>
      </w:tr>
      <w:tr w14:paraId="282A8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1D65E8E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分行业</w:t>
            </w:r>
          </w:p>
        </w:tc>
      </w:tr>
      <w:tr w14:paraId="5A33F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0E3B36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医疗器械</w:t>
            </w:r>
          </w:p>
        </w:tc>
        <w:tc>
          <w:tcPr>
            <w:tcW w:w="1377" w:type="dxa"/>
            <w:tcBorders>
              <w:top w:val="single" w:color="auto" w:sz="2" w:space="0"/>
              <w:left w:val="single" w:color="auto" w:sz="2" w:space="0"/>
              <w:bottom w:val="single" w:color="auto" w:sz="2" w:space="0"/>
              <w:right w:val="single" w:color="auto" w:sz="2" w:space="0"/>
            </w:tcBorders>
            <w:vAlign w:val="center"/>
          </w:tcPr>
          <w:p w14:paraId="4362046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283,283,972.07</w:t>
            </w:r>
          </w:p>
        </w:tc>
        <w:tc>
          <w:tcPr>
            <w:tcW w:w="1377" w:type="dxa"/>
            <w:tcBorders>
              <w:top w:val="single" w:color="auto" w:sz="2" w:space="0"/>
              <w:left w:val="single" w:color="auto" w:sz="2" w:space="0"/>
              <w:bottom w:val="single" w:color="auto" w:sz="2" w:space="0"/>
              <w:right w:val="single" w:color="auto" w:sz="2" w:space="0"/>
            </w:tcBorders>
            <w:vAlign w:val="center"/>
          </w:tcPr>
          <w:p w14:paraId="013F3B1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61,950,611.62</w:t>
            </w:r>
          </w:p>
        </w:tc>
        <w:tc>
          <w:tcPr>
            <w:tcW w:w="1377" w:type="dxa"/>
            <w:tcBorders>
              <w:top w:val="single" w:color="auto" w:sz="2" w:space="0"/>
              <w:left w:val="single" w:color="auto" w:sz="2" w:space="0"/>
              <w:bottom w:val="single" w:color="auto" w:sz="2" w:space="0"/>
              <w:right w:val="single" w:color="auto" w:sz="2" w:space="0"/>
            </w:tcBorders>
            <w:vAlign w:val="center"/>
          </w:tcPr>
          <w:p w14:paraId="3C1B2B9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78.13%</w:t>
            </w:r>
          </w:p>
        </w:tc>
        <w:tc>
          <w:tcPr>
            <w:tcW w:w="1377" w:type="dxa"/>
            <w:tcBorders>
              <w:top w:val="single" w:color="auto" w:sz="2" w:space="0"/>
              <w:left w:val="single" w:color="auto" w:sz="2" w:space="0"/>
              <w:bottom w:val="single" w:color="auto" w:sz="2" w:space="0"/>
              <w:right w:val="single" w:color="auto" w:sz="2" w:space="0"/>
            </w:tcBorders>
            <w:vAlign w:val="center"/>
          </w:tcPr>
          <w:p w14:paraId="5638C19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-1.30%</w:t>
            </w:r>
          </w:p>
        </w:tc>
        <w:tc>
          <w:tcPr>
            <w:tcW w:w="1377" w:type="dxa"/>
            <w:tcBorders>
              <w:top w:val="single" w:color="auto" w:sz="2" w:space="0"/>
              <w:left w:val="single" w:color="auto" w:sz="2" w:space="0"/>
              <w:bottom w:val="single" w:color="auto" w:sz="2" w:space="0"/>
              <w:right w:val="single" w:color="auto" w:sz="2" w:space="0"/>
            </w:tcBorders>
            <w:vAlign w:val="center"/>
          </w:tcPr>
          <w:p w14:paraId="758DFDF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16.85%</w:t>
            </w:r>
          </w:p>
        </w:tc>
        <w:tc>
          <w:tcPr>
            <w:tcW w:w="1377" w:type="dxa"/>
            <w:tcBorders>
              <w:top w:val="single" w:color="auto" w:sz="2" w:space="0"/>
              <w:left w:val="single" w:color="auto" w:sz="2" w:space="0"/>
              <w:bottom w:val="single" w:color="auto" w:sz="2" w:space="0"/>
              <w:right w:val="single" w:color="auto" w:sz="2" w:space="0"/>
            </w:tcBorders>
            <w:vAlign w:val="center"/>
          </w:tcPr>
          <w:p w14:paraId="6433392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-3.40%</w:t>
            </w:r>
          </w:p>
        </w:tc>
      </w:tr>
      <w:tr w14:paraId="0C7B7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BBD3AE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药品</w:t>
            </w:r>
          </w:p>
        </w:tc>
        <w:tc>
          <w:tcPr>
            <w:tcW w:w="1377" w:type="dxa"/>
            <w:tcBorders>
              <w:top w:val="single" w:color="auto" w:sz="2" w:space="0"/>
              <w:left w:val="single" w:color="auto" w:sz="2" w:space="0"/>
              <w:bottom w:val="single" w:color="auto" w:sz="2" w:space="0"/>
              <w:right w:val="single" w:color="auto" w:sz="2" w:space="0"/>
            </w:tcBorders>
            <w:vAlign w:val="center"/>
          </w:tcPr>
          <w:p w14:paraId="6A4280E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57,875,163.56</w:t>
            </w:r>
          </w:p>
        </w:tc>
        <w:tc>
          <w:tcPr>
            <w:tcW w:w="1377" w:type="dxa"/>
            <w:tcBorders>
              <w:top w:val="single" w:color="auto" w:sz="2" w:space="0"/>
              <w:left w:val="single" w:color="auto" w:sz="2" w:space="0"/>
              <w:bottom w:val="single" w:color="auto" w:sz="2" w:space="0"/>
              <w:right w:val="single" w:color="auto" w:sz="2" w:space="0"/>
            </w:tcBorders>
            <w:vAlign w:val="center"/>
          </w:tcPr>
          <w:p w14:paraId="4A31873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8,945,707.58</w:t>
            </w:r>
          </w:p>
        </w:tc>
        <w:tc>
          <w:tcPr>
            <w:tcW w:w="1377" w:type="dxa"/>
            <w:tcBorders>
              <w:top w:val="single" w:color="auto" w:sz="2" w:space="0"/>
              <w:left w:val="single" w:color="auto" w:sz="2" w:space="0"/>
              <w:bottom w:val="single" w:color="auto" w:sz="2" w:space="0"/>
              <w:right w:val="single" w:color="auto" w:sz="2" w:space="0"/>
            </w:tcBorders>
            <w:vAlign w:val="center"/>
          </w:tcPr>
          <w:p w14:paraId="298DE97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84.54%</w:t>
            </w:r>
          </w:p>
        </w:tc>
        <w:tc>
          <w:tcPr>
            <w:tcW w:w="1377" w:type="dxa"/>
            <w:tcBorders>
              <w:top w:val="single" w:color="auto" w:sz="2" w:space="0"/>
              <w:left w:val="single" w:color="auto" w:sz="2" w:space="0"/>
              <w:bottom w:val="single" w:color="auto" w:sz="2" w:space="0"/>
              <w:right w:val="single" w:color="auto" w:sz="2" w:space="0"/>
            </w:tcBorders>
            <w:vAlign w:val="center"/>
          </w:tcPr>
          <w:p w14:paraId="0033F70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56.40%</w:t>
            </w:r>
          </w:p>
        </w:tc>
        <w:tc>
          <w:tcPr>
            <w:tcW w:w="1377" w:type="dxa"/>
            <w:tcBorders>
              <w:top w:val="single" w:color="auto" w:sz="2" w:space="0"/>
              <w:left w:val="single" w:color="auto" w:sz="2" w:space="0"/>
              <w:bottom w:val="single" w:color="auto" w:sz="2" w:space="0"/>
              <w:right w:val="single" w:color="auto" w:sz="2" w:space="0"/>
            </w:tcBorders>
            <w:vAlign w:val="center"/>
          </w:tcPr>
          <w:p w14:paraId="79FFE61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51.40%</w:t>
            </w:r>
          </w:p>
        </w:tc>
        <w:tc>
          <w:tcPr>
            <w:tcW w:w="1377" w:type="dxa"/>
            <w:tcBorders>
              <w:top w:val="single" w:color="auto" w:sz="2" w:space="0"/>
              <w:left w:val="single" w:color="auto" w:sz="2" w:space="0"/>
              <w:bottom w:val="single" w:color="auto" w:sz="2" w:space="0"/>
              <w:right w:val="single" w:color="auto" w:sz="2" w:space="0"/>
            </w:tcBorders>
            <w:vAlign w:val="center"/>
          </w:tcPr>
          <w:p w14:paraId="05B1419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0.51%</w:t>
            </w:r>
          </w:p>
        </w:tc>
      </w:tr>
      <w:tr w14:paraId="3D9D4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AC7AE7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租赁及其他服务业</w:t>
            </w:r>
          </w:p>
        </w:tc>
        <w:tc>
          <w:tcPr>
            <w:tcW w:w="1377" w:type="dxa"/>
            <w:tcBorders>
              <w:top w:val="single" w:color="auto" w:sz="2" w:space="0"/>
              <w:left w:val="single" w:color="auto" w:sz="2" w:space="0"/>
              <w:bottom w:val="single" w:color="auto" w:sz="2" w:space="0"/>
              <w:right w:val="single" w:color="auto" w:sz="2" w:space="0"/>
            </w:tcBorders>
            <w:vAlign w:val="center"/>
          </w:tcPr>
          <w:p w14:paraId="25E421C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46,590,632.27</w:t>
            </w:r>
          </w:p>
        </w:tc>
        <w:tc>
          <w:tcPr>
            <w:tcW w:w="1377" w:type="dxa"/>
            <w:tcBorders>
              <w:top w:val="single" w:color="auto" w:sz="2" w:space="0"/>
              <w:left w:val="single" w:color="auto" w:sz="2" w:space="0"/>
              <w:bottom w:val="single" w:color="auto" w:sz="2" w:space="0"/>
              <w:right w:val="single" w:color="auto" w:sz="2" w:space="0"/>
            </w:tcBorders>
            <w:vAlign w:val="center"/>
          </w:tcPr>
          <w:p w14:paraId="6C90390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17,773,948.54</w:t>
            </w:r>
          </w:p>
        </w:tc>
        <w:tc>
          <w:tcPr>
            <w:tcW w:w="1377" w:type="dxa"/>
            <w:tcBorders>
              <w:top w:val="single" w:color="auto" w:sz="2" w:space="0"/>
              <w:left w:val="single" w:color="auto" w:sz="2" w:space="0"/>
              <w:bottom w:val="single" w:color="auto" w:sz="2" w:space="0"/>
              <w:right w:val="single" w:color="auto" w:sz="2" w:space="0"/>
            </w:tcBorders>
            <w:vAlign w:val="center"/>
          </w:tcPr>
          <w:p w14:paraId="20AC5C1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61.85%</w:t>
            </w:r>
          </w:p>
        </w:tc>
        <w:tc>
          <w:tcPr>
            <w:tcW w:w="1377" w:type="dxa"/>
            <w:tcBorders>
              <w:top w:val="single" w:color="auto" w:sz="2" w:space="0"/>
              <w:left w:val="single" w:color="auto" w:sz="2" w:space="0"/>
              <w:bottom w:val="single" w:color="auto" w:sz="2" w:space="0"/>
              <w:right w:val="single" w:color="auto" w:sz="2" w:space="0"/>
            </w:tcBorders>
            <w:vAlign w:val="center"/>
          </w:tcPr>
          <w:p w14:paraId="14CD8A8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-12.83%</w:t>
            </w:r>
          </w:p>
        </w:tc>
        <w:tc>
          <w:tcPr>
            <w:tcW w:w="1377" w:type="dxa"/>
            <w:tcBorders>
              <w:top w:val="single" w:color="auto" w:sz="2" w:space="0"/>
              <w:left w:val="single" w:color="auto" w:sz="2" w:space="0"/>
              <w:bottom w:val="single" w:color="auto" w:sz="2" w:space="0"/>
              <w:right w:val="single" w:color="auto" w:sz="2" w:space="0"/>
            </w:tcBorders>
            <w:vAlign w:val="center"/>
          </w:tcPr>
          <w:p w14:paraId="6DC42E3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-4.43%</w:t>
            </w:r>
          </w:p>
        </w:tc>
        <w:tc>
          <w:tcPr>
            <w:tcW w:w="1377" w:type="dxa"/>
            <w:tcBorders>
              <w:top w:val="single" w:color="auto" w:sz="2" w:space="0"/>
              <w:left w:val="single" w:color="auto" w:sz="2" w:space="0"/>
              <w:bottom w:val="single" w:color="auto" w:sz="2" w:space="0"/>
              <w:right w:val="single" w:color="auto" w:sz="2" w:space="0"/>
            </w:tcBorders>
            <w:vAlign w:val="center"/>
          </w:tcPr>
          <w:p w14:paraId="2C93AAC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-3.35%</w:t>
            </w:r>
          </w:p>
        </w:tc>
      </w:tr>
      <w:tr w14:paraId="39F91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4E5942A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分产品</w:t>
            </w:r>
          </w:p>
        </w:tc>
      </w:tr>
      <w:tr w14:paraId="6C952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57268B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生物型硬脑（脊）膜补片</w:t>
            </w:r>
          </w:p>
        </w:tc>
        <w:tc>
          <w:tcPr>
            <w:tcW w:w="1377" w:type="dxa"/>
            <w:tcBorders>
              <w:top w:val="single" w:color="auto" w:sz="2" w:space="0"/>
              <w:left w:val="single" w:color="auto" w:sz="2" w:space="0"/>
              <w:bottom w:val="single" w:color="auto" w:sz="2" w:space="0"/>
              <w:right w:val="single" w:color="auto" w:sz="2" w:space="0"/>
            </w:tcBorders>
            <w:vAlign w:val="center"/>
          </w:tcPr>
          <w:p w14:paraId="26DA21F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67,548,430.00</w:t>
            </w:r>
          </w:p>
        </w:tc>
        <w:tc>
          <w:tcPr>
            <w:tcW w:w="1377" w:type="dxa"/>
            <w:tcBorders>
              <w:top w:val="single" w:color="auto" w:sz="2" w:space="0"/>
              <w:left w:val="single" w:color="auto" w:sz="2" w:space="0"/>
              <w:bottom w:val="single" w:color="auto" w:sz="2" w:space="0"/>
              <w:right w:val="single" w:color="auto" w:sz="2" w:space="0"/>
            </w:tcBorders>
            <w:vAlign w:val="center"/>
          </w:tcPr>
          <w:p w14:paraId="0C0286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5,689,566.40</w:t>
            </w:r>
          </w:p>
        </w:tc>
        <w:tc>
          <w:tcPr>
            <w:tcW w:w="1377" w:type="dxa"/>
            <w:tcBorders>
              <w:top w:val="single" w:color="auto" w:sz="2" w:space="0"/>
              <w:left w:val="single" w:color="auto" w:sz="2" w:space="0"/>
              <w:bottom w:val="single" w:color="auto" w:sz="2" w:space="0"/>
              <w:right w:val="single" w:color="auto" w:sz="2" w:space="0"/>
            </w:tcBorders>
            <w:vAlign w:val="center"/>
          </w:tcPr>
          <w:p w14:paraId="0B1D05D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91.58%</w:t>
            </w:r>
          </w:p>
        </w:tc>
        <w:tc>
          <w:tcPr>
            <w:tcW w:w="1377" w:type="dxa"/>
            <w:tcBorders>
              <w:top w:val="single" w:color="auto" w:sz="2" w:space="0"/>
              <w:left w:val="single" w:color="auto" w:sz="2" w:space="0"/>
              <w:bottom w:val="single" w:color="auto" w:sz="2" w:space="0"/>
              <w:right w:val="single" w:color="auto" w:sz="2" w:space="0"/>
            </w:tcBorders>
            <w:vAlign w:val="center"/>
          </w:tcPr>
          <w:p w14:paraId="335CA57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-9.66%</w:t>
            </w:r>
          </w:p>
        </w:tc>
        <w:tc>
          <w:tcPr>
            <w:tcW w:w="1377" w:type="dxa"/>
            <w:tcBorders>
              <w:top w:val="single" w:color="auto" w:sz="2" w:space="0"/>
              <w:left w:val="single" w:color="auto" w:sz="2" w:space="0"/>
              <w:bottom w:val="single" w:color="auto" w:sz="2" w:space="0"/>
              <w:right w:val="single" w:color="auto" w:sz="2" w:space="0"/>
            </w:tcBorders>
            <w:vAlign w:val="center"/>
          </w:tcPr>
          <w:p w14:paraId="4F1A326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-19.46%</w:t>
            </w:r>
          </w:p>
        </w:tc>
        <w:tc>
          <w:tcPr>
            <w:tcW w:w="1377" w:type="dxa"/>
            <w:tcBorders>
              <w:top w:val="single" w:color="auto" w:sz="2" w:space="0"/>
              <w:left w:val="single" w:color="auto" w:sz="2" w:space="0"/>
              <w:bottom w:val="single" w:color="auto" w:sz="2" w:space="0"/>
              <w:right w:val="single" w:color="auto" w:sz="2" w:space="0"/>
            </w:tcBorders>
            <w:vAlign w:val="center"/>
          </w:tcPr>
          <w:p w14:paraId="40F692C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w:t>
            </w:r>
          </w:p>
        </w:tc>
      </w:tr>
      <w:tr w14:paraId="040BC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7CAA0F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B型硬脑（脊）膜补片</w:t>
            </w:r>
          </w:p>
        </w:tc>
        <w:tc>
          <w:tcPr>
            <w:tcW w:w="1377" w:type="dxa"/>
            <w:tcBorders>
              <w:top w:val="single" w:color="auto" w:sz="2" w:space="0"/>
              <w:left w:val="single" w:color="auto" w:sz="2" w:space="0"/>
              <w:bottom w:val="single" w:color="auto" w:sz="2" w:space="0"/>
              <w:right w:val="single" w:color="auto" w:sz="2" w:space="0"/>
            </w:tcBorders>
            <w:vAlign w:val="center"/>
          </w:tcPr>
          <w:p w14:paraId="28C7F1D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74,021,246.82</w:t>
            </w:r>
          </w:p>
        </w:tc>
        <w:tc>
          <w:tcPr>
            <w:tcW w:w="1377" w:type="dxa"/>
            <w:tcBorders>
              <w:top w:val="single" w:color="auto" w:sz="2" w:space="0"/>
              <w:left w:val="single" w:color="auto" w:sz="2" w:space="0"/>
              <w:bottom w:val="single" w:color="auto" w:sz="2" w:space="0"/>
              <w:right w:val="single" w:color="auto" w:sz="2" w:space="0"/>
            </w:tcBorders>
            <w:vAlign w:val="center"/>
          </w:tcPr>
          <w:p w14:paraId="46FEC6D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7,016,522.83</w:t>
            </w:r>
          </w:p>
        </w:tc>
        <w:tc>
          <w:tcPr>
            <w:tcW w:w="1377" w:type="dxa"/>
            <w:tcBorders>
              <w:top w:val="single" w:color="auto" w:sz="2" w:space="0"/>
              <w:left w:val="single" w:color="auto" w:sz="2" w:space="0"/>
              <w:bottom w:val="single" w:color="auto" w:sz="2" w:space="0"/>
              <w:right w:val="single" w:color="auto" w:sz="2" w:space="0"/>
            </w:tcBorders>
            <w:vAlign w:val="center"/>
          </w:tcPr>
          <w:p w14:paraId="62B4F70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90.52%</w:t>
            </w:r>
          </w:p>
        </w:tc>
        <w:tc>
          <w:tcPr>
            <w:tcW w:w="1377" w:type="dxa"/>
            <w:tcBorders>
              <w:top w:val="single" w:color="auto" w:sz="2" w:space="0"/>
              <w:left w:val="single" w:color="auto" w:sz="2" w:space="0"/>
              <w:bottom w:val="single" w:color="auto" w:sz="2" w:space="0"/>
              <w:right w:val="single" w:color="auto" w:sz="2" w:space="0"/>
            </w:tcBorders>
            <w:vAlign w:val="center"/>
          </w:tcPr>
          <w:p w14:paraId="5FD83EA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2.61%</w:t>
            </w:r>
          </w:p>
        </w:tc>
        <w:tc>
          <w:tcPr>
            <w:tcW w:w="1377" w:type="dxa"/>
            <w:tcBorders>
              <w:top w:val="single" w:color="auto" w:sz="2" w:space="0"/>
              <w:left w:val="single" w:color="auto" w:sz="2" w:space="0"/>
              <w:bottom w:val="single" w:color="auto" w:sz="2" w:space="0"/>
              <w:right w:val="single" w:color="auto" w:sz="2" w:space="0"/>
            </w:tcBorders>
            <w:vAlign w:val="center"/>
          </w:tcPr>
          <w:p w14:paraId="673D2F6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-3.88%</w:t>
            </w:r>
          </w:p>
        </w:tc>
        <w:tc>
          <w:tcPr>
            <w:tcW w:w="1377" w:type="dxa"/>
            <w:tcBorders>
              <w:top w:val="single" w:color="auto" w:sz="2" w:space="0"/>
              <w:left w:val="single" w:color="auto" w:sz="2" w:space="0"/>
              <w:bottom w:val="single" w:color="auto" w:sz="2" w:space="0"/>
              <w:right w:val="single" w:color="auto" w:sz="2" w:space="0"/>
            </w:tcBorders>
            <w:vAlign w:val="center"/>
          </w:tcPr>
          <w:p w14:paraId="3E60E04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0.64%</w:t>
            </w:r>
          </w:p>
        </w:tc>
      </w:tr>
      <w:tr w14:paraId="194B0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675CB2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代理品</w:t>
            </w:r>
          </w:p>
        </w:tc>
        <w:tc>
          <w:tcPr>
            <w:tcW w:w="1377" w:type="dxa"/>
            <w:tcBorders>
              <w:top w:val="single" w:color="auto" w:sz="2" w:space="0"/>
              <w:left w:val="single" w:color="auto" w:sz="2" w:space="0"/>
              <w:bottom w:val="single" w:color="auto" w:sz="2" w:space="0"/>
              <w:right w:val="single" w:color="auto" w:sz="2" w:space="0"/>
            </w:tcBorders>
            <w:vAlign w:val="center"/>
          </w:tcPr>
          <w:p w14:paraId="6872A58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97,859,912.20</w:t>
            </w:r>
          </w:p>
        </w:tc>
        <w:tc>
          <w:tcPr>
            <w:tcW w:w="1377" w:type="dxa"/>
            <w:tcBorders>
              <w:top w:val="single" w:color="auto" w:sz="2" w:space="0"/>
              <w:left w:val="single" w:color="auto" w:sz="2" w:space="0"/>
              <w:bottom w:val="single" w:color="auto" w:sz="2" w:space="0"/>
              <w:right w:val="single" w:color="auto" w:sz="2" w:space="0"/>
            </w:tcBorders>
            <w:vAlign w:val="center"/>
          </w:tcPr>
          <w:p w14:paraId="0AD77CF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44,490,902.91</w:t>
            </w:r>
          </w:p>
        </w:tc>
        <w:tc>
          <w:tcPr>
            <w:tcW w:w="1377" w:type="dxa"/>
            <w:tcBorders>
              <w:top w:val="single" w:color="auto" w:sz="2" w:space="0"/>
              <w:left w:val="single" w:color="auto" w:sz="2" w:space="0"/>
              <w:bottom w:val="single" w:color="auto" w:sz="2" w:space="0"/>
              <w:right w:val="single" w:color="auto" w:sz="2" w:space="0"/>
            </w:tcBorders>
            <w:vAlign w:val="center"/>
          </w:tcPr>
          <w:p w14:paraId="04365FB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54.54%</w:t>
            </w:r>
          </w:p>
        </w:tc>
        <w:tc>
          <w:tcPr>
            <w:tcW w:w="1377" w:type="dxa"/>
            <w:tcBorders>
              <w:top w:val="single" w:color="auto" w:sz="2" w:space="0"/>
              <w:left w:val="single" w:color="auto" w:sz="2" w:space="0"/>
              <w:bottom w:val="single" w:color="auto" w:sz="2" w:space="0"/>
              <w:right w:val="single" w:color="auto" w:sz="2" w:space="0"/>
            </w:tcBorders>
            <w:vAlign w:val="center"/>
          </w:tcPr>
          <w:p w14:paraId="1C2F53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12.88%</w:t>
            </w:r>
          </w:p>
        </w:tc>
        <w:tc>
          <w:tcPr>
            <w:tcW w:w="1377" w:type="dxa"/>
            <w:tcBorders>
              <w:top w:val="single" w:color="auto" w:sz="2" w:space="0"/>
              <w:left w:val="single" w:color="auto" w:sz="2" w:space="0"/>
              <w:bottom w:val="single" w:color="auto" w:sz="2" w:space="0"/>
              <w:right w:val="single" w:color="auto" w:sz="2" w:space="0"/>
            </w:tcBorders>
            <w:vAlign w:val="center"/>
          </w:tcPr>
          <w:p w14:paraId="2FAB5CA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32.88%</w:t>
            </w:r>
          </w:p>
        </w:tc>
        <w:tc>
          <w:tcPr>
            <w:tcW w:w="1377" w:type="dxa"/>
            <w:tcBorders>
              <w:top w:val="single" w:color="auto" w:sz="2" w:space="0"/>
              <w:left w:val="single" w:color="auto" w:sz="2" w:space="0"/>
              <w:bottom w:val="single" w:color="auto" w:sz="2" w:space="0"/>
              <w:right w:val="single" w:color="auto" w:sz="2" w:space="0"/>
            </w:tcBorders>
            <w:vAlign w:val="center"/>
          </w:tcPr>
          <w:p w14:paraId="4C104D9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-6.84%</w:t>
            </w:r>
          </w:p>
        </w:tc>
      </w:tr>
      <w:tr w14:paraId="10C6F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88F154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本维莫德</w:t>
            </w:r>
          </w:p>
        </w:tc>
        <w:tc>
          <w:tcPr>
            <w:tcW w:w="1377" w:type="dxa"/>
            <w:tcBorders>
              <w:top w:val="single" w:color="auto" w:sz="2" w:space="0"/>
              <w:left w:val="single" w:color="auto" w:sz="2" w:space="0"/>
              <w:bottom w:val="single" w:color="auto" w:sz="2" w:space="0"/>
              <w:right w:val="single" w:color="auto" w:sz="2" w:space="0"/>
            </w:tcBorders>
            <w:vAlign w:val="center"/>
          </w:tcPr>
          <w:p w14:paraId="29E307C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57,875,163.56</w:t>
            </w:r>
          </w:p>
        </w:tc>
        <w:tc>
          <w:tcPr>
            <w:tcW w:w="1377" w:type="dxa"/>
            <w:tcBorders>
              <w:top w:val="single" w:color="auto" w:sz="2" w:space="0"/>
              <w:left w:val="single" w:color="auto" w:sz="2" w:space="0"/>
              <w:bottom w:val="single" w:color="auto" w:sz="2" w:space="0"/>
              <w:right w:val="single" w:color="auto" w:sz="2" w:space="0"/>
            </w:tcBorders>
            <w:vAlign w:val="center"/>
          </w:tcPr>
          <w:p w14:paraId="3470E97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8,945,707.58</w:t>
            </w:r>
          </w:p>
        </w:tc>
        <w:tc>
          <w:tcPr>
            <w:tcW w:w="1377" w:type="dxa"/>
            <w:tcBorders>
              <w:top w:val="single" w:color="auto" w:sz="2" w:space="0"/>
              <w:left w:val="single" w:color="auto" w:sz="2" w:space="0"/>
              <w:bottom w:val="single" w:color="auto" w:sz="2" w:space="0"/>
              <w:right w:val="single" w:color="auto" w:sz="2" w:space="0"/>
            </w:tcBorders>
            <w:vAlign w:val="center"/>
          </w:tcPr>
          <w:p w14:paraId="76CCF97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84.54%</w:t>
            </w:r>
          </w:p>
        </w:tc>
        <w:tc>
          <w:tcPr>
            <w:tcW w:w="1377" w:type="dxa"/>
            <w:tcBorders>
              <w:top w:val="single" w:color="auto" w:sz="2" w:space="0"/>
              <w:left w:val="single" w:color="auto" w:sz="2" w:space="0"/>
              <w:bottom w:val="single" w:color="auto" w:sz="2" w:space="0"/>
              <w:right w:val="single" w:color="auto" w:sz="2" w:space="0"/>
            </w:tcBorders>
            <w:vAlign w:val="center"/>
          </w:tcPr>
          <w:p w14:paraId="2782C3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56.40%</w:t>
            </w:r>
          </w:p>
        </w:tc>
        <w:tc>
          <w:tcPr>
            <w:tcW w:w="1377" w:type="dxa"/>
            <w:tcBorders>
              <w:top w:val="single" w:color="auto" w:sz="2" w:space="0"/>
              <w:left w:val="single" w:color="auto" w:sz="2" w:space="0"/>
              <w:bottom w:val="single" w:color="auto" w:sz="2" w:space="0"/>
              <w:right w:val="single" w:color="auto" w:sz="2" w:space="0"/>
            </w:tcBorders>
            <w:vAlign w:val="center"/>
          </w:tcPr>
          <w:p w14:paraId="42BB3EA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51.40%</w:t>
            </w:r>
          </w:p>
        </w:tc>
        <w:tc>
          <w:tcPr>
            <w:tcW w:w="1377" w:type="dxa"/>
            <w:tcBorders>
              <w:top w:val="single" w:color="auto" w:sz="2" w:space="0"/>
              <w:left w:val="single" w:color="auto" w:sz="2" w:space="0"/>
              <w:bottom w:val="single" w:color="auto" w:sz="2" w:space="0"/>
              <w:right w:val="single" w:color="auto" w:sz="2" w:space="0"/>
            </w:tcBorders>
            <w:vAlign w:val="center"/>
          </w:tcPr>
          <w:p w14:paraId="194455E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0.51%</w:t>
            </w:r>
          </w:p>
        </w:tc>
      </w:tr>
      <w:tr w14:paraId="27205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3FC2DD9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分地区</w:t>
            </w:r>
          </w:p>
        </w:tc>
      </w:tr>
      <w:tr w14:paraId="5DAFF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8860D6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北大区</w:t>
            </w:r>
          </w:p>
        </w:tc>
        <w:tc>
          <w:tcPr>
            <w:tcW w:w="1377" w:type="dxa"/>
            <w:tcBorders>
              <w:top w:val="single" w:color="auto" w:sz="2" w:space="0"/>
              <w:left w:val="single" w:color="auto" w:sz="2" w:space="0"/>
              <w:bottom w:val="single" w:color="auto" w:sz="2" w:space="0"/>
              <w:right w:val="single" w:color="auto" w:sz="2" w:space="0"/>
            </w:tcBorders>
            <w:vAlign w:val="center"/>
          </w:tcPr>
          <w:p w14:paraId="7BD3B67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86,171,616.02</w:t>
            </w:r>
          </w:p>
        </w:tc>
        <w:tc>
          <w:tcPr>
            <w:tcW w:w="1377" w:type="dxa"/>
            <w:tcBorders>
              <w:top w:val="single" w:color="auto" w:sz="2" w:space="0"/>
              <w:left w:val="single" w:color="auto" w:sz="2" w:space="0"/>
              <w:bottom w:val="single" w:color="auto" w:sz="2" w:space="0"/>
              <w:right w:val="single" w:color="auto" w:sz="2" w:space="0"/>
            </w:tcBorders>
            <w:vAlign w:val="center"/>
          </w:tcPr>
          <w:p w14:paraId="78FCB01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12,344,520.01</w:t>
            </w:r>
          </w:p>
        </w:tc>
        <w:tc>
          <w:tcPr>
            <w:tcW w:w="1377" w:type="dxa"/>
            <w:tcBorders>
              <w:top w:val="single" w:color="auto" w:sz="2" w:space="0"/>
              <w:left w:val="single" w:color="auto" w:sz="2" w:space="0"/>
              <w:bottom w:val="single" w:color="auto" w:sz="2" w:space="0"/>
              <w:right w:val="single" w:color="auto" w:sz="2" w:space="0"/>
            </w:tcBorders>
            <w:vAlign w:val="center"/>
          </w:tcPr>
          <w:p w14:paraId="63783CE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85.67%</w:t>
            </w:r>
          </w:p>
        </w:tc>
        <w:tc>
          <w:tcPr>
            <w:tcW w:w="1377" w:type="dxa"/>
            <w:tcBorders>
              <w:top w:val="single" w:color="auto" w:sz="2" w:space="0"/>
              <w:left w:val="single" w:color="auto" w:sz="2" w:space="0"/>
              <w:bottom w:val="single" w:color="auto" w:sz="2" w:space="0"/>
              <w:right w:val="single" w:color="auto" w:sz="2" w:space="0"/>
            </w:tcBorders>
            <w:vAlign w:val="center"/>
          </w:tcPr>
          <w:p w14:paraId="7F75646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8.86%</w:t>
            </w:r>
          </w:p>
        </w:tc>
        <w:tc>
          <w:tcPr>
            <w:tcW w:w="1377" w:type="dxa"/>
            <w:tcBorders>
              <w:top w:val="single" w:color="auto" w:sz="2" w:space="0"/>
              <w:left w:val="single" w:color="auto" w:sz="2" w:space="0"/>
              <w:bottom w:val="single" w:color="auto" w:sz="2" w:space="0"/>
              <w:right w:val="single" w:color="auto" w:sz="2" w:space="0"/>
            </w:tcBorders>
            <w:vAlign w:val="center"/>
          </w:tcPr>
          <w:p w14:paraId="28CBD3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43.50%</w:t>
            </w:r>
          </w:p>
        </w:tc>
        <w:tc>
          <w:tcPr>
            <w:tcW w:w="1377" w:type="dxa"/>
            <w:tcBorders>
              <w:top w:val="single" w:color="auto" w:sz="2" w:space="0"/>
              <w:left w:val="single" w:color="auto" w:sz="2" w:space="0"/>
              <w:bottom w:val="single" w:color="auto" w:sz="2" w:space="0"/>
              <w:right w:val="single" w:color="auto" w:sz="2" w:space="0"/>
            </w:tcBorders>
            <w:vAlign w:val="center"/>
          </w:tcPr>
          <w:p w14:paraId="132636E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-3.46%</w:t>
            </w:r>
          </w:p>
        </w:tc>
      </w:tr>
      <w:tr w14:paraId="1819F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961994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东大区</w:t>
            </w:r>
          </w:p>
        </w:tc>
        <w:tc>
          <w:tcPr>
            <w:tcW w:w="1377" w:type="dxa"/>
            <w:tcBorders>
              <w:top w:val="single" w:color="auto" w:sz="2" w:space="0"/>
              <w:left w:val="single" w:color="auto" w:sz="2" w:space="0"/>
              <w:bottom w:val="single" w:color="auto" w:sz="2" w:space="0"/>
              <w:right w:val="single" w:color="auto" w:sz="2" w:space="0"/>
            </w:tcBorders>
            <w:vAlign w:val="center"/>
          </w:tcPr>
          <w:p w14:paraId="7EEB159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129,535,542.90</w:t>
            </w:r>
          </w:p>
        </w:tc>
        <w:tc>
          <w:tcPr>
            <w:tcW w:w="1377" w:type="dxa"/>
            <w:tcBorders>
              <w:top w:val="single" w:color="auto" w:sz="2" w:space="0"/>
              <w:left w:val="single" w:color="auto" w:sz="2" w:space="0"/>
              <w:bottom w:val="single" w:color="auto" w:sz="2" w:space="0"/>
              <w:right w:val="single" w:color="auto" w:sz="2" w:space="0"/>
            </w:tcBorders>
            <w:vAlign w:val="center"/>
          </w:tcPr>
          <w:p w14:paraId="4AA487F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28,812,321.23</w:t>
            </w:r>
          </w:p>
        </w:tc>
        <w:tc>
          <w:tcPr>
            <w:tcW w:w="1377" w:type="dxa"/>
            <w:tcBorders>
              <w:top w:val="single" w:color="auto" w:sz="2" w:space="0"/>
              <w:left w:val="single" w:color="auto" w:sz="2" w:space="0"/>
              <w:bottom w:val="single" w:color="auto" w:sz="2" w:space="0"/>
              <w:right w:val="single" w:color="auto" w:sz="2" w:space="0"/>
            </w:tcBorders>
            <w:vAlign w:val="center"/>
          </w:tcPr>
          <w:p w14:paraId="1E9E56F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77.76%</w:t>
            </w:r>
          </w:p>
        </w:tc>
        <w:tc>
          <w:tcPr>
            <w:tcW w:w="1377" w:type="dxa"/>
            <w:tcBorders>
              <w:top w:val="single" w:color="auto" w:sz="2" w:space="0"/>
              <w:left w:val="single" w:color="auto" w:sz="2" w:space="0"/>
              <w:bottom w:val="single" w:color="auto" w:sz="2" w:space="0"/>
              <w:right w:val="single" w:color="auto" w:sz="2" w:space="0"/>
            </w:tcBorders>
            <w:vAlign w:val="center"/>
          </w:tcPr>
          <w:p w14:paraId="652E662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-5.39%</w:t>
            </w:r>
          </w:p>
        </w:tc>
        <w:tc>
          <w:tcPr>
            <w:tcW w:w="1377" w:type="dxa"/>
            <w:tcBorders>
              <w:top w:val="single" w:color="auto" w:sz="2" w:space="0"/>
              <w:left w:val="single" w:color="auto" w:sz="2" w:space="0"/>
              <w:bottom w:val="single" w:color="auto" w:sz="2" w:space="0"/>
              <w:right w:val="single" w:color="auto" w:sz="2" w:space="0"/>
            </w:tcBorders>
            <w:vAlign w:val="center"/>
          </w:tcPr>
          <w:p w14:paraId="2C81AA7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3.83%</w:t>
            </w:r>
          </w:p>
        </w:tc>
        <w:tc>
          <w:tcPr>
            <w:tcW w:w="1377" w:type="dxa"/>
            <w:tcBorders>
              <w:top w:val="single" w:color="auto" w:sz="2" w:space="0"/>
              <w:left w:val="single" w:color="auto" w:sz="2" w:space="0"/>
              <w:bottom w:val="single" w:color="auto" w:sz="2" w:space="0"/>
              <w:right w:val="single" w:color="auto" w:sz="2" w:space="0"/>
            </w:tcBorders>
            <w:vAlign w:val="center"/>
          </w:tcPr>
          <w:p w14:paraId="5FAFA95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-1.97%</w:t>
            </w:r>
          </w:p>
        </w:tc>
      </w:tr>
      <w:tr w14:paraId="5C5CC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BD772B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南大区</w:t>
            </w:r>
          </w:p>
        </w:tc>
        <w:tc>
          <w:tcPr>
            <w:tcW w:w="1377" w:type="dxa"/>
            <w:tcBorders>
              <w:top w:val="single" w:color="auto" w:sz="2" w:space="0"/>
              <w:left w:val="single" w:color="auto" w:sz="2" w:space="0"/>
              <w:bottom w:val="single" w:color="auto" w:sz="2" w:space="0"/>
              <w:right w:val="single" w:color="auto" w:sz="2" w:space="0"/>
            </w:tcBorders>
            <w:vAlign w:val="center"/>
          </w:tcPr>
          <w:p w14:paraId="6093C81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91,413,816.20</w:t>
            </w:r>
          </w:p>
        </w:tc>
        <w:tc>
          <w:tcPr>
            <w:tcW w:w="1377" w:type="dxa"/>
            <w:tcBorders>
              <w:top w:val="single" w:color="auto" w:sz="2" w:space="0"/>
              <w:left w:val="single" w:color="auto" w:sz="2" w:space="0"/>
              <w:bottom w:val="single" w:color="auto" w:sz="2" w:space="0"/>
              <w:right w:val="single" w:color="auto" w:sz="2" w:space="0"/>
            </w:tcBorders>
            <w:vAlign w:val="center"/>
          </w:tcPr>
          <w:p w14:paraId="22E46B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29,704,310.93</w:t>
            </w:r>
          </w:p>
        </w:tc>
        <w:tc>
          <w:tcPr>
            <w:tcW w:w="1377" w:type="dxa"/>
            <w:tcBorders>
              <w:top w:val="single" w:color="auto" w:sz="2" w:space="0"/>
              <w:left w:val="single" w:color="auto" w:sz="2" w:space="0"/>
              <w:bottom w:val="single" w:color="auto" w:sz="2" w:space="0"/>
              <w:right w:val="single" w:color="auto" w:sz="2" w:space="0"/>
            </w:tcBorders>
            <w:vAlign w:val="center"/>
          </w:tcPr>
          <w:p w14:paraId="67F1D1F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67.51%</w:t>
            </w:r>
          </w:p>
        </w:tc>
        <w:tc>
          <w:tcPr>
            <w:tcW w:w="1377" w:type="dxa"/>
            <w:tcBorders>
              <w:top w:val="single" w:color="auto" w:sz="2" w:space="0"/>
              <w:left w:val="single" w:color="auto" w:sz="2" w:space="0"/>
              <w:bottom w:val="single" w:color="auto" w:sz="2" w:space="0"/>
              <w:right w:val="single" w:color="auto" w:sz="2" w:space="0"/>
            </w:tcBorders>
            <w:vAlign w:val="center"/>
          </w:tcPr>
          <w:p w14:paraId="18E94FE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7.26%</w:t>
            </w:r>
          </w:p>
        </w:tc>
        <w:tc>
          <w:tcPr>
            <w:tcW w:w="1377" w:type="dxa"/>
            <w:tcBorders>
              <w:top w:val="single" w:color="auto" w:sz="2" w:space="0"/>
              <w:left w:val="single" w:color="auto" w:sz="2" w:space="0"/>
              <w:bottom w:val="single" w:color="auto" w:sz="2" w:space="0"/>
              <w:right w:val="single" w:color="auto" w:sz="2" w:space="0"/>
            </w:tcBorders>
            <w:vAlign w:val="center"/>
          </w:tcPr>
          <w:p w14:paraId="691EC03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9.82%</w:t>
            </w:r>
          </w:p>
        </w:tc>
        <w:tc>
          <w:tcPr>
            <w:tcW w:w="1377" w:type="dxa"/>
            <w:tcBorders>
              <w:top w:val="single" w:color="auto" w:sz="2" w:space="0"/>
              <w:left w:val="single" w:color="auto" w:sz="2" w:space="0"/>
              <w:bottom w:val="single" w:color="auto" w:sz="2" w:space="0"/>
              <w:right w:val="single" w:color="auto" w:sz="2" w:space="0"/>
            </w:tcBorders>
            <w:vAlign w:val="center"/>
          </w:tcPr>
          <w:p w14:paraId="16CED1F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-0.75%</w:t>
            </w:r>
          </w:p>
        </w:tc>
      </w:tr>
      <w:tr w14:paraId="23842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A8EF62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西大区</w:t>
            </w:r>
          </w:p>
        </w:tc>
        <w:tc>
          <w:tcPr>
            <w:tcW w:w="1377" w:type="dxa"/>
            <w:tcBorders>
              <w:top w:val="single" w:color="auto" w:sz="2" w:space="0"/>
              <w:left w:val="single" w:color="auto" w:sz="2" w:space="0"/>
              <w:bottom w:val="single" w:color="auto" w:sz="2" w:space="0"/>
              <w:right w:val="single" w:color="auto" w:sz="2" w:space="0"/>
            </w:tcBorders>
            <w:vAlign w:val="center"/>
          </w:tcPr>
          <w:p w14:paraId="45ECCE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80,628,792.78</w:t>
            </w:r>
          </w:p>
        </w:tc>
        <w:tc>
          <w:tcPr>
            <w:tcW w:w="1377" w:type="dxa"/>
            <w:tcBorders>
              <w:top w:val="single" w:color="auto" w:sz="2" w:space="0"/>
              <w:left w:val="single" w:color="auto" w:sz="2" w:space="0"/>
              <w:bottom w:val="single" w:color="auto" w:sz="2" w:space="0"/>
              <w:right w:val="single" w:color="auto" w:sz="2" w:space="0"/>
            </w:tcBorders>
            <w:vAlign w:val="center"/>
          </w:tcPr>
          <w:p w14:paraId="6358CB5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17,809,115.57</w:t>
            </w:r>
          </w:p>
        </w:tc>
        <w:tc>
          <w:tcPr>
            <w:tcW w:w="1377" w:type="dxa"/>
            <w:tcBorders>
              <w:top w:val="single" w:color="auto" w:sz="2" w:space="0"/>
              <w:left w:val="single" w:color="auto" w:sz="2" w:space="0"/>
              <w:bottom w:val="single" w:color="auto" w:sz="2" w:space="0"/>
              <w:right w:val="single" w:color="auto" w:sz="2" w:space="0"/>
            </w:tcBorders>
            <w:vAlign w:val="center"/>
          </w:tcPr>
          <w:p w14:paraId="0AD55CE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77.91%</w:t>
            </w:r>
          </w:p>
        </w:tc>
        <w:tc>
          <w:tcPr>
            <w:tcW w:w="1377" w:type="dxa"/>
            <w:tcBorders>
              <w:top w:val="single" w:color="auto" w:sz="2" w:space="0"/>
              <w:left w:val="single" w:color="auto" w:sz="2" w:space="0"/>
              <w:bottom w:val="single" w:color="auto" w:sz="2" w:space="0"/>
              <w:right w:val="single" w:color="auto" w:sz="2" w:space="0"/>
            </w:tcBorders>
            <w:vAlign w:val="center"/>
          </w:tcPr>
          <w:p w14:paraId="3852AFB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5.83%</w:t>
            </w:r>
          </w:p>
        </w:tc>
        <w:tc>
          <w:tcPr>
            <w:tcW w:w="1377" w:type="dxa"/>
            <w:tcBorders>
              <w:top w:val="single" w:color="auto" w:sz="2" w:space="0"/>
              <w:left w:val="single" w:color="auto" w:sz="2" w:space="0"/>
              <w:bottom w:val="single" w:color="auto" w:sz="2" w:space="0"/>
              <w:right w:val="single" w:color="auto" w:sz="2" w:space="0"/>
            </w:tcBorders>
            <w:vAlign w:val="center"/>
          </w:tcPr>
          <w:p w14:paraId="29CDD39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26.07%</w:t>
            </w:r>
          </w:p>
        </w:tc>
        <w:tc>
          <w:tcPr>
            <w:tcW w:w="1377" w:type="dxa"/>
            <w:tcBorders>
              <w:top w:val="single" w:color="auto" w:sz="2" w:space="0"/>
              <w:left w:val="single" w:color="auto" w:sz="2" w:space="0"/>
              <w:bottom w:val="single" w:color="auto" w:sz="2" w:space="0"/>
              <w:right w:val="single" w:color="auto" w:sz="2" w:space="0"/>
            </w:tcBorders>
            <w:vAlign w:val="center"/>
          </w:tcPr>
          <w:p w14:paraId="4ED4F47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-3.55%</w:t>
            </w:r>
          </w:p>
        </w:tc>
      </w:tr>
      <w:tr w14:paraId="4718F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666D707B">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分销售模式</w:t>
            </w:r>
          </w:p>
        </w:tc>
      </w:tr>
    </w:tbl>
    <w:p w14:paraId="21F3E011">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公司主营业务数据统计口径在报告期发生调整的情况下，公司最近1年按报告期末口径调整后的主营业务数据</w:t>
      </w:r>
    </w:p>
    <w:p w14:paraId="449D15D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5FFEDECC">
      <w:pPr>
        <w:keepNext/>
        <w:keepLines/>
        <w:spacing w:before="300" w:after="300" w:line="280" w:lineRule="exact"/>
        <w:jc w:val="left"/>
        <w:outlineLvl w:val="3"/>
        <w:rPr>
          <w:rFonts w:hint="default" w:ascii="Times New Roman" w:hAnsi="Times New Roman" w:eastAsia="宋体" w:cs="Times New Roman"/>
          <w:b/>
          <w:bCs/>
          <w:sz w:val="18"/>
          <w:szCs w:val="18"/>
        </w:rPr>
      </w:pPr>
      <w:bookmarkStart w:id="37" w:name="_Toc988910"/>
      <w:r>
        <w:rPr>
          <w:rFonts w:hint="default" w:ascii="Times New Roman" w:hAnsi="Times New Roman" w:eastAsia="宋体" w:cs="Times New Roman"/>
          <w:b/>
          <w:bCs/>
          <w:sz w:val="18"/>
          <w:szCs w:val="18"/>
        </w:rPr>
        <w:t>（3） 公司实物销售收入是否大于劳务收入</w:t>
      </w:r>
      <w:bookmarkEnd w:id="37"/>
    </w:p>
    <w:p w14:paraId="7342BDE8">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是 □否</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3A149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0155D8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行业分类</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0F3E16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66A15F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2405F2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505C76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A80A91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同比增减</w:t>
            </w:r>
          </w:p>
        </w:tc>
      </w:tr>
      <w:tr w14:paraId="550FE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vAlign w:val="center"/>
          </w:tcPr>
          <w:p w14:paraId="41E9FBD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医疗器械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AC8C8B8">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销售量</w:t>
            </w:r>
          </w:p>
        </w:tc>
        <w:tc>
          <w:tcPr>
            <w:tcW w:w="1606" w:type="dxa"/>
            <w:tcBorders>
              <w:top w:val="single" w:color="auto" w:sz="2" w:space="0"/>
              <w:left w:val="single" w:color="auto" w:sz="2" w:space="0"/>
              <w:bottom w:val="single" w:color="auto" w:sz="2" w:space="0"/>
              <w:right w:val="single" w:color="auto" w:sz="2" w:space="0"/>
            </w:tcBorders>
            <w:vAlign w:val="center"/>
          </w:tcPr>
          <w:p w14:paraId="47E83A7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片/台/根</w:t>
            </w:r>
          </w:p>
        </w:tc>
        <w:tc>
          <w:tcPr>
            <w:tcW w:w="1606" w:type="dxa"/>
            <w:tcBorders>
              <w:top w:val="single" w:color="auto" w:sz="2" w:space="0"/>
              <w:left w:val="single" w:color="auto" w:sz="2" w:space="0"/>
              <w:bottom w:val="single" w:color="auto" w:sz="2" w:space="0"/>
              <w:right w:val="single" w:color="auto" w:sz="2" w:space="0"/>
            </w:tcBorders>
            <w:vAlign w:val="center"/>
          </w:tcPr>
          <w:p w14:paraId="68E2BB4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139,597</w:t>
            </w:r>
          </w:p>
        </w:tc>
        <w:tc>
          <w:tcPr>
            <w:tcW w:w="1606" w:type="dxa"/>
            <w:tcBorders>
              <w:top w:val="single" w:color="auto" w:sz="2" w:space="0"/>
              <w:left w:val="single" w:color="auto" w:sz="2" w:space="0"/>
              <w:bottom w:val="single" w:color="auto" w:sz="2" w:space="0"/>
              <w:right w:val="single" w:color="auto" w:sz="2" w:space="0"/>
            </w:tcBorders>
            <w:vAlign w:val="center"/>
          </w:tcPr>
          <w:p w14:paraId="13E8642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140,423</w:t>
            </w:r>
          </w:p>
        </w:tc>
        <w:tc>
          <w:tcPr>
            <w:tcW w:w="1606" w:type="dxa"/>
            <w:tcBorders>
              <w:top w:val="single" w:color="auto" w:sz="2" w:space="0"/>
              <w:left w:val="single" w:color="auto" w:sz="2" w:space="0"/>
              <w:bottom w:val="single" w:color="auto" w:sz="2" w:space="0"/>
              <w:right w:val="single" w:color="auto" w:sz="2" w:space="0"/>
            </w:tcBorders>
            <w:vAlign w:val="center"/>
          </w:tcPr>
          <w:p w14:paraId="6F208F4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-0.59%</w:t>
            </w:r>
          </w:p>
        </w:tc>
      </w:tr>
      <w:tr w14:paraId="19BEC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14:paraId="24CAB86A">
            <w:pPr>
              <w:spacing w:before="0" w:after="0" w:line="240" w:lineRule="exact"/>
              <w:jc w:val="lef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5F2C61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生产量</w:t>
            </w:r>
          </w:p>
        </w:tc>
        <w:tc>
          <w:tcPr>
            <w:tcW w:w="1606" w:type="dxa"/>
            <w:tcBorders>
              <w:top w:val="single" w:color="auto" w:sz="2" w:space="0"/>
              <w:left w:val="single" w:color="auto" w:sz="2" w:space="0"/>
              <w:bottom w:val="single" w:color="auto" w:sz="2" w:space="0"/>
              <w:right w:val="single" w:color="auto" w:sz="2" w:space="0"/>
            </w:tcBorders>
            <w:vAlign w:val="center"/>
          </w:tcPr>
          <w:p w14:paraId="4AADB6D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片/台/根</w:t>
            </w:r>
          </w:p>
        </w:tc>
        <w:tc>
          <w:tcPr>
            <w:tcW w:w="1606" w:type="dxa"/>
            <w:tcBorders>
              <w:top w:val="single" w:color="auto" w:sz="2" w:space="0"/>
              <w:left w:val="single" w:color="auto" w:sz="2" w:space="0"/>
              <w:bottom w:val="single" w:color="auto" w:sz="2" w:space="0"/>
              <w:right w:val="single" w:color="auto" w:sz="2" w:space="0"/>
            </w:tcBorders>
            <w:vAlign w:val="center"/>
          </w:tcPr>
          <w:p w14:paraId="2D5EA9B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143,908</w:t>
            </w:r>
          </w:p>
        </w:tc>
        <w:tc>
          <w:tcPr>
            <w:tcW w:w="1606" w:type="dxa"/>
            <w:tcBorders>
              <w:top w:val="single" w:color="auto" w:sz="2" w:space="0"/>
              <w:left w:val="single" w:color="auto" w:sz="2" w:space="0"/>
              <w:bottom w:val="single" w:color="auto" w:sz="2" w:space="0"/>
              <w:right w:val="single" w:color="auto" w:sz="2" w:space="0"/>
            </w:tcBorders>
            <w:vAlign w:val="center"/>
          </w:tcPr>
          <w:p w14:paraId="288279B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138,284</w:t>
            </w:r>
          </w:p>
        </w:tc>
        <w:tc>
          <w:tcPr>
            <w:tcW w:w="1606" w:type="dxa"/>
            <w:tcBorders>
              <w:top w:val="single" w:color="auto" w:sz="2" w:space="0"/>
              <w:left w:val="single" w:color="auto" w:sz="2" w:space="0"/>
              <w:bottom w:val="single" w:color="auto" w:sz="2" w:space="0"/>
              <w:right w:val="single" w:color="auto" w:sz="2" w:space="0"/>
            </w:tcBorders>
            <w:vAlign w:val="center"/>
          </w:tcPr>
          <w:p w14:paraId="68C2331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4.07%</w:t>
            </w:r>
          </w:p>
        </w:tc>
      </w:tr>
      <w:tr w14:paraId="27E83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14:paraId="3F01C1BC">
            <w:pPr>
              <w:spacing w:before="0" w:after="0" w:line="240" w:lineRule="exact"/>
              <w:jc w:val="lef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ACF6AF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库存量</w:t>
            </w:r>
          </w:p>
        </w:tc>
        <w:tc>
          <w:tcPr>
            <w:tcW w:w="1606" w:type="dxa"/>
            <w:tcBorders>
              <w:top w:val="single" w:color="auto" w:sz="2" w:space="0"/>
              <w:left w:val="single" w:color="auto" w:sz="2" w:space="0"/>
              <w:bottom w:val="single" w:color="auto" w:sz="2" w:space="0"/>
              <w:right w:val="single" w:color="auto" w:sz="2" w:space="0"/>
            </w:tcBorders>
            <w:vAlign w:val="center"/>
          </w:tcPr>
          <w:p w14:paraId="5CDF435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片/台/根</w:t>
            </w:r>
          </w:p>
        </w:tc>
        <w:tc>
          <w:tcPr>
            <w:tcW w:w="1606" w:type="dxa"/>
            <w:tcBorders>
              <w:top w:val="single" w:color="auto" w:sz="2" w:space="0"/>
              <w:left w:val="single" w:color="auto" w:sz="2" w:space="0"/>
              <w:bottom w:val="single" w:color="auto" w:sz="2" w:space="0"/>
              <w:right w:val="single" w:color="auto" w:sz="2" w:space="0"/>
            </w:tcBorders>
            <w:vAlign w:val="center"/>
          </w:tcPr>
          <w:p w14:paraId="4493ECD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59,234</w:t>
            </w:r>
          </w:p>
        </w:tc>
        <w:tc>
          <w:tcPr>
            <w:tcW w:w="1606" w:type="dxa"/>
            <w:tcBorders>
              <w:top w:val="single" w:color="auto" w:sz="2" w:space="0"/>
              <w:left w:val="single" w:color="auto" w:sz="2" w:space="0"/>
              <w:bottom w:val="single" w:color="auto" w:sz="2" w:space="0"/>
              <w:right w:val="single" w:color="auto" w:sz="2" w:space="0"/>
            </w:tcBorders>
            <w:vAlign w:val="center"/>
          </w:tcPr>
          <w:p w14:paraId="2DBD6C2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367,528</w:t>
            </w:r>
          </w:p>
        </w:tc>
        <w:tc>
          <w:tcPr>
            <w:tcW w:w="1606" w:type="dxa"/>
            <w:tcBorders>
              <w:top w:val="single" w:color="auto" w:sz="2" w:space="0"/>
              <w:left w:val="single" w:color="auto" w:sz="2" w:space="0"/>
              <w:bottom w:val="single" w:color="auto" w:sz="2" w:space="0"/>
              <w:right w:val="single" w:color="auto" w:sz="2" w:space="0"/>
            </w:tcBorders>
            <w:vAlign w:val="center"/>
          </w:tcPr>
          <w:p w14:paraId="35A25A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-83.88%</w:t>
            </w:r>
          </w:p>
        </w:tc>
      </w:tr>
      <w:tr w14:paraId="2D272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14:paraId="7D87B28D">
            <w:pPr>
              <w:spacing w:before="0" w:after="0" w:line="240" w:lineRule="exact"/>
              <w:jc w:val="lef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13BAEEB">
            <w:pPr>
              <w:spacing w:before="0" w:after="0" w:line="240" w:lineRule="exact"/>
              <w:jc w:val="lef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821ADF5">
            <w:pPr>
              <w:spacing w:before="0" w:after="0" w:line="240" w:lineRule="exact"/>
              <w:jc w:val="lef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A8E5EE7">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18E6CF5">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E946D24">
            <w:pPr>
              <w:spacing w:before="0" w:after="0" w:line="240" w:lineRule="exact"/>
              <w:jc w:val="right"/>
              <w:rPr>
                <w:rFonts w:hint="default" w:ascii="Times New Roman" w:hAnsi="Times New Roman" w:eastAsia="宋体" w:cs="Times New Roman"/>
                <w:sz w:val="18"/>
                <w:szCs w:val="18"/>
              </w:rPr>
            </w:pPr>
          </w:p>
        </w:tc>
      </w:tr>
      <w:tr w14:paraId="6075C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vAlign w:val="center"/>
          </w:tcPr>
          <w:p w14:paraId="0B17421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药品</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DB7136B">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销售量</w:t>
            </w:r>
          </w:p>
        </w:tc>
        <w:tc>
          <w:tcPr>
            <w:tcW w:w="1606" w:type="dxa"/>
            <w:tcBorders>
              <w:top w:val="single" w:color="auto" w:sz="2" w:space="0"/>
              <w:left w:val="single" w:color="auto" w:sz="2" w:space="0"/>
              <w:bottom w:val="single" w:color="auto" w:sz="2" w:space="0"/>
              <w:right w:val="single" w:color="auto" w:sz="2" w:space="0"/>
            </w:tcBorders>
            <w:vAlign w:val="center"/>
          </w:tcPr>
          <w:p w14:paraId="78A33FB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只</w:t>
            </w:r>
          </w:p>
        </w:tc>
        <w:tc>
          <w:tcPr>
            <w:tcW w:w="1606" w:type="dxa"/>
            <w:tcBorders>
              <w:top w:val="single" w:color="auto" w:sz="2" w:space="0"/>
              <w:left w:val="single" w:color="auto" w:sz="2" w:space="0"/>
              <w:bottom w:val="single" w:color="auto" w:sz="2" w:space="0"/>
              <w:right w:val="single" w:color="auto" w:sz="2" w:space="0"/>
            </w:tcBorders>
            <w:vAlign w:val="center"/>
          </w:tcPr>
          <w:p w14:paraId="6FDA08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519,524</w:t>
            </w:r>
          </w:p>
        </w:tc>
        <w:tc>
          <w:tcPr>
            <w:tcW w:w="1606" w:type="dxa"/>
            <w:tcBorders>
              <w:top w:val="single" w:color="auto" w:sz="2" w:space="0"/>
              <w:left w:val="single" w:color="auto" w:sz="2" w:space="0"/>
              <w:bottom w:val="single" w:color="auto" w:sz="2" w:space="0"/>
              <w:right w:val="single" w:color="auto" w:sz="2" w:space="0"/>
            </w:tcBorders>
            <w:vAlign w:val="center"/>
          </w:tcPr>
          <w:p w14:paraId="23E8028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326,489</w:t>
            </w:r>
          </w:p>
        </w:tc>
        <w:tc>
          <w:tcPr>
            <w:tcW w:w="1606" w:type="dxa"/>
            <w:tcBorders>
              <w:top w:val="single" w:color="auto" w:sz="2" w:space="0"/>
              <w:left w:val="single" w:color="auto" w:sz="2" w:space="0"/>
              <w:bottom w:val="single" w:color="auto" w:sz="2" w:space="0"/>
              <w:right w:val="single" w:color="auto" w:sz="2" w:space="0"/>
            </w:tcBorders>
            <w:vAlign w:val="center"/>
          </w:tcPr>
          <w:p w14:paraId="5C98FFA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59.12%</w:t>
            </w:r>
          </w:p>
        </w:tc>
      </w:tr>
      <w:tr w14:paraId="2A3B7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14:paraId="66947A48">
            <w:pPr>
              <w:spacing w:before="0" w:after="0" w:line="240" w:lineRule="exact"/>
              <w:jc w:val="lef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DE657F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生产量</w:t>
            </w:r>
          </w:p>
        </w:tc>
        <w:tc>
          <w:tcPr>
            <w:tcW w:w="1606" w:type="dxa"/>
            <w:tcBorders>
              <w:top w:val="single" w:color="auto" w:sz="2" w:space="0"/>
              <w:left w:val="single" w:color="auto" w:sz="2" w:space="0"/>
              <w:bottom w:val="single" w:color="auto" w:sz="2" w:space="0"/>
              <w:right w:val="single" w:color="auto" w:sz="2" w:space="0"/>
            </w:tcBorders>
            <w:vAlign w:val="center"/>
          </w:tcPr>
          <w:p w14:paraId="7A36E97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只</w:t>
            </w:r>
          </w:p>
        </w:tc>
        <w:tc>
          <w:tcPr>
            <w:tcW w:w="1606" w:type="dxa"/>
            <w:tcBorders>
              <w:top w:val="single" w:color="auto" w:sz="2" w:space="0"/>
              <w:left w:val="single" w:color="auto" w:sz="2" w:space="0"/>
              <w:bottom w:val="single" w:color="auto" w:sz="2" w:space="0"/>
              <w:right w:val="single" w:color="auto" w:sz="2" w:space="0"/>
            </w:tcBorders>
            <w:vAlign w:val="center"/>
          </w:tcPr>
          <w:p w14:paraId="0D224AB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1,353,360</w:t>
            </w:r>
          </w:p>
        </w:tc>
        <w:tc>
          <w:tcPr>
            <w:tcW w:w="1606" w:type="dxa"/>
            <w:tcBorders>
              <w:top w:val="single" w:color="auto" w:sz="2" w:space="0"/>
              <w:left w:val="single" w:color="auto" w:sz="2" w:space="0"/>
              <w:bottom w:val="single" w:color="auto" w:sz="2" w:space="0"/>
              <w:right w:val="single" w:color="auto" w:sz="2" w:space="0"/>
            </w:tcBorders>
            <w:vAlign w:val="center"/>
          </w:tcPr>
          <w:p w14:paraId="765CA2B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281,970</w:t>
            </w:r>
          </w:p>
        </w:tc>
        <w:tc>
          <w:tcPr>
            <w:tcW w:w="1606" w:type="dxa"/>
            <w:tcBorders>
              <w:top w:val="single" w:color="auto" w:sz="2" w:space="0"/>
              <w:left w:val="single" w:color="auto" w:sz="2" w:space="0"/>
              <w:bottom w:val="single" w:color="auto" w:sz="2" w:space="0"/>
              <w:right w:val="single" w:color="auto" w:sz="2" w:space="0"/>
            </w:tcBorders>
            <w:vAlign w:val="center"/>
          </w:tcPr>
          <w:p w14:paraId="4C71D31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379.97%</w:t>
            </w:r>
          </w:p>
        </w:tc>
      </w:tr>
      <w:tr w14:paraId="39060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14:paraId="7AA3F2B8">
            <w:pPr>
              <w:spacing w:before="0" w:after="0" w:line="240" w:lineRule="exact"/>
              <w:jc w:val="lef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D1AC393">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库存量</w:t>
            </w:r>
          </w:p>
        </w:tc>
        <w:tc>
          <w:tcPr>
            <w:tcW w:w="1606" w:type="dxa"/>
            <w:tcBorders>
              <w:top w:val="single" w:color="auto" w:sz="2" w:space="0"/>
              <w:left w:val="single" w:color="auto" w:sz="2" w:space="0"/>
              <w:bottom w:val="single" w:color="auto" w:sz="2" w:space="0"/>
              <w:right w:val="single" w:color="auto" w:sz="2" w:space="0"/>
            </w:tcBorders>
            <w:vAlign w:val="center"/>
          </w:tcPr>
          <w:p w14:paraId="435387C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只</w:t>
            </w:r>
          </w:p>
        </w:tc>
        <w:tc>
          <w:tcPr>
            <w:tcW w:w="1606" w:type="dxa"/>
            <w:tcBorders>
              <w:top w:val="single" w:color="auto" w:sz="2" w:space="0"/>
              <w:left w:val="single" w:color="auto" w:sz="2" w:space="0"/>
              <w:bottom w:val="single" w:color="auto" w:sz="2" w:space="0"/>
              <w:right w:val="single" w:color="auto" w:sz="2" w:space="0"/>
            </w:tcBorders>
            <w:vAlign w:val="center"/>
          </w:tcPr>
          <w:p w14:paraId="0196A04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843,918</w:t>
            </w:r>
          </w:p>
        </w:tc>
        <w:tc>
          <w:tcPr>
            <w:tcW w:w="1606" w:type="dxa"/>
            <w:tcBorders>
              <w:top w:val="single" w:color="auto" w:sz="2" w:space="0"/>
              <w:left w:val="single" w:color="auto" w:sz="2" w:space="0"/>
              <w:bottom w:val="single" w:color="auto" w:sz="2" w:space="0"/>
              <w:right w:val="single" w:color="auto" w:sz="2" w:space="0"/>
            </w:tcBorders>
            <w:vAlign w:val="center"/>
          </w:tcPr>
          <w:p w14:paraId="2C89131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55,037</w:t>
            </w:r>
          </w:p>
        </w:tc>
        <w:tc>
          <w:tcPr>
            <w:tcW w:w="1606" w:type="dxa"/>
            <w:tcBorders>
              <w:top w:val="single" w:color="auto" w:sz="2" w:space="0"/>
              <w:left w:val="single" w:color="auto" w:sz="2" w:space="0"/>
              <w:bottom w:val="single" w:color="auto" w:sz="2" w:space="0"/>
              <w:right w:val="single" w:color="auto" w:sz="2" w:space="0"/>
            </w:tcBorders>
            <w:vAlign w:val="center"/>
          </w:tcPr>
          <w:p w14:paraId="75FF124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1,433.36%</w:t>
            </w:r>
          </w:p>
        </w:tc>
      </w:tr>
      <w:tr w14:paraId="46DAB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14:paraId="2F2DF783">
            <w:pPr>
              <w:spacing w:before="0" w:after="0" w:line="240" w:lineRule="exact"/>
              <w:jc w:val="lef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CF97A7A">
            <w:pPr>
              <w:spacing w:before="0" w:after="0" w:line="240" w:lineRule="exact"/>
              <w:jc w:val="lef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BBAB81F">
            <w:pPr>
              <w:spacing w:before="0" w:after="0" w:line="240" w:lineRule="exact"/>
              <w:jc w:val="lef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9070274">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EBF6C54">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99E9B77">
            <w:pPr>
              <w:spacing w:before="0" w:after="0" w:line="240" w:lineRule="exact"/>
              <w:jc w:val="right"/>
              <w:rPr>
                <w:rFonts w:hint="default" w:ascii="Times New Roman" w:hAnsi="Times New Roman" w:eastAsia="宋体" w:cs="Times New Roman"/>
                <w:sz w:val="18"/>
                <w:szCs w:val="18"/>
              </w:rPr>
            </w:pPr>
          </w:p>
        </w:tc>
      </w:tr>
    </w:tbl>
    <w:p w14:paraId="7E5394EA">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相关数据同比发生变动30%以上的原因说明</w:t>
      </w:r>
    </w:p>
    <w:p w14:paraId="04982C23">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p w14:paraId="43C299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sz w:val="18"/>
          <w:szCs w:val="18"/>
        </w:rPr>
        <w:t>1、医疗器械2025年库存量较上年同期下降83.88%，主要为本年度销毁过期无法销售的人工晶体32万片。</w:t>
      </w:r>
    </w:p>
    <w:p w14:paraId="4EC4F0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sz w:val="18"/>
          <w:szCs w:val="18"/>
        </w:rPr>
        <w:t>2、2025年，公司药品销售量同比增长59.12%，生产量同比增长379.97%，期末库存量同比增长1433.36%。上述指标大幅增长的主要原因系：公司通过加大市场营销投入，有效拉动了销售规模的提升；同时，鉴于年末计划实施乳膏技改项目并将暂时停产数月，为保障市场供应安全，公司依据销售预期进行了战略性提前备货，导致产成品库存显著增加。</w:t>
      </w:r>
    </w:p>
    <w:p w14:paraId="7F9FE2A2">
      <w:pPr>
        <w:keepNext/>
        <w:keepLines/>
        <w:spacing w:before="300" w:after="300" w:line="280" w:lineRule="exact"/>
        <w:jc w:val="left"/>
        <w:outlineLvl w:val="3"/>
        <w:rPr>
          <w:rFonts w:hint="default" w:ascii="Times New Roman" w:hAnsi="Times New Roman" w:eastAsia="宋体" w:cs="Times New Roman"/>
          <w:b/>
          <w:bCs/>
          <w:sz w:val="18"/>
          <w:szCs w:val="18"/>
        </w:rPr>
      </w:pPr>
      <w:bookmarkStart w:id="38" w:name="_Toc988911"/>
      <w:r>
        <w:rPr>
          <w:rFonts w:hint="default" w:ascii="Times New Roman" w:hAnsi="Times New Roman" w:eastAsia="宋体" w:cs="Times New Roman"/>
          <w:b/>
          <w:bCs/>
          <w:sz w:val="18"/>
          <w:szCs w:val="18"/>
        </w:rPr>
        <w:t>（4） 公司已签订的重大销售合同、重大采购合同截至本报告期的履行情况</w:t>
      </w:r>
      <w:bookmarkEnd w:id="38"/>
    </w:p>
    <w:p w14:paraId="224BB81D">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672B2D02">
      <w:pPr>
        <w:keepNext/>
        <w:keepLines/>
        <w:spacing w:before="300" w:after="300" w:line="280" w:lineRule="exact"/>
        <w:jc w:val="left"/>
        <w:outlineLvl w:val="3"/>
        <w:rPr>
          <w:rFonts w:hint="default" w:ascii="Times New Roman" w:hAnsi="Times New Roman" w:eastAsia="宋体" w:cs="Times New Roman"/>
          <w:b/>
          <w:bCs/>
          <w:sz w:val="18"/>
          <w:szCs w:val="18"/>
        </w:rPr>
      </w:pPr>
      <w:bookmarkStart w:id="39" w:name="_Toc988912"/>
      <w:r>
        <w:rPr>
          <w:rFonts w:hint="default" w:ascii="Times New Roman" w:hAnsi="Times New Roman" w:eastAsia="宋体" w:cs="Times New Roman"/>
          <w:b/>
          <w:bCs/>
          <w:sz w:val="18"/>
          <w:szCs w:val="18"/>
        </w:rPr>
        <w:t>（5） 营业成本构成</w:t>
      </w:r>
      <w:bookmarkEnd w:id="39"/>
    </w:p>
    <w:p w14:paraId="560D329C">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行业分类</w:t>
      </w:r>
    </w:p>
    <w:p w14:paraId="40317EDB">
      <w:pPr>
        <w:spacing w:before="120" w:after="12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50CF6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51BBE7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行业分类</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67854B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917234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94B58A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ACAB57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同比增减</w:t>
            </w:r>
          </w:p>
        </w:tc>
      </w:tr>
      <w:tr w14:paraId="31107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6B9CDF6">
            <w:pPr>
              <w:rPr>
                <w:rFonts w:hint="default"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5D095EA">
            <w:pPr>
              <w:rPr>
                <w:rFonts w:hint="default"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F6B572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472D5A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占营业成本比重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752B8B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C870D7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占营业成本比重</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B43130B">
            <w:pPr>
              <w:rPr>
                <w:rFonts w:hint="default" w:ascii="Times New Roman" w:hAnsi="Times New Roman" w:cs="Times New Roman"/>
              </w:rPr>
            </w:pPr>
          </w:p>
        </w:tc>
      </w:tr>
      <w:tr w14:paraId="094AD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DADEB0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医疗器械</w:t>
            </w:r>
          </w:p>
        </w:tc>
        <w:tc>
          <w:tcPr>
            <w:tcW w:w="1377" w:type="dxa"/>
            <w:tcBorders>
              <w:top w:val="single" w:color="auto" w:sz="2" w:space="0"/>
              <w:left w:val="single" w:color="auto" w:sz="2" w:space="0"/>
              <w:bottom w:val="single" w:color="auto" w:sz="2" w:space="0"/>
              <w:right w:val="single" w:color="auto" w:sz="2" w:space="0"/>
            </w:tcBorders>
            <w:vAlign w:val="center"/>
          </w:tcPr>
          <w:p w14:paraId="300F311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14:paraId="32CAAEE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2,922,302.56</w:t>
            </w:r>
          </w:p>
        </w:tc>
        <w:tc>
          <w:tcPr>
            <w:tcW w:w="1377" w:type="dxa"/>
            <w:tcBorders>
              <w:top w:val="single" w:color="auto" w:sz="2" w:space="0"/>
              <w:left w:val="single" w:color="auto" w:sz="2" w:space="0"/>
              <w:bottom w:val="single" w:color="auto" w:sz="2" w:space="0"/>
              <w:right w:val="single" w:color="auto" w:sz="2" w:space="0"/>
            </w:tcBorders>
            <w:vAlign w:val="center"/>
          </w:tcPr>
          <w:p w14:paraId="461D8B9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16.74%</w:t>
            </w:r>
          </w:p>
        </w:tc>
        <w:tc>
          <w:tcPr>
            <w:tcW w:w="1377" w:type="dxa"/>
            <w:tcBorders>
              <w:top w:val="single" w:color="auto" w:sz="2" w:space="0"/>
              <w:left w:val="single" w:color="auto" w:sz="2" w:space="0"/>
              <w:bottom w:val="single" w:color="auto" w:sz="2" w:space="0"/>
              <w:right w:val="single" w:color="auto" w:sz="2" w:space="0"/>
            </w:tcBorders>
            <w:vAlign w:val="center"/>
          </w:tcPr>
          <w:p w14:paraId="66472C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3,654,992.32</w:t>
            </w:r>
          </w:p>
        </w:tc>
        <w:tc>
          <w:tcPr>
            <w:tcW w:w="1377" w:type="dxa"/>
            <w:tcBorders>
              <w:top w:val="single" w:color="auto" w:sz="2" w:space="0"/>
              <w:left w:val="single" w:color="auto" w:sz="2" w:space="0"/>
              <w:bottom w:val="single" w:color="auto" w:sz="2" w:space="0"/>
              <w:right w:val="single" w:color="auto" w:sz="2" w:space="0"/>
            </w:tcBorders>
            <w:vAlign w:val="center"/>
          </w:tcPr>
          <w:p w14:paraId="5FCEC45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18.71%</w:t>
            </w:r>
          </w:p>
        </w:tc>
        <w:tc>
          <w:tcPr>
            <w:tcW w:w="1377" w:type="dxa"/>
            <w:tcBorders>
              <w:top w:val="single" w:color="auto" w:sz="2" w:space="0"/>
              <w:left w:val="single" w:color="auto" w:sz="2" w:space="0"/>
              <w:bottom w:val="single" w:color="auto" w:sz="2" w:space="0"/>
              <w:right w:val="single" w:color="auto" w:sz="2" w:space="0"/>
            </w:tcBorders>
            <w:vAlign w:val="center"/>
          </w:tcPr>
          <w:p w14:paraId="6CE4861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-20.05%</w:t>
            </w:r>
          </w:p>
        </w:tc>
      </w:tr>
      <w:tr w14:paraId="74DF8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7021E4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医疗器械</w:t>
            </w:r>
          </w:p>
        </w:tc>
        <w:tc>
          <w:tcPr>
            <w:tcW w:w="1377" w:type="dxa"/>
            <w:tcBorders>
              <w:top w:val="single" w:color="auto" w:sz="2" w:space="0"/>
              <w:left w:val="single" w:color="auto" w:sz="2" w:space="0"/>
              <w:bottom w:val="single" w:color="auto" w:sz="2" w:space="0"/>
              <w:right w:val="single" w:color="auto" w:sz="2" w:space="0"/>
            </w:tcBorders>
            <w:vAlign w:val="center"/>
          </w:tcPr>
          <w:p w14:paraId="538ABA6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人工工资</w:t>
            </w:r>
          </w:p>
        </w:tc>
        <w:tc>
          <w:tcPr>
            <w:tcW w:w="1377" w:type="dxa"/>
            <w:tcBorders>
              <w:top w:val="single" w:color="auto" w:sz="2" w:space="0"/>
              <w:left w:val="single" w:color="auto" w:sz="2" w:space="0"/>
              <w:bottom w:val="single" w:color="auto" w:sz="2" w:space="0"/>
              <w:right w:val="single" w:color="auto" w:sz="2" w:space="0"/>
            </w:tcBorders>
            <w:vAlign w:val="center"/>
          </w:tcPr>
          <w:p w14:paraId="67826A3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7,336,827.95</w:t>
            </w:r>
          </w:p>
        </w:tc>
        <w:tc>
          <w:tcPr>
            <w:tcW w:w="1377" w:type="dxa"/>
            <w:tcBorders>
              <w:top w:val="single" w:color="auto" w:sz="2" w:space="0"/>
              <w:left w:val="single" w:color="auto" w:sz="2" w:space="0"/>
              <w:bottom w:val="single" w:color="auto" w:sz="2" w:space="0"/>
              <w:right w:val="single" w:color="auto" w:sz="2" w:space="0"/>
            </w:tcBorders>
            <w:vAlign w:val="center"/>
          </w:tcPr>
          <w:p w14:paraId="6163587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42.02%</w:t>
            </w:r>
          </w:p>
        </w:tc>
        <w:tc>
          <w:tcPr>
            <w:tcW w:w="1377" w:type="dxa"/>
            <w:tcBorders>
              <w:top w:val="single" w:color="auto" w:sz="2" w:space="0"/>
              <w:left w:val="single" w:color="auto" w:sz="2" w:space="0"/>
              <w:bottom w:val="single" w:color="auto" w:sz="2" w:space="0"/>
              <w:right w:val="single" w:color="auto" w:sz="2" w:space="0"/>
            </w:tcBorders>
            <w:vAlign w:val="center"/>
          </w:tcPr>
          <w:p w14:paraId="349A2E0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8,472,662.47</w:t>
            </w:r>
          </w:p>
        </w:tc>
        <w:tc>
          <w:tcPr>
            <w:tcW w:w="1377" w:type="dxa"/>
            <w:tcBorders>
              <w:top w:val="single" w:color="auto" w:sz="2" w:space="0"/>
              <w:left w:val="single" w:color="auto" w:sz="2" w:space="0"/>
              <w:bottom w:val="single" w:color="auto" w:sz="2" w:space="0"/>
              <w:right w:val="single" w:color="auto" w:sz="2" w:space="0"/>
            </w:tcBorders>
            <w:vAlign w:val="center"/>
          </w:tcPr>
          <w:p w14:paraId="544279C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43.36%</w:t>
            </w:r>
          </w:p>
        </w:tc>
        <w:tc>
          <w:tcPr>
            <w:tcW w:w="1377" w:type="dxa"/>
            <w:tcBorders>
              <w:top w:val="single" w:color="auto" w:sz="2" w:space="0"/>
              <w:left w:val="single" w:color="auto" w:sz="2" w:space="0"/>
              <w:bottom w:val="single" w:color="auto" w:sz="2" w:space="0"/>
              <w:right w:val="single" w:color="auto" w:sz="2" w:space="0"/>
            </w:tcBorders>
            <w:vAlign w:val="center"/>
          </w:tcPr>
          <w:p w14:paraId="30C8DE0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-13.41%</w:t>
            </w:r>
          </w:p>
        </w:tc>
      </w:tr>
      <w:tr w14:paraId="5DA83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7EA355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医疗器械</w:t>
            </w:r>
          </w:p>
        </w:tc>
        <w:tc>
          <w:tcPr>
            <w:tcW w:w="1377" w:type="dxa"/>
            <w:tcBorders>
              <w:top w:val="single" w:color="auto" w:sz="2" w:space="0"/>
              <w:left w:val="single" w:color="auto" w:sz="2" w:space="0"/>
              <w:bottom w:val="single" w:color="auto" w:sz="2" w:space="0"/>
              <w:right w:val="single" w:color="auto" w:sz="2" w:space="0"/>
            </w:tcBorders>
            <w:vAlign w:val="center"/>
          </w:tcPr>
          <w:p w14:paraId="32472D4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制造费用摊销</w:t>
            </w:r>
          </w:p>
        </w:tc>
        <w:tc>
          <w:tcPr>
            <w:tcW w:w="1377" w:type="dxa"/>
            <w:tcBorders>
              <w:top w:val="single" w:color="auto" w:sz="2" w:space="0"/>
              <w:left w:val="single" w:color="auto" w:sz="2" w:space="0"/>
              <w:bottom w:val="single" w:color="auto" w:sz="2" w:space="0"/>
              <w:right w:val="single" w:color="auto" w:sz="2" w:space="0"/>
            </w:tcBorders>
            <w:vAlign w:val="center"/>
          </w:tcPr>
          <w:p w14:paraId="2BA8B63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6,468,409.14</w:t>
            </w:r>
          </w:p>
        </w:tc>
        <w:tc>
          <w:tcPr>
            <w:tcW w:w="1377" w:type="dxa"/>
            <w:tcBorders>
              <w:top w:val="single" w:color="auto" w:sz="2" w:space="0"/>
              <w:left w:val="single" w:color="auto" w:sz="2" w:space="0"/>
              <w:bottom w:val="single" w:color="auto" w:sz="2" w:space="0"/>
              <w:right w:val="single" w:color="auto" w:sz="2" w:space="0"/>
            </w:tcBorders>
            <w:vAlign w:val="center"/>
          </w:tcPr>
          <w:p w14:paraId="305C07A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37.05%</w:t>
            </w:r>
          </w:p>
        </w:tc>
        <w:tc>
          <w:tcPr>
            <w:tcW w:w="1377" w:type="dxa"/>
            <w:tcBorders>
              <w:top w:val="single" w:color="auto" w:sz="2" w:space="0"/>
              <w:left w:val="single" w:color="auto" w:sz="2" w:space="0"/>
              <w:bottom w:val="single" w:color="auto" w:sz="2" w:space="0"/>
              <w:right w:val="single" w:color="auto" w:sz="2" w:space="0"/>
            </w:tcBorders>
            <w:vAlign w:val="center"/>
          </w:tcPr>
          <w:p w14:paraId="2E4D363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6,720,264.67</w:t>
            </w:r>
          </w:p>
        </w:tc>
        <w:tc>
          <w:tcPr>
            <w:tcW w:w="1377" w:type="dxa"/>
            <w:tcBorders>
              <w:top w:val="single" w:color="auto" w:sz="2" w:space="0"/>
              <w:left w:val="single" w:color="auto" w:sz="2" w:space="0"/>
              <w:bottom w:val="single" w:color="auto" w:sz="2" w:space="0"/>
              <w:right w:val="single" w:color="auto" w:sz="2" w:space="0"/>
            </w:tcBorders>
            <w:vAlign w:val="center"/>
          </w:tcPr>
          <w:p w14:paraId="4348FC8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34.39%</w:t>
            </w:r>
          </w:p>
        </w:tc>
        <w:tc>
          <w:tcPr>
            <w:tcW w:w="1377" w:type="dxa"/>
            <w:tcBorders>
              <w:top w:val="single" w:color="auto" w:sz="2" w:space="0"/>
              <w:left w:val="single" w:color="auto" w:sz="2" w:space="0"/>
              <w:bottom w:val="single" w:color="auto" w:sz="2" w:space="0"/>
              <w:right w:val="single" w:color="auto" w:sz="2" w:space="0"/>
            </w:tcBorders>
            <w:vAlign w:val="center"/>
          </w:tcPr>
          <w:p w14:paraId="5167F3D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-3.75%</w:t>
            </w:r>
          </w:p>
        </w:tc>
      </w:tr>
      <w:tr w14:paraId="4CE8C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DFCD57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医疗器械</w:t>
            </w:r>
          </w:p>
        </w:tc>
        <w:tc>
          <w:tcPr>
            <w:tcW w:w="1377" w:type="dxa"/>
            <w:tcBorders>
              <w:top w:val="single" w:color="auto" w:sz="2" w:space="0"/>
              <w:left w:val="single" w:color="auto" w:sz="2" w:space="0"/>
              <w:bottom w:val="single" w:color="auto" w:sz="2" w:space="0"/>
              <w:right w:val="single" w:color="auto" w:sz="2" w:space="0"/>
            </w:tcBorders>
            <w:vAlign w:val="center"/>
          </w:tcPr>
          <w:p w14:paraId="2B17225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14:paraId="12C1440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732,169.03</w:t>
            </w:r>
          </w:p>
        </w:tc>
        <w:tc>
          <w:tcPr>
            <w:tcW w:w="1377" w:type="dxa"/>
            <w:tcBorders>
              <w:top w:val="single" w:color="auto" w:sz="2" w:space="0"/>
              <w:left w:val="single" w:color="auto" w:sz="2" w:space="0"/>
              <w:bottom w:val="single" w:color="auto" w:sz="2" w:space="0"/>
              <w:right w:val="single" w:color="auto" w:sz="2" w:space="0"/>
            </w:tcBorders>
            <w:vAlign w:val="center"/>
          </w:tcPr>
          <w:p w14:paraId="2F5458C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4.19%</w:t>
            </w:r>
          </w:p>
        </w:tc>
        <w:tc>
          <w:tcPr>
            <w:tcW w:w="1377" w:type="dxa"/>
            <w:tcBorders>
              <w:top w:val="single" w:color="auto" w:sz="2" w:space="0"/>
              <w:left w:val="single" w:color="auto" w:sz="2" w:space="0"/>
              <w:bottom w:val="single" w:color="auto" w:sz="2" w:space="0"/>
              <w:right w:val="single" w:color="auto" w:sz="2" w:space="0"/>
            </w:tcBorders>
            <w:vAlign w:val="center"/>
          </w:tcPr>
          <w:p w14:paraId="2659C79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690,610.84</w:t>
            </w:r>
          </w:p>
        </w:tc>
        <w:tc>
          <w:tcPr>
            <w:tcW w:w="1377" w:type="dxa"/>
            <w:tcBorders>
              <w:top w:val="single" w:color="auto" w:sz="2" w:space="0"/>
              <w:left w:val="single" w:color="auto" w:sz="2" w:space="0"/>
              <w:bottom w:val="single" w:color="auto" w:sz="2" w:space="0"/>
              <w:right w:val="single" w:color="auto" w:sz="2" w:space="0"/>
            </w:tcBorders>
            <w:vAlign w:val="center"/>
          </w:tcPr>
          <w:p w14:paraId="7659931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w:t>
            </w:r>
          </w:p>
        </w:tc>
        <w:tc>
          <w:tcPr>
            <w:tcW w:w="1377" w:type="dxa"/>
            <w:tcBorders>
              <w:top w:val="single" w:color="auto" w:sz="2" w:space="0"/>
              <w:left w:val="single" w:color="auto" w:sz="2" w:space="0"/>
              <w:bottom w:val="single" w:color="auto" w:sz="2" w:space="0"/>
              <w:right w:val="single" w:color="auto" w:sz="2" w:space="0"/>
            </w:tcBorders>
            <w:vAlign w:val="center"/>
          </w:tcPr>
          <w:p w14:paraId="293031B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6.02%</w:t>
            </w:r>
          </w:p>
        </w:tc>
      </w:tr>
      <w:tr w14:paraId="58CFF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9643F1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医疗器械</w:t>
            </w:r>
          </w:p>
        </w:tc>
        <w:tc>
          <w:tcPr>
            <w:tcW w:w="1377" w:type="dxa"/>
            <w:tcBorders>
              <w:top w:val="single" w:color="auto" w:sz="2" w:space="0"/>
              <w:left w:val="single" w:color="auto" w:sz="2" w:space="0"/>
              <w:bottom w:val="single" w:color="auto" w:sz="2" w:space="0"/>
              <w:right w:val="single" w:color="auto" w:sz="2" w:space="0"/>
            </w:tcBorders>
            <w:vAlign w:val="center"/>
          </w:tcPr>
          <w:p w14:paraId="0491E6A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6465106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17,459,708.68</w:t>
            </w:r>
          </w:p>
        </w:tc>
        <w:tc>
          <w:tcPr>
            <w:tcW w:w="1377" w:type="dxa"/>
            <w:tcBorders>
              <w:top w:val="single" w:color="auto" w:sz="2" w:space="0"/>
              <w:left w:val="single" w:color="auto" w:sz="2" w:space="0"/>
              <w:bottom w:val="single" w:color="auto" w:sz="2" w:space="0"/>
              <w:right w:val="single" w:color="auto" w:sz="2" w:space="0"/>
            </w:tcBorders>
            <w:vAlign w:val="center"/>
          </w:tcPr>
          <w:p w14:paraId="453CD71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14:paraId="5329FEA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19,538,530.30</w:t>
            </w:r>
          </w:p>
        </w:tc>
        <w:tc>
          <w:tcPr>
            <w:tcW w:w="1377" w:type="dxa"/>
            <w:tcBorders>
              <w:top w:val="single" w:color="auto" w:sz="2" w:space="0"/>
              <w:left w:val="single" w:color="auto" w:sz="2" w:space="0"/>
              <w:bottom w:val="single" w:color="auto" w:sz="2" w:space="0"/>
              <w:right w:val="single" w:color="auto" w:sz="2" w:space="0"/>
            </w:tcBorders>
            <w:vAlign w:val="center"/>
          </w:tcPr>
          <w:p w14:paraId="74F579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14:paraId="752E9F4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-10.64%</w:t>
            </w:r>
          </w:p>
        </w:tc>
      </w:tr>
      <w:tr w14:paraId="72309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33602E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药品</w:t>
            </w:r>
          </w:p>
        </w:tc>
        <w:tc>
          <w:tcPr>
            <w:tcW w:w="1377" w:type="dxa"/>
            <w:tcBorders>
              <w:top w:val="single" w:color="auto" w:sz="2" w:space="0"/>
              <w:left w:val="single" w:color="auto" w:sz="2" w:space="0"/>
              <w:bottom w:val="single" w:color="auto" w:sz="2" w:space="0"/>
              <w:right w:val="single" w:color="auto" w:sz="2" w:space="0"/>
            </w:tcBorders>
            <w:vAlign w:val="center"/>
          </w:tcPr>
          <w:p w14:paraId="2D9A1FA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14:paraId="7873329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1,272,833.80</w:t>
            </w:r>
          </w:p>
        </w:tc>
        <w:tc>
          <w:tcPr>
            <w:tcW w:w="1377" w:type="dxa"/>
            <w:tcBorders>
              <w:top w:val="single" w:color="auto" w:sz="2" w:space="0"/>
              <w:left w:val="single" w:color="auto" w:sz="2" w:space="0"/>
              <w:bottom w:val="single" w:color="auto" w:sz="2" w:space="0"/>
              <w:right w:val="single" w:color="auto" w:sz="2" w:space="0"/>
            </w:tcBorders>
            <w:vAlign w:val="center"/>
          </w:tcPr>
          <w:p w14:paraId="7E11FF9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14.23%</w:t>
            </w:r>
          </w:p>
        </w:tc>
        <w:tc>
          <w:tcPr>
            <w:tcW w:w="1377" w:type="dxa"/>
            <w:tcBorders>
              <w:top w:val="single" w:color="auto" w:sz="2" w:space="0"/>
              <w:left w:val="single" w:color="auto" w:sz="2" w:space="0"/>
              <w:bottom w:val="single" w:color="auto" w:sz="2" w:space="0"/>
              <w:right w:val="single" w:color="auto" w:sz="2" w:space="0"/>
            </w:tcBorders>
            <w:vAlign w:val="center"/>
          </w:tcPr>
          <w:p w14:paraId="504D462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783,573.60</w:t>
            </w:r>
          </w:p>
        </w:tc>
        <w:tc>
          <w:tcPr>
            <w:tcW w:w="1377" w:type="dxa"/>
            <w:tcBorders>
              <w:top w:val="single" w:color="auto" w:sz="2" w:space="0"/>
              <w:left w:val="single" w:color="auto" w:sz="2" w:space="0"/>
              <w:bottom w:val="single" w:color="auto" w:sz="2" w:space="0"/>
              <w:right w:val="single" w:color="auto" w:sz="2" w:space="0"/>
            </w:tcBorders>
            <w:vAlign w:val="center"/>
          </w:tcPr>
          <w:p w14:paraId="27CCDE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13.26%</w:t>
            </w:r>
          </w:p>
        </w:tc>
        <w:tc>
          <w:tcPr>
            <w:tcW w:w="1377" w:type="dxa"/>
            <w:tcBorders>
              <w:top w:val="single" w:color="auto" w:sz="2" w:space="0"/>
              <w:left w:val="single" w:color="auto" w:sz="2" w:space="0"/>
              <w:bottom w:val="single" w:color="auto" w:sz="2" w:space="0"/>
              <w:right w:val="single" w:color="auto" w:sz="2" w:space="0"/>
            </w:tcBorders>
            <w:vAlign w:val="center"/>
          </w:tcPr>
          <w:p w14:paraId="33BDEDB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62.44%</w:t>
            </w:r>
          </w:p>
        </w:tc>
      </w:tr>
      <w:tr w14:paraId="3F826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087157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药品</w:t>
            </w:r>
          </w:p>
        </w:tc>
        <w:tc>
          <w:tcPr>
            <w:tcW w:w="1377" w:type="dxa"/>
            <w:tcBorders>
              <w:top w:val="single" w:color="auto" w:sz="2" w:space="0"/>
              <w:left w:val="single" w:color="auto" w:sz="2" w:space="0"/>
              <w:bottom w:val="single" w:color="auto" w:sz="2" w:space="0"/>
              <w:right w:val="single" w:color="auto" w:sz="2" w:space="0"/>
            </w:tcBorders>
            <w:vAlign w:val="center"/>
          </w:tcPr>
          <w:p w14:paraId="1654B49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人工工资</w:t>
            </w:r>
          </w:p>
        </w:tc>
        <w:tc>
          <w:tcPr>
            <w:tcW w:w="1377" w:type="dxa"/>
            <w:tcBorders>
              <w:top w:val="single" w:color="auto" w:sz="2" w:space="0"/>
              <w:left w:val="single" w:color="auto" w:sz="2" w:space="0"/>
              <w:bottom w:val="single" w:color="auto" w:sz="2" w:space="0"/>
              <w:right w:val="single" w:color="auto" w:sz="2" w:space="0"/>
            </w:tcBorders>
            <w:vAlign w:val="center"/>
          </w:tcPr>
          <w:p w14:paraId="1FA1A25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2,636,618.34</w:t>
            </w:r>
          </w:p>
        </w:tc>
        <w:tc>
          <w:tcPr>
            <w:tcW w:w="1377" w:type="dxa"/>
            <w:tcBorders>
              <w:top w:val="single" w:color="auto" w:sz="2" w:space="0"/>
              <w:left w:val="single" w:color="auto" w:sz="2" w:space="0"/>
              <w:bottom w:val="single" w:color="auto" w:sz="2" w:space="0"/>
              <w:right w:val="single" w:color="auto" w:sz="2" w:space="0"/>
            </w:tcBorders>
            <w:vAlign w:val="center"/>
          </w:tcPr>
          <w:p w14:paraId="735205E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29.47%</w:t>
            </w:r>
          </w:p>
        </w:tc>
        <w:tc>
          <w:tcPr>
            <w:tcW w:w="1377" w:type="dxa"/>
            <w:tcBorders>
              <w:top w:val="single" w:color="auto" w:sz="2" w:space="0"/>
              <w:left w:val="single" w:color="auto" w:sz="2" w:space="0"/>
              <w:bottom w:val="single" w:color="auto" w:sz="2" w:space="0"/>
              <w:right w:val="single" w:color="auto" w:sz="2" w:space="0"/>
            </w:tcBorders>
            <w:vAlign w:val="center"/>
          </w:tcPr>
          <w:p w14:paraId="0D56BC0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2,212,080.82</w:t>
            </w:r>
          </w:p>
        </w:tc>
        <w:tc>
          <w:tcPr>
            <w:tcW w:w="1377" w:type="dxa"/>
            <w:tcBorders>
              <w:top w:val="single" w:color="auto" w:sz="2" w:space="0"/>
              <w:left w:val="single" w:color="auto" w:sz="2" w:space="0"/>
              <w:bottom w:val="single" w:color="auto" w:sz="2" w:space="0"/>
              <w:right w:val="single" w:color="auto" w:sz="2" w:space="0"/>
            </w:tcBorders>
            <w:vAlign w:val="center"/>
          </w:tcPr>
          <w:p w14:paraId="3E3E760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37.44%</w:t>
            </w:r>
          </w:p>
        </w:tc>
        <w:tc>
          <w:tcPr>
            <w:tcW w:w="1377" w:type="dxa"/>
            <w:tcBorders>
              <w:top w:val="single" w:color="auto" w:sz="2" w:space="0"/>
              <w:left w:val="single" w:color="auto" w:sz="2" w:space="0"/>
              <w:bottom w:val="single" w:color="auto" w:sz="2" w:space="0"/>
              <w:right w:val="single" w:color="auto" w:sz="2" w:space="0"/>
            </w:tcBorders>
            <w:vAlign w:val="center"/>
          </w:tcPr>
          <w:p w14:paraId="39D486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19.19%</w:t>
            </w:r>
          </w:p>
        </w:tc>
      </w:tr>
      <w:tr w14:paraId="59A4C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588847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药品</w:t>
            </w:r>
          </w:p>
        </w:tc>
        <w:tc>
          <w:tcPr>
            <w:tcW w:w="1377" w:type="dxa"/>
            <w:tcBorders>
              <w:top w:val="single" w:color="auto" w:sz="2" w:space="0"/>
              <w:left w:val="single" w:color="auto" w:sz="2" w:space="0"/>
              <w:bottom w:val="single" w:color="auto" w:sz="2" w:space="0"/>
              <w:right w:val="single" w:color="auto" w:sz="2" w:space="0"/>
            </w:tcBorders>
            <w:vAlign w:val="center"/>
          </w:tcPr>
          <w:p w14:paraId="621F6EE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制造费用摊销</w:t>
            </w:r>
          </w:p>
        </w:tc>
        <w:tc>
          <w:tcPr>
            <w:tcW w:w="1377" w:type="dxa"/>
            <w:tcBorders>
              <w:top w:val="single" w:color="auto" w:sz="2" w:space="0"/>
              <w:left w:val="single" w:color="auto" w:sz="2" w:space="0"/>
              <w:bottom w:val="single" w:color="auto" w:sz="2" w:space="0"/>
              <w:right w:val="single" w:color="auto" w:sz="2" w:space="0"/>
            </w:tcBorders>
            <w:vAlign w:val="center"/>
          </w:tcPr>
          <w:p w14:paraId="507C372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3,170,950.86</w:t>
            </w:r>
          </w:p>
        </w:tc>
        <w:tc>
          <w:tcPr>
            <w:tcW w:w="1377" w:type="dxa"/>
            <w:tcBorders>
              <w:top w:val="single" w:color="auto" w:sz="2" w:space="0"/>
              <w:left w:val="single" w:color="auto" w:sz="2" w:space="0"/>
              <w:bottom w:val="single" w:color="auto" w:sz="2" w:space="0"/>
              <w:right w:val="single" w:color="auto" w:sz="2" w:space="0"/>
            </w:tcBorders>
            <w:vAlign w:val="center"/>
          </w:tcPr>
          <w:p w14:paraId="6658BCD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35.45%</w:t>
            </w:r>
          </w:p>
        </w:tc>
        <w:tc>
          <w:tcPr>
            <w:tcW w:w="1377" w:type="dxa"/>
            <w:tcBorders>
              <w:top w:val="single" w:color="auto" w:sz="2" w:space="0"/>
              <w:left w:val="single" w:color="auto" w:sz="2" w:space="0"/>
              <w:bottom w:val="single" w:color="auto" w:sz="2" w:space="0"/>
              <w:right w:val="single" w:color="auto" w:sz="2" w:space="0"/>
            </w:tcBorders>
            <w:vAlign w:val="center"/>
          </w:tcPr>
          <w:p w14:paraId="6C22FB8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2,507,260.12</w:t>
            </w:r>
          </w:p>
        </w:tc>
        <w:tc>
          <w:tcPr>
            <w:tcW w:w="1377" w:type="dxa"/>
            <w:tcBorders>
              <w:top w:val="single" w:color="auto" w:sz="2" w:space="0"/>
              <w:left w:val="single" w:color="auto" w:sz="2" w:space="0"/>
              <w:bottom w:val="single" w:color="auto" w:sz="2" w:space="0"/>
              <w:right w:val="single" w:color="auto" w:sz="2" w:space="0"/>
            </w:tcBorders>
            <w:vAlign w:val="center"/>
          </w:tcPr>
          <w:p w14:paraId="088ABF4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42.43%</w:t>
            </w:r>
          </w:p>
        </w:tc>
        <w:tc>
          <w:tcPr>
            <w:tcW w:w="1377" w:type="dxa"/>
            <w:tcBorders>
              <w:top w:val="single" w:color="auto" w:sz="2" w:space="0"/>
              <w:left w:val="single" w:color="auto" w:sz="2" w:space="0"/>
              <w:bottom w:val="single" w:color="auto" w:sz="2" w:space="0"/>
              <w:right w:val="single" w:color="auto" w:sz="2" w:space="0"/>
            </w:tcBorders>
            <w:vAlign w:val="center"/>
          </w:tcPr>
          <w:p w14:paraId="704F29E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26.47%</w:t>
            </w:r>
          </w:p>
        </w:tc>
      </w:tr>
      <w:tr w14:paraId="2BAF0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C3AA94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药品</w:t>
            </w:r>
          </w:p>
        </w:tc>
        <w:tc>
          <w:tcPr>
            <w:tcW w:w="1377" w:type="dxa"/>
            <w:tcBorders>
              <w:top w:val="single" w:color="auto" w:sz="2" w:space="0"/>
              <w:left w:val="single" w:color="auto" w:sz="2" w:space="0"/>
              <w:bottom w:val="single" w:color="auto" w:sz="2" w:space="0"/>
              <w:right w:val="single" w:color="auto" w:sz="2" w:space="0"/>
            </w:tcBorders>
            <w:vAlign w:val="center"/>
          </w:tcPr>
          <w:p w14:paraId="2FA3008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14:paraId="19EFB67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1,865,304.58</w:t>
            </w:r>
          </w:p>
        </w:tc>
        <w:tc>
          <w:tcPr>
            <w:tcW w:w="1377" w:type="dxa"/>
            <w:tcBorders>
              <w:top w:val="single" w:color="auto" w:sz="2" w:space="0"/>
              <w:left w:val="single" w:color="auto" w:sz="2" w:space="0"/>
              <w:bottom w:val="single" w:color="auto" w:sz="2" w:space="0"/>
              <w:right w:val="single" w:color="auto" w:sz="2" w:space="0"/>
            </w:tcBorders>
            <w:vAlign w:val="center"/>
          </w:tcPr>
          <w:p w14:paraId="15ADEB8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20.85%</w:t>
            </w:r>
          </w:p>
        </w:tc>
        <w:tc>
          <w:tcPr>
            <w:tcW w:w="1377" w:type="dxa"/>
            <w:tcBorders>
              <w:top w:val="single" w:color="auto" w:sz="2" w:space="0"/>
              <w:left w:val="single" w:color="auto" w:sz="2" w:space="0"/>
              <w:bottom w:val="single" w:color="auto" w:sz="2" w:space="0"/>
              <w:right w:val="single" w:color="auto" w:sz="2" w:space="0"/>
            </w:tcBorders>
            <w:vAlign w:val="center"/>
          </w:tcPr>
          <w:p w14:paraId="423736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405,633.78</w:t>
            </w:r>
          </w:p>
        </w:tc>
        <w:tc>
          <w:tcPr>
            <w:tcW w:w="1377" w:type="dxa"/>
            <w:tcBorders>
              <w:top w:val="single" w:color="auto" w:sz="2" w:space="0"/>
              <w:left w:val="single" w:color="auto" w:sz="2" w:space="0"/>
              <w:bottom w:val="single" w:color="auto" w:sz="2" w:space="0"/>
              <w:right w:val="single" w:color="auto" w:sz="2" w:space="0"/>
            </w:tcBorders>
            <w:vAlign w:val="center"/>
          </w:tcPr>
          <w:p w14:paraId="1EF83E8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6.87%</w:t>
            </w:r>
          </w:p>
        </w:tc>
        <w:tc>
          <w:tcPr>
            <w:tcW w:w="1377" w:type="dxa"/>
            <w:tcBorders>
              <w:top w:val="single" w:color="auto" w:sz="2" w:space="0"/>
              <w:left w:val="single" w:color="auto" w:sz="2" w:space="0"/>
              <w:bottom w:val="single" w:color="auto" w:sz="2" w:space="0"/>
              <w:right w:val="single" w:color="auto" w:sz="2" w:space="0"/>
            </w:tcBorders>
            <w:vAlign w:val="center"/>
          </w:tcPr>
          <w:p w14:paraId="796B804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359.85%</w:t>
            </w:r>
          </w:p>
        </w:tc>
      </w:tr>
      <w:tr w14:paraId="56230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6500A0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药品</w:t>
            </w:r>
          </w:p>
        </w:tc>
        <w:tc>
          <w:tcPr>
            <w:tcW w:w="1377" w:type="dxa"/>
            <w:tcBorders>
              <w:top w:val="single" w:color="auto" w:sz="2" w:space="0"/>
              <w:left w:val="single" w:color="auto" w:sz="2" w:space="0"/>
              <w:bottom w:val="single" w:color="auto" w:sz="2" w:space="0"/>
              <w:right w:val="single" w:color="auto" w:sz="2" w:space="0"/>
            </w:tcBorders>
            <w:vAlign w:val="center"/>
          </w:tcPr>
          <w:p w14:paraId="247D9AD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1EE5C1E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8,945,707.58</w:t>
            </w:r>
          </w:p>
        </w:tc>
        <w:tc>
          <w:tcPr>
            <w:tcW w:w="1377" w:type="dxa"/>
            <w:tcBorders>
              <w:top w:val="single" w:color="auto" w:sz="2" w:space="0"/>
              <w:left w:val="single" w:color="auto" w:sz="2" w:space="0"/>
              <w:bottom w:val="single" w:color="auto" w:sz="2" w:space="0"/>
              <w:right w:val="single" w:color="auto" w:sz="2" w:space="0"/>
            </w:tcBorders>
            <w:vAlign w:val="center"/>
          </w:tcPr>
          <w:p w14:paraId="2CE46CC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14:paraId="74F1E50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5,908,548.32</w:t>
            </w:r>
          </w:p>
        </w:tc>
        <w:tc>
          <w:tcPr>
            <w:tcW w:w="1377" w:type="dxa"/>
            <w:tcBorders>
              <w:top w:val="single" w:color="auto" w:sz="2" w:space="0"/>
              <w:left w:val="single" w:color="auto" w:sz="2" w:space="0"/>
              <w:bottom w:val="single" w:color="auto" w:sz="2" w:space="0"/>
              <w:right w:val="single" w:color="auto" w:sz="2" w:space="0"/>
            </w:tcBorders>
            <w:vAlign w:val="center"/>
          </w:tcPr>
          <w:p w14:paraId="0CB1D93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14:paraId="620DABC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51.40%</w:t>
            </w:r>
          </w:p>
        </w:tc>
      </w:tr>
    </w:tbl>
    <w:p w14:paraId="77317FA4">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说明</w:t>
      </w:r>
    </w:p>
    <w:p w14:paraId="678CE20B">
      <w:pPr>
        <w:pStyle w:val="6"/>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default" w:ascii="Times New Roman" w:hAnsi="Times New Roman" w:eastAsia="宋体" w:cs="Times New Roman"/>
          <w:color w:val="000000"/>
          <w:sz w:val="18"/>
          <w:szCs w:val="18"/>
        </w:rPr>
        <w:t>代理品成本未在上述数据列示。</w:t>
      </w:r>
    </w:p>
    <w:p w14:paraId="1EBDAB76">
      <w:pPr>
        <w:keepNext/>
        <w:keepLines/>
        <w:spacing w:before="300" w:after="300" w:line="280" w:lineRule="exact"/>
        <w:jc w:val="left"/>
        <w:outlineLvl w:val="3"/>
        <w:rPr>
          <w:rFonts w:hint="default" w:ascii="Times New Roman" w:hAnsi="Times New Roman" w:eastAsia="宋体" w:cs="Times New Roman"/>
          <w:b/>
          <w:bCs/>
          <w:sz w:val="18"/>
          <w:szCs w:val="18"/>
        </w:rPr>
      </w:pPr>
      <w:bookmarkStart w:id="40" w:name="_Toc988913"/>
      <w:r>
        <w:rPr>
          <w:rFonts w:hint="default" w:ascii="Times New Roman" w:hAnsi="Times New Roman" w:eastAsia="宋体" w:cs="Times New Roman"/>
          <w:b/>
          <w:bCs/>
          <w:sz w:val="18"/>
          <w:szCs w:val="18"/>
        </w:rPr>
        <w:t>（6） 报告期内合并范围是否发生变动</w:t>
      </w:r>
      <w:bookmarkEnd w:id="40"/>
    </w:p>
    <w:p w14:paraId="465CF294">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是 □否</w:t>
      </w:r>
    </w:p>
    <w:p w14:paraId="5798B398">
      <w:pPr>
        <w:pStyle w:val="6"/>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sz w:val="18"/>
          <w:szCs w:val="18"/>
        </w:rPr>
        <w:t>参见</w:t>
      </w:r>
      <w:r>
        <w:rPr>
          <w:rFonts w:hint="eastAsia" w:cs="Times New Roman"/>
          <w:sz w:val="18"/>
          <w:szCs w:val="18"/>
          <w:lang w:eastAsia="zh-CN"/>
        </w:rPr>
        <w:t>“</w:t>
      </w:r>
      <w:r>
        <w:rPr>
          <w:rFonts w:hint="default" w:ascii="Times New Roman" w:hAnsi="Times New Roman" w:eastAsia="宋体" w:cs="Times New Roman"/>
          <w:sz w:val="18"/>
          <w:szCs w:val="18"/>
        </w:rPr>
        <w:t>第八节 财务报告</w:t>
      </w:r>
      <w:r>
        <w:rPr>
          <w:rFonts w:hint="eastAsia" w:cs="Times New Roman"/>
          <w:sz w:val="18"/>
          <w:szCs w:val="18"/>
          <w:lang w:eastAsia="zh-CN"/>
        </w:rPr>
        <w:t>”</w:t>
      </w:r>
      <w:r>
        <w:rPr>
          <w:rFonts w:hint="default" w:ascii="Times New Roman" w:hAnsi="Times New Roman" w:eastAsia="宋体" w:cs="Times New Roman"/>
          <w:sz w:val="18"/>
          <w:szCs w:val="18"/>
        </w:rPr>
        <w:t>中</w:t>
      </w:r>
      <w:r>
        <w:rPr>
          <w:rFonts w:hint="eastAsia" w:cs="Times New Roman"/>
          <w:sz w:val="18"/>
          <w:szCs w:val="18"/>
          <w:lang w:eastAsia="zh-CN"/>
        </w:rPr>
        <w:t>“</w:t>
      </w:r>
      <w:r>
        <w:rPr>
          <w:rFonts w:hint="default" w:ascii="Times New Roman" w:hAnsi="Times New Roman" w:eastAsia="宋体" w:cs="Times New Roman"/>
          <w:sz w:val="18"/>
          <w:szCs w:val="18"/>
        </w:rPr>
        <w:t>九、合并范围的变更</w:t>
      </w:r>
      <w:r>
        <w:rPr>
          <w:rFonts w:hint="eastAsia" w:cs="Times New Roman"/>
          <w:sz w:val="18"/>
          <w:szCs w:val="18"/>
          <w:lang w:eastAsia="zh-CN"/>
        </w:rPr>
        <w:t>”</w:t>
      </w:r>
      <w:r>
        <w:rPr>
          <w:rFonts w:hint="default" w:ascii="Times New Roman" w:hAnsi="Times New Roman" w:eastAsia="宋体" w:cs="Times New Roman"/>
          <w:sz w:val="18"/>
          <w:szCs w:val="18"/>
        </w:rPr>
        <w:t>相关内容。</w:t>
      </w:r>
    </w:p>
    <w:p w14:paraId="7405F422">
      <w:pPr>
        <w:keepNext/>
        <w:keepLines/>
        <w:spacing w:before="300" w:after="300" w:line="280" w:lineRule="exact"/>
        <w:jc w:val="left"/>
        <w:outlineLvl w:val="3"/>
        <w:rPr>
          <w:rFonts w:hint="default" w:ascii="Times New Roman" w:hAnsi="Times New Roman" w:eastAsia="宋体" w:cs="Times New Roman"/>
          <w:b/>
          <w:bCs/>
          <w:sz w:val="18"/>
          <w:szCs w:val="18"/>
        </w:rPr>
      </w:pPr>
      <w:bookmarkStart w:id="41" w:name="_Toc988914"/>
      <w:r>
        <w:rPr>
          <w:rFonts w:hint="default" w:ascii="Times New Roman" w:hAnsi="Times New Roman" w:eastAsia="宋体" w:cs="Times New Roman"/>
          <w:b/>
          <w:bCs/>
          <w:sz w:val="18"/>
          <w:szCs w:val="18"/>
        </w:rPr>
        <w:t>（7） 公司报告期内业务、产品或服务发生重大变化或调整有关情况</w:t>
      </w:r>
      <w:bookmarkEnd w:id="41"/>
    </w:p>
    <w:p w14:paraId="21DA3C67">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410CFABA">
      <w:pPr>
        <w:keepNext/>
        <w:keepLines/>
        <w:spacing w:before="300" w:after="300" w:line="280" w:lineRule="exact"/>
        <w:jc w:val="left"/>
        <w:outlineLvl w:val="3"/>
        <w:rPr>
          <w:rFonts w:hint="default" w:ascii="Times New Roman" w:hAnsi="Times New Roman" w:eastAsia="宋体" w:cs="Times New Roman"/>
          <w:b/>
          <w:bCs/>
          <w:sz w:val="18"/>
          <w:szCs w:val="18"/>
        </w:rPr>
      </w:pPr>
      <w:bookmarkStart w:id="42" w:name="_Toc988915"/>
      <w:r>
        <w:rPr>
          <w:rFonts w:hint="default" w:ascii="Times New Roman" w:hAnsi="Times New Roman" w:eastAsia="宋体" w:cs="Times New Roman"/>
          <w:b/>
          <w:bCs/>
          <w:sz w:val="18"/>
          <w:szCs w:val="18"/>
        </w:rPr>
        <w:t>（8） 主要销售客户和主要供应商情况</w:t>
      </w:r>
      <w:bookmarkEnd w:id="42"/>
    </w:p>
    <w:p w14:paraId="7324A8A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公司主要销售客户情况</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718B2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643000B">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前五名客户合计销售金额（元）</w:t>
            </w:r>
          </w:p>
        </w:tc>
        <w:tc>
          <w:tcPr>
            <w:tcW w:w="4820" w:type="dxa"/>
            <w:tcBorders>
              <w:top w:val="single" w:color="auto" w:sz="2" w:space="0"/>
              <w:left w:val="single" w:color="auto" w:sz="2" w:space="0"/>
              <w:bottom w:val="single" w:color="auto" w:sz="2" w:space="0"/>
              <w:right w:val="single" w:color="auto" w:sz="2" w:space="0"/>
            </w:tcBorders>
            <w:vAlign w:val="center"/>
          </w:tcPr>
          <w:p w14:paraId="489498D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77,728,443.87</w:t>
            </w:r>
          </w:p>
        </w:tc>
      </w:tr>
      <w:tr w14:paraId="280C7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1B6535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前五名客户合计销售金额占年度销售总额比例</w:t>
            </w:r>
          </w:p>
        </w:tc>
        <w:tc>
          <w:tcPr>
            <w:tcW w:w="4820" w:type="dxa"/>
            <w:tcBorders>
              <w:top w:val="single" w:color="auto" w:sz="2" w:space="0"/>
              <w:left w:val="single" w:color="auto" w:sz="2" w:space="0"/>
              <w:bottom w:val="single" w:color="auto" w:sz="2" w:space="0"/>
              <w:right w:val="single" w:color="auto" w:sz="2" w:space="0"/>
            </w:tcBorders>
            <w:vAlign w:val="center"/>
          </w:tcPr>
          <w:p w14:paraId="5370CE1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20.04%</w:t>
            </w:r>
          </w:p>
        </w:tc>
      </w:tr>
      <w:tr w14:paraId="1ED35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E70FF8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前五名客户销售额中关联方销售额占年度销售总额比例</w:t>
            </w:r>
          </w:p>
        </w:tc>
        <w:tc>
          <w:tcPr>
            <w:tcW w:w="4820" w:type="dxa"/>
            <w:tcBorders>
              <w:top w:val="single" w:color="auto" w:sz="2" w:space="0"/>
              <w:left w:val="single" w:color="auto" w:sz="2" w:space="0"/>
              <w:bottom w:val="single" w:color="auto" w:sz="2" w:space="0"/>
              <w:right w:val="single" w:color="auto" w:sz="2" w:space="0"/>
            </w:tcBorders>
            <w:vAlign w:val="center"/>
          </w:tcPr>
          <w:p w14:paraId="280C42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bl>
    <w:p w14:paraId="063663C9">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公司前5大客户资料</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25DE5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4D449A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序号</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CC0FBF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客户名称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50460B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销售额（元）</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380829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占年度销售总额比例</w:t>
            </w:r>
          </w:p>
        </w:tc>
      </w:tr>
      <w:tr w14:paraId="0AE0B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B46D51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2410" w:type="dxa"/>
            <w:tcBorders>
              <w:top w:val="single" w:color="auto" w:sz="2" w:space="0"/>
              <w:left w:val="single" w:color="auto" w:sz="2" w:space="0"/>
              <w:bottom w:val="single" w:color="auto" w:sz="2" w:space="0"/>
              <w:right w:val="single" w:color="auto" w:sz="2" w:space="0"/>
            </w:tcBorders>
            <w:vAlign w:val="center"/>
          </w:tcPr>
          <w:p w14:paraId="4F638F8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客户一</w:t>
            </w:r>
          </w:p>
        </w:tc>
        <w:tc>
          <w:tcPr>
            <w:tcW w:w="2410" w:type="dxa"/>
            <w:tcBorders>
              <w:top w:val="single" w:color="auto" w:sz="2" w:space="0"/>
              <w:left w:val="single" w:color="auto" w:sz="2" w:space="0"/>
              <w:bottom w:val="single" w:color="auto" w:sz="2" w:space="0"/>
              <w:right w:val="single" w:color="auto" w:sz="2" w:space="0"/>
            </w:tcBorders>
            <w:vAlign w:val="center"/>
          </w:tcPr>
          <w:p w14:paraId="34DC38A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33,790,621.82</w:t>
            </w:r>
          </w:p>
        </w:tc>
        <w:tc>
          <w:tcPr>
            <w:tcW w:w="2410" w:type="dxa"/>
            <w:tcBorders>
              <w:top w:val="single" w:color="auto" w:sz="2" w:space="0"/>
              <w:left w:val="single" w:color="auto" w:sz="2" w:space="0"/>
              <w:bottom w:val="single" w:color="auto" w:sz="2" w:space="0"/>
              <w:right w:val="single" w:color="auto" w:sz="2" w:space="0"/>
            </w:tcBorders>
            <w:vAlign w:val="center"/>
          </w:tcPr>
          <w:p w14:paraId="5061F6D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8.71%</w:t>
            </w:r>
          </w:p>
        </w:tc>
      </w:tr>
      <w:tr w14:paraId="260B1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2157AA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2410" w:type="dxa"/>
            <w:tcBorders>
              <w:top w:val="single" w:color="auto" w:sz="2" w:space="0"/>
              <w:left w:val="single" w:color="auto" w:sz="2" w:space="0"/>
              <w:bottom w:val="single" w:color="auto" w:sz="2" w:space="0"/>
              <w:right w:val="single" w:color="auto" w:sz="2" w:space="0"/>
            </w:tcBorders>
            <w:vAlign w:val="center"/>
          </w:tcPr>
          <w:p w14:paraId="52FB06C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客户二</w:t>
            </w:r>
          </w:p>
        </w:tc>
        <w:tc>
          <w:tcPr>
            <w:tcW w:w="2410" w:type="dxa"/>
            <w:tcBorders>
              <w:top w:val="single" w:color="auto" w:sz="2" w:space="0"/>
              <w:left w:val="single" w:color="auto" w:sz="2" w:space="0"/>
              <w:bottom w:val="single" w:color="auto" w:sz="2" w:space="0"/>
              <w:right w:val="single" w:color="auto" w:sz="2" w:space="0"/>
            </w:tcBorders>
            <w:vAlign w:val="center"/>
          </w:tcPr>
          <w:p w14:paraId="1F6D3F1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11,753,646.43</w:t>
            </w:r>
          </w:p>
        </w:tc>
        <w:tc>
          <w:tcPr>
            <w:tcW w:w="2410" w:type="dxa"/>
            <w:tcBorders>
              <w:top w:val="single" w:color="auto" w:sz="2" w:space="0"/>
              <w:left w:val="single" w:color="auto" w:sz="2" w:space="0"/>
              <w:bottom w:val="single" w:color="auto" w:sz="2" w:space="0"/>
              <w:right w:val="single" w:color="auto" w:sz="2" w:space="0"/>
            </w:tcBorders>
            <w:vAlign w:val="center"/>
          </w:tcPr>
          <w:p w14:paraId="093A3A1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3.03%</w:t>
            </w:r>
          </w:p>
        </w:tc>
      </w:tr>
      <w:tr w14:paraId="4161A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BDCE41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c>
          <w:tcPr>
            <w:tcW w:w="2410" w:type="dxa"/>
            <w:tcBorders>
              <w:top w:val="single" w:color="auto" w:sz="2" w:space="0"/>
              <w:left w:val="single" w:color="auto" w:sz="2" w:space="0"/>
              <w:bottom w:val="single" w:color="auto" w:sz="2" w:space="0"/>
              <w:right w:val="single" w:color="auto" w:sz="2" w:space="0"/>
            </w:tcBorders>
            <w:vAlign w:val="center"/>
          </w:tcPr>
          <w:p w14:paraId="3702748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客户三</w:t>
            </w:r>
          </w:p>
        </w:tc>
        <w:tc>
          <w:tcPr>
            <w:tcW w:w="2410" w:type="dxa"/>
            <w:tcBorders>
              <w:top w:val="single" w:color="auto" w:sz="2" w:space="0"/>
              <w:left w:val="single" w:color="auto" w:sz="2" w:space="0"/>
              <w:bottom w:val="single" w:color="auto" w:sz="2" w:space="0"/>
              <w:right w:val="single" w:color="auto" w:sz="2" w:space="0"/>
            </w:tcBorders>
            <w:vAlign w:val="center"/>
          </w:tcPr>
          <w:p w14:paraId="72807F6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11,322,376.44</w:t>
            </w:r>
          </w:p>
        </w:tc>
        <w:tc>
          <w:tcPr>
            <w:tcW w:w="2410" w:type="dxa"/>
            <w:tcBorders>
              <w:top w:val="single" w:color="auto" w:sz="2" w:space="0"/>
              <w:left w:val="single" w:color="auto" w:sz="2" w:space="0"/>
              <w:bottom w:val="single" w:color="auto" w:sz="2" w:space="0"/>
              <w:right w:val="single" w:color="auto" w:sz="2" w:space="0"/>
            </w:tcBorders>
            <w:vAlign w:val="center"/>
          </w:tcPr>
          <w:p w14:paraId="5E33F72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2.92%</w:t>
            </w:r>
          </w:p>
        </w:tc>
      </w:tr>
      <w:tr w14:paraId="00D93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2A68ED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c>
          <w:tcPr>
            <w:tcW w:w="2410" w:type="dxa"/>
            <w:tcBorders>
              <w:top w:val="single" w:color="auto" w:sz="2" w:space="0"/>
              <w:left w:val="single" w:color="auto" w:sz="2" w:space="0"/>
              <w:bottom w:val="single" w:color="auto" w:sz="2" w:space="0"/>
              <w:right w:val="single" w:color="auto" w:sz="2" w:space="0"/>
            </w:tcBorders>
            <w:vAlign w:val="center"/>
          </w:tcPr>
          <w:p w14:paraId="2349D14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客户四</w:t>
            </w:r>
          </w:p>
        </w:tc>
        <w:tc>
          <w:tcPr>
            <w:tcW w:w="2410" w:type="dxa"/>
            <w:tcBorders>
              <w:top w:val="single" w:color="auto" w:sz="2" w:space="0"/>
              <w:left w:val="single" w:color="auto" w:sz="2" w:space="0"/>
              <w:bottom w:val="single" w:color="auto" w:sz="2" w:space="0"/>
              <w:right w:val="single" w:color="auto" w:sz="2" w:space="0"/>
            </w:tcBorders>
            <w:vAlign w:val="center"/>
          </w:tcPr>
          <w:p w14:paraId="2B33CCF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11,288,878.86</w:t>
            </w:r>
          </w:p>
        </w:tc>
        <w:tc>
          <w:tcPr>
            <w:tcW w:w="2410" w:type="dxa"/>
            <w:tcBorders>
              <w:top w:val="single" w:color="auto" w:sz="2" w:space="0"/>
              <w:left w:val="single" w:color="auto" w:sz="2" w:space="0"/>
              <w:bottom w:val="single" w:color="auto" w:sz="2" w:space="0"/>
              <w:right w:val="single" w:color="auto" w:sz="2" w:space="0"/>
            </w:tcBorders>
            <w:vAlign w:val="center"/>
          </w:tcPr>
          <w:p w14:paraId="66CDD39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2.91%</w:t>
            </w:r>
          </w:p>
        </w:tc>
      </w:tr>
      <w:tr w14:paraId="2521C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A0C607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w:t>
            </w:r>
          </w:p>
        </w:tc>
        <w:tc>
          <w:tcPr>
            <w:tcW w:w="2410" w:type="dxa"/>
            <w:tcBorders>
              <w:top w:val="single" w:color="auto" w:sz="2" w:space="0"/>
              <w:left w:val="single" w:color="auto" w:sz="2" w:space="0"/>
              <w:bottom w:val="single" w:color="auto" w:sz="2" w:space="0"/>
              <w:right w:val="single" w:color="auto" w:sz="2" w:space="0"/>
            </w:tcBorders>
            <w:vAlign w:val="center"/>
          </w:tcPr>
          <w:p w14:paraId="00951F9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客户五</w:t>
            </w:r>
          </w:p>
        </w:tc>
        <w:tc>
          <w:tcPr>
            <w:tcW w:w="2410" w:type="dxa"/>
            <w:tcBorders>
              <w:top w:val="single" w:color="auto" w:sz="2" w:space="0"/>
              <w:left w:val="single" w:color="auto" w:sz="2" w:space="0"/>
              <w:bottom w:val="single" w:color="auto" w:sz="2" w:space="0"/>
              <w:right w:val="single" w:color="auto" w:sz="2" w:space="0"/>
            </w:tcBorders>
            <w:vAlign w:val="center"/>
          </w:tcPr>
          <w:p w14:paraId="42AD799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9,572,920.32</w:t>
            </w:r>
          </w:p>
        </w:tc>
        <w:tc>
          <w:tcPr>
            <w:tcW w:w="2410" w:type="dxa"/>
            <w:tcBorders>
              <w:top w:val="single" w:color="auto" w:sz="2" w:space="0"/>
              <w:left w:val="single" w:color="auto" w:sz="2" w:space="0"/>
              <w:bottom w:val="single" w:color="auto" w:sz="2" w:space="0"/>
              <w:right w:val="single" w:color="auto" w:sz="2" w:space="0"/>
            </w:tcBorders>
            <w:vAlign w:val="center"/>
          </w:tcPr>
          <w:p w14:paraId="203FF1A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2.47%</w:t>
            </w:r>
          </w:p>
        </w:tc>
      </w:tr>
      <w:tr w14:paraId="45E6B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9F4ADA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742AD4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410" w:type="dxa"/>
            <w:tcBorders>
              <w:top w:val="single" w:color="auto" w:sz="2" w:space="0"/>
              <w:left w:val="single" w:color="auto" w:sz="2" w:space="0"/>
              <w:bottom w:val="single" w:color="auto" w:sz="2" w:space="0"/>
              <w:right w:val="single" w:color="auto" w:sz="2" w:space="0"/>
            </w:tcBorders>
            <w:vAlign w:val="center"/>
          </w:tcPr>
          <w:p w14:paraId="32CDAE0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77,728,443.87</w:t>
            </w:r>
          </w:p>
        </w:tc>
        <w:tc>
          <w:tcPr>
            <w:tcW w:w="2410" w:type="dxa"/>
            <w:tcBorders>
              <w:top w:val="single" w:color="auto" w:sz="2" w:space="0"/>
              <w:left w:val="single" w:color="auto" w:sz="2" w:space="0"/>
              <w:bottom w:val="single" w:color="auto" w:sz="2" w:space="0"/>
              <w:right w:val="single" w:color="auto" w:sz="2" w:space="0"/>
            </w:tcBorders>
            <w:vAlign w:val="center"/>
          </w:tcPr>
          <w:p w14:paraId="16C718C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20.04%</w:t>
            </w:r>
          </w:p>
        </w:tc>
      </w:tr>
    </w:tbl>
    <w:p w14:paraId="4AF482C6">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主要客户其他情况说明</w:t>
      </w:r>
    </w:p>
    <w:p w14:paraId="26DA0C8B">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29277DC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公司主要供应商情况</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0766B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CE3A24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前五名供应商合计采购金额（元）</w:t>
            </w:r>
          </w:p>
        </w:tc>
        <w:tc>
          <w:tcPr>
            <w:tcW w:w="4820" w:type="dxa"/>
            <w:tcBorders>
              <w:top w:val="single" w:color="auto" w:sz="2" w:space="0"/>
              <w:left w:val="single" w:color="auto" w:sz="2" w:space="0"/>
              <w:bottom w:val="single" w:color="auto" w:sz="2" w:space="0"/>
              <w:right w:val="single" w:color="auto" w:sz="2" w:space="0"/>
            </w:tcBorders>
            <w:vAlign w:val="center"/>
          </w:tcPr>
          <w:p w14:paraId="53199D6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50,587,060.79</w:t>
            </w:r>
          </w:p>
        </w:tc>
      </w:tr>
      <w:tr w14:paraId="05BBA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A74B59F">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前五名供应商合计采购金额占年度采购总额比例</w:t>
            </w:r>
          </w:p>
        </w:tc>
        <w:tc>
          <w:tcPr>
            <w:tcW w:w="4820" w:type="dxa"/>
            <w:tcBorders>
              <w:top w:val="single" w:color="auto" w:sz="2" w:space="0"/>
              <w:left w:val="single" w:color="auto" w:sz="2" w:space="0"/>
              <w:bottom w:val="single" w:color="auto" w:sz="2" w:space="0"/>
              <w:right w:val="single" w:color="auto" w:sz="2" w:space="0"/>
            </w:tcBorders>
            <w:vAlign w:val="center"/>
          </w:tcPr>
          <w:p w14:paraId="1A08629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78.68%</w:t>
            </w:r>
          </w:p>
        </w:tc>
      </w:tr>
      <w:tr w14:paraId="203DC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49133EB">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前五名供应商采购额中关联方采购额占年度采购总额比例</w:t>
            </w:r>
          </w:p>
        </w:tc>
        <w:tc>
          <w:tcPr>
            <w:tcW w:w="4820" w:type="dxa"/>
            <w:tcBorders>
              <w:top w:val="single" w:color="auto" w:sz="2" w:space="0"/>
              <w:left w:val="single" w:color="auto" w:sz="2" w:space="0"/>
              <w:bottom w:val="single" w:color="auto" w:sz="2" w:space="0"/>
              <w:right w:val="single" w:color="auto" w:sz="2" w:space="0"/>
            </w:tcBorders>
            <w:vAlign w:val="center"/>
          </w:tcPr>
          <w:p w14:paraId="1E2DF11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bl>
    <w:p w14:paraId="2356CC4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公司前5名供应商资料</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78268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0A557E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序号</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0BAF37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供应商名称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0A6950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采购额（元）</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03AF85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占年度采购总额比例</w:t>
            </w:r>
          </w:p>
        </w:tc>
      </w:tr>
      <w:tr w14:paraId="1F4F3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5B4DD6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2410" w:type="dxa"/>
            <w:tcBorders>
              <w:top w:val="single" w:color="auto" w:sz="2" w:space="0"/>
              <w:left w:val="single" w:color="auto" w:sz="2" w:space="0"/>
              <w:bottom w:val="single" w:color="auto" w:sz="2" w:space="0"/>
              <w:right w:val="single" w:color="auto" w:sz="2" w:space="0"/>
            </w:tcBorders>
            <w:vAlign w:val="center"/>
          </w:tcPr>
          <w:p w14:paraId="7AB76A2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广东省中科进出口有限公司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670A206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46,630,629.88</w:t>
            </w:r>
          </w:p>
        </w:tc>
        <w:tc>
          <w:tcPr>
            <w:tcW w:w="2410" w:type="dxa"/>
            <w:tcBorders>
              <w:top w:val="single" w:color="auto" w:sz="2" w:space="0"/>
              <w:left w:val="single" w:color="auto" w:sz="2" w:space="0"/>
              <w:bottom w:val="single" w:color="auto" w:sz="2" w:space="0"/>
              <w:right w:val="single" w:color="auto" w:sz="2" w:space="0"/>
            </w:tcBorders>
            <w:vAlign w:val="center"/>
          </w:tcPr>
          <w:p w14:paraId="5DCCC5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72.52%</w:t>
            </w:r>
          </w:p>
        </w:tc>
      </w:tr>
      <w:tr w14:paraId="19E79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00A135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2410" w:type="dxa"/>
            <w:tcBorders>
              <w:top w:val="single" w:color="auto" w:sz="2" w:space="0"/>
              <w:left w:val="single" w:color="auto" w:sz="2" w:space="0"/>
              <w:bottom w:val="single" w:color="auto" w:sz="2" w:space="0"/>
              <w:right w:val="single" w:color="auto" w:sz="2" w:space="0"/>
            </w:tcBorders>
            <w:vAlign w:val="center"/>
          </w:tcPr>
          <w:p w14:paraId="0982068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北京华龛生物科技有限公司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611678D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1,309,985.00</w:t>
            </w:r>
          </w:p>
        </w:tc>
        <w:tc>
          <w:tcPr>
            <w:tcW w:w="2410" w:type="dxa"/>
            <w:tcBorders>
              <w:top w:val="single" w:color="auto" w:sz="2" w:space="0"/>
              <w:left w:val="single" w:color="auto" w:sz="2" w:space="0"/>
              <w:bottom w:val="single" w:color="auto" w:sz="2" w:space="0"/>
              <w:right w:val="single" w:color="auto" w:sz="2" w:space="0"/>
            </w:tcBorders>
            <w:vAlign w:val="center"/>
          </w:tcPr>
          <w:p w14:paraId="6154CD8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2.04%</w:t>
            </w:r>
          </w:p>
        </w:tc>
      </w:tr>
      <w:tr w14:paraId="1AA05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46CB28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c>
          <w:tcPr>
            <w:tcW w:w="2410" w:type="dxa"/>
            <w:tcBorders>
              <w:top w:val="single" w:color="auto" w:sz="2" w:space="0"/>
              <w:left w:val="single" w:color="auto" w:sz="2" w:space="0"/>
              <w:bottom w:val="single" w:color="auto" w:sz="2" w:space="0"/>
              <w:right w:val="single" w:color="auto" w:sz="2" w:space="0"/>
            </w:tcBorders>
            <w:vAlign w:val="center"/>
          </w:tcPr>
          <w:p w14:paraId="55FF8A7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南京威尔药业集团股份有限公司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3D2504B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971,200.00</w:t>
            </w:r>
          </w:p>
        </w:tc>
        <w:tc>
          <w:tcPr>
            <w:tcW w:w="2410" w:type="dxa"/>
            <w:tcBorders>
              <w:top w:val="single" w:color="auto" w:sz="2" w:space="0"/>
              <w:left w:val="single" w:color="auto" w:sz="2" w:space="0"/>
              <w:bottom w:val="single" w:color="auto" w:sz="2" w:space="0"/>
              <w:right w:val="single" w:color="auto" w:sz="2" w:space="0"/>
            </w:tcBorders>
            <w:vAlign w:val="center"/>
          </w:tcPr>
          <w:p w14:paraId="73B0FBA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1.51%</w:t>
            </w:r>
          </w:p>
        </w:tc>
      </w:tr>
      <w:tr w14:paraId="3EEEF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0369BB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c>
          <w:tcPr>
            <w:tcW w:w="2410" w:type="dxa"/>
            <w:tcBorders>
              <w:top w:val="single" w:color="auto" w:sz="2" w:space="0"/>
              <w:left w:val="single" w:color="auto" w:sz="2" w:space="0"/>
              <w:bottom w:val="single" w:color="auto" w:sz="2" w:space="0"/>
              <w:right w:val="single" w:color="auto" w:sz="2" w:space="0"/>
            </w:tcBorders>
            <w:vAlign w:val="center"/>
          </w:tcPr>
          <w:p w14:paraId="08B220E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广州凡韬新材料有限公司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13469F1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904,658.00</w:t>
            </w:r>
          </w:p>
        </w:tc>
        <w:tc>
          <w:tcPr>
            <w:tcW w:w="2410" w:type="dxa"/>
            <w:tcBorders>
              <w:top w:val="single" w:color="auto" w:sz="2" w:space="0"/>
              <w:left w:val="single" w:color="auto" w:sz="2" w:space="0"/>
              <w:bottom w:val="single" w:color="auto" w:sz="2" w:space="0"/>
              <w:right w:val="single" w:color="auto" w:sz="2" w:space="0"/>
            </w:tcBorders>
            <w:vAlign w:val="center"/>
          </w:tcPr>
          <w:p w14:paraId="02EF926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1.41%</w:t>
            </w:r>
          </w:p>
        </w:tc>
      </w:tr>
      <w:tr w14:paraId="4EF0B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C6080D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w:t>
            </w:r>
          </w:p>
        </w:tc>
        <w:tc>
          <w:tcPr>
            <w:tcW w:w="2410" w:type="dxa"/>
            <w:tcBorders>
              <w:top w:val="single" w:color="auto" w:sz="2" w:space="0"/>
              <w:left w:val="single" w:color="auto" w:sz="2" w:space="0"/>
              <w:bottom w:val="single" w:color="auto" w:sz="2" w:space="0"/>
              <w:right w:val="single" w:color="auto" w:sz="2" w:space="0"/>
            </w:tcBorders>
            <w:vAlign w:val="center"/>
          </w:tcPr>
          <w:p w14:paraId="705E588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江苏富智国际贸易有限公司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16B8D09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770,587.91</w:t>
            </w:r>
          </w:p>
        </w:tc>
        <w:tc>
          <w:tcPr>
            <w:tcW w:w="2410" w:type="dxa"/>
            <w:tcBorders>
              <w:top w:val="single" w:color="auto" w:sz="2" w:space="0"/>
              <w:left w:val="single" w:color="auto" w:sz="2" w:space="0"/>
              <w:bottom w:val="single" w:color="auto" w:sz="2" w:space="0"/>
              <w:right w:val="single" w:color="auto" w:sz="2" w:space="0"/>
            </w:tcBorders>
            <w:vAlign w:val="center"/>
          </w:tcPr>
          <w:p w14:paraId="57B7F53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1.20%</w:t>
            </w:r>
          </w:p>
        </w:tc>
      </w:tr>
      <w:tr w14:paraId="2BC60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303B61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598D28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410" w:type="dxa"/>
            <w:tcBorders>
              <w:top w:val="single" w:color="auto" w:sz="2" w:space="0"/>
              <w:left w:val="single" w:color="auto" w:sz="2" w:space="0"/>
              <w:bottom w:val="single" w:color="auto" w:sz="2" w:space="0"/>
              <w:right w:val="single" w:color="auto" w:sz="2" w:space="0"/>
            </w:tcBorders>
            <w:vAlign w:val="center"/>
          </w:tcPr>
          <w:p w14:paraId="5F651B4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50,587,060.79</w:t>
            </w:r>
          </w:p>
        </w:tc>
        <w:tc>
          <w:tcPr>
            <w:tcW w:w="2410" w:type="dxa"/>
            <w:tcBorders>
              <w:top w:val="single" w:color="auto" w:sz="2" w:space="0"/>
              <w:left w:val="single" w:color="auto" w:sz="2" w:space="0"/>
              <w:bottom w:val="single" w:color="auto" w:sz="2" w:space="0"/>
              <w:right w:val="single" w:color="auto" w:sz="2" w:space="0"/>
            </w:tcBorders>
            <w:vAlign w:val="center"/>
          </w:tcPr>
          <w:p w14:paraId="3024AA4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78.68%</w:t>
            </w:r>
          </w:p>
        </w:tc>
      </w:tr>
    </w:tbl>
    <w:p w14:paraId="68AB0F39">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主要供应商其他情况说明</w:t>
      </w:r>
    </w:p>
    <w:p w14:paraId="61187960">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23B945E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报告期内公司贸易业务收入占营业收入比例超过10%</w:t>
      </w:r>
    </w:p>
    <w:p w14:paraId="2BBDA441">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3C3C7270">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43" w:name="_Toc988916"/>
      <w:r>
        <w:rPr>
          <w:rFonts w:hint="default" w:ascii="Times New Roman" w:hAnsi="Times New Roman" w:eastAsia="宋体" w:cs="Times New Roman"/>
          <w:b/>
          <w:bCs/>
          <w:sz w:val="21"/>
          <w:szCs w:val="21"/>
        </w:rPr>
        <w:t>3、费用</w:t>
      </w:r>
      <w:bookmarkEnd w:id="43"/>
    </w:p>
    <w:p w14:paraId="705C91C1">
      <w:pPr>
        <w:spacing w:before="40" w:after="4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66A30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B76DB95">
            <w:pPr>
              <w:rPr>
                <w:rFonts w:hint="default"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DB9CC3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28DFD9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05DAD5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同比增减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83A022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重大变动说明</w:t>
            </w:r>
          </w:p>
        </w:tc>
      </w:tr>
      <w:tr w14:paraId="44091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0141FA3">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销售费用</w:t>
            </w:r>
          </w:p>
        </w:tc>
        <w:tc>
          <w:tcPr>
            <w:tcW w:w="1928" w:type="dxa"/>
            <w:tcBorders>
              <w:top w:val="single" w:color="auto" w:sz="2" w:space="0"/>
              <w:left w:val="single" w:color="auto" w:sz="2" w:space="0"/>
              <w:bottom w:val="single" w:color="auto" w:sz="2" w:space="0"/>
              <w:right w:val="single" w:color="auto" w:sz="2" w:space="0"/>
            </w:tcBorders>
            <w:vAlign w:val="center"/>
          </w:tcPr>
          <w:p w14:paraId="248B465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160,935,392.93</w:t>
            </w:r>
          </w:p>
        </w:tc>
        <w:tc>
          <w:tcPr>
            <w:tcW w:w="1928" w:type="dxa"/>
            <w:tcBorders>
              <w:top w:val="single" w:color="auto" w:sz="2" w:space="0"/>
              <w:left w:val="single" w:color="auto" w:sz="2" w:space="0"/>
              <w:bottom w:val="single" w:color="auto" w:sz="2" w:space="0"/>
              <w:right w:val="single" w:color="auto" w:sz="2" w:space="0"/>
            </w:tcBorders>
            <w:vAlign w:val="center"/>
          </w:tcPr>
          <w:p w14:paraId="2988942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157,460,394.20</w:t>
            </w:r>
          </w:p>
        </w:tc>
        <w:tc>
          <w:tcPr>
            <w:tcW w:w="1928" w:type="dxa"/>
            <w:tcBorders>
              <w:top w:val="single" w:color="auto" w:sz="2" w:space="0"/>
              <w:left w:val="single" w:color="auto" w:sz="2" w:space="0"/>
              <w:bottom w:val="single" w:color="auto" w:sz="2" w:space="0"/>
              <w:right w:val="single" w:color="auto" w:sz="2" w:space="0"/>
            </w:tcBorders>
            <w:vAlign w:val="center"/>
          </w:tcPr>
          <w:p w14:paraId="34E6CFF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2.21%</w:t>
            </w:r>
          </w:p>
        </w:tc>
        <w:tc>
          <w:tcPr>
            <w:tcW w:w="1928" w:type="dxa"/>
            <w:tcBorders>
              <w:top w:val="single" w:color="auto" w:sz="2" w:space="0"/>
              <w:left w:val="single" w:color="auto" w:sz="2" w:space="0"/>
              <w:bottom w:val="single" w:color="auto" w:sz="2" w:space="0"/>
              <w:right w:val="single" w:color="auto" w:sz="2" w:space="0"/>
            </w:tcBorders>
            <w:vAlign w:val="center"/>
          </w:tcPr>
          <w:p w14:paraId="560342A0">
            <w:pPr>
              <w:spacing w:before="0" w:after="0" w:line="240" w:lineRule="exact"/>
              <w:jc w:val="left"/>
              <w:rPr>
                <w:rFonts w:hint="default" w:ascii="Times New Roman" w:hAnsi="Times New Roman" w:eastAsia="宋体" w:cs="Times New Roman"/>
                <w:sz w:val="18"/>
                <w:szCs w:val="18"/>
              </w:rPr>
            </w:pPr>
          </w:p>
        </w:tc>
      </w:tr>
      <w:tr w14:paraId="44F5E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5655AC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管理费用</w:t>
            </w:r>
          </w:p>
        </w:tc>
        <w:tc>
          <w:tcPr>
            <w:tcW w:w="1928" w:type="dxa"/>
            <w:tcBorders>
              <w:top w:val="single" w:color="auto" w:sz="2" w:space="0"/>
              <w:left w:val="single" w:color="auto" w:sz="2" w:space="0"/>
              <w:bottom w:val="single" w:color="auto" w:sz="2" w:space="0"/>
              <w:right w:val="single" w:color="auto" w:sz="2" w:space="0"/>
            </w:tcBorders>
            <w:vAlign w:val="center"/>
          </w:tcPr>
          <w:p w14:paraId="0583718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57,210,995.98</w:t>
            </w:r>
          </w:p>
        </w:tc>
        <w:tc>
          <w:tcPr>
            <w:tcW w:w="1928" w:type="dxa"/>
            <w:tcBorders>
              <w:top w:val="single" w:color="auto" w:sz="2" w:space="0"/>
              <w:left w:val="single" w:color="auto" w:sz="2" w:space="0"/>
              <w:bottom w:val="single" w:color="auto" w:sz="2" w:space="0"/>
              <w:right w:val="single" w:color="auto" w:sz="2" w:space="0"/>
            </w:tcBorders>
            <w:vAlign w:val="center"/>
          </w:tcPr>
          <w:p w14:paraId="1DED046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57,170,350.92</w:t>
            </w:r>
          </w:p>
        </w:tc>
        <w:tc>
          <w:tcPr>
            <w:tcW w:w="1928" w:type="dxa"/>
            <w:tcBorders>
              <w:top w:val="single" w:color="auto" w:sz="2" w:space="0"/>
              <w:left w:val="single" w:color="auto" w:sz="2" w:space="0"/>
              <w:bottom w:val="single" w:color="auto" w:sz="2" w:space="0"/>
              <w:right w:val="single" w:color="auto" w:sz="2" w:space="0"/>
            </w:tcBorders>
            <w:vAlign w:val="center"/>
          </w:tcPr>
          <w:p w14:paraId="73561B4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0.07%</w:t>
            </w:r>
          </w:p>
        </w:tc>
        <w:tc>
          <w:tcPr>
            <w:tcW w:w="1928" w:type="dxa"/>
            <w:tcBorders>
              <w:top w:val="single" w:color="auto" w:sz="2" w:space="0"/>
              <w:left w:val="single" w:color="auto" w:sz="2" w:space="0"/>
              <w:bottom w:val="single" w:color="auto" w:sz="2" w:space="0"/>
              <w:right w:val="single" w:color="auto" w:sz="2" w:space="0"/>
            </w:tcBorders>
            <w:vAlign w:val="center"/>
          </w:tcPr>
          <w:p w14:paraId="03D6A13C">
            <w:pPr>
              <w:spacing w:before="0" w:after="0" w:line="240" w:lineRule="exact"/>
              <w:jc w:val="left"/>
              <w:rPr>
                <w:rFonts w:hint="default" w:ascii="Times New Roman" w:hAnsi="Times New Roman" w:eastAsia="宋体" w:cs="Times New Roman"/>
                <w:sz w:val="18"/>
                <w:szCs w:val="18"/>
              </w:rPr>
            </w:pPr>
          </w:p>
        </w:tc>
      </w:tr>
      <w:tr w14:paraId="226CF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D3ABAA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财务费用</w:t>
            </w:r>
          </w:p>
        </w:tc>
        <w:tc>
          <w:tcPr>
            <w:tcW w:w="1928" w:type="dxa"/>
            <w:tcBorders>
              <w:top w:val="single" w:color="auto" w:sz="2" w:space="0"/>
              <w:left w:val="single" w:color="auto" w:sz="2" w:space="0"/>
              <w:bottom w:val="single" w:color="auto" w:sz="2" w:space="0"/>
              <w:right w:val="single" w:color="auto" w:sz="2" w:space="0"/>
            </w:tcBorders>
            <w:vAlign w:val="center"/>
          </w:tcPr>
          <w:p w14:paraId="2AB4CF9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3,382,846.08</w:t>
            </w:r>
          </w:p>
        </w:tc>
        <w:tc>
          <w:tcPr>
            <w:tcW w:w="1928" w:type="dxa"/>
            <w:tcBorders>
              <w:top w:val="single" w:color="auto" w:sz="2" w:space="0"/>
              <w:left w:val="single" w:color="auto" w:sz="2" w:space="0"/>
              <w:bottom w:val="single" w:color="auto" w:sz="2" w:space="0"/>
              <w:right w:val="single" w:color="auto" w:sz="2" w:space="0"/>
            </w:tcBorders>
            <w:vAlign w:val="center"/>
          </w:tcPr>
          <w:p w14:paraId="4A92059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1,364,068.09</w:t>
            </w:r>
          </w:p>
        </w:tc>
        <w:tc>
          <w:tcPr>
            <w:tcW w:w="1928" w:type="dxa"/>
            <w:tcBorders>
              <w:top w:val="single" w:color="auto" w:sz="2" w:space="0"/>
              <w:left w:val="single" w:color="auto" w:sz="2" w:space="0"/>
              <w:bottom w:val="single" w:color="auto" w:sz="2" w:space="0"/>
              <w:right w:val="single" w:color="auto" w:sz="2" w:space="0"/>
            </w:tcBorders>
            <w:vAlign w:val="center"/>
          </w:tcPr>
          <w:p w14:paraId="7C9EEDE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148.00%</w:t>
            </w:r>
          </w:p>
        </w:tc>
        <w:tc>
          <w:tcPr>
            <w:tcW w:w="1928" w:type="dxa"/>
            <w:tcBorders>
              <w:top w:val="single" w:color="auto" w:sz="2" w:space="0"/>
              <w:left w:val="single" w:color="auto" w:sz="2" w:space="0"/>
              <w:bottom w:val="single" w:color="auto" w:sz="2" w:space="0"/>
              <w:right w:val="single" w:color="auto" w:sz="2" w:space="0"/>
            </w:tcBorders>
            <w:vAlign w:val="center"/>
          </w:tcPr>
          <w:p w14:paraId="43184C2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天昊中山医药科技项目专项贷款增加所致</w:t>
            </w:r>
          </w:p>
        </w:tc>
      </w:tr>
      <w:tr w14:paraId="24C53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2E6CE2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研发费用</w:t>
            </w:r>
          </w:p>
        </w:tc>
        <w:tc>
          <w:tcPr>
            <w:tcW w:w="1928" w:type="dxa"/>
            <w:tcBorders>
              <w:top w:val="single" w:color="auto" w:sz="2" w:space="0"/>
              <w:left w:val="single" w:color="auto" w:sz="2" w:space="0"/>
              <w:bottom w:val="single" w:color="auto" w:sz="2" w:space="0"/>
              <w:right w:val="single" w:color="auto" w:sz="2" w:space="0"/>
            </w:tcBorders>
            <w:vAlign w:val="center"/>
          </w:tcPr>
          <w:p w14:paraId="677AAFA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40,965,725.76</w:t>
            </w:r>
          </w:p>
        </w:tc>
        <w:tc>
          <w:tcPr>
            <w:tcW w:w="1928" w:type="dxa"/>
            <w:tcBorders>
              <w:top w:val="single" w:color="auto" w:sz="2" w:space="0"/>
              <w:left w:val="single" w:color="auto" w:sz="2" w:space="0"/>
              <w:bottom w:val="single" w:color="auto" w:sz="2" w:space="0"/>
              <w:right w:val="single" w:color="auto" w:sz="2" w:space="0"/>
            </w:tcBorders>
            <w:vAlign w:val="center"/>
          </w:tcPr>
          <w:p w14:paraId="1E42FAA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36,164,958.42</w:t>
            </w:r>
          </w:p>
        </w:tc>
        <w:tc>
          <w:tcPr>
            <w:tcW w:w="1928" w:type="dxa"/>
            <w:tcBorders>
              <w:top w:val="single" w:color="auto" w:sz="2" w:space="0"/>
              <w:left w:val="single" w:color="auto" w:sz="2" w:space="0"/>
              <w:bottom w:val="single" w:color="auto" w:sz="2" w:space="0"/>
              <w:right w:val="single" w:color="auto" w:sz="2" w:space="0"/>
            </w:tcBorders>
            <w:vAlign w:val="center"/>
          </w:tcPr>
          <w:p w14:paraId="02C0620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13.27%</w:t>
            </w:r>
          </w:p>
        </w:tc>
        <w:tc>
          <w:tcPr>
            <w:tcW w:w="1928" w:type="dxa"/>
            <w:tcBorders>
              <w:top w:val="single" w:color="auto" w:sz="2" w:space="0"/>
              <w:left w:val="single" w:color="auto" w:sz="2" w:space="0"/>
              <w:bottom w:val="single" w:color="auto" w:sz="2" w:space="0"/>
              <w:right w:val="single" w:color="auto" w:sz="2" w:space="0"/>
            </w:tcBorders>
            <w:vAlign w:val="center"/>
          </w:tcPr>
          <w:p w14:paraId="5F485D4C">
            <w:pPr>
              <w:spacing w:before="0" w:after="0" w:line="240" w:lineRule="exact"/>
              <w:jc w:val="left"/>
              <w:rPr>
                <w:rFonts w:hint="default" w:ascii="Times New Roman" w:hAnsi="Times New Roman" w:eastAsia="宋体" w:cs="Times New Roman"/>
                <w:sz w:val="18"/>
                <w:szCs w:val="18"/>
              </w:rPr>
            </w:pPr>
          </w:p>
        </w:tc>
      </w:tr>
    </w:tbl>
    <w:p w14:paraId="2CE7A2EE">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44" w:name="_Toc988917"/>
      <w:r>
        <w:rPr>
          <w:rFonts w:hint="default" w:ascii="Times New Roman" w:hAnsi="Times New Roman" w:eastAsia="宋体" w:cs="Times New Roman"/>
          <w:b/>
          <w:bCs/>
          <w:sz w:val="21"/>
          <w:szCs w:val="21"/>
        </w:rPr>
        <w:t>4、研发投入</w:t>
      </w:r>
      <w:bookmarkEnd w:id="44"/>
    </w:p>
    <w:p w14:paraId="4242307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042AC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CAD302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主要研发项目名称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9891CB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项目目的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47D30B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项目进展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AF8ABC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拟达到的目标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C54923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预计对公司未来发展的影响</w:t>
            </w:r>
          </w:p>
        </w:tc>
      </w:tr>
      <w:tr w14:paraId="4ECFD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7703C9B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生物硬脑膜修复材料</w:t>
            </w:r>
          </w:p>
        </w:tc>
        <w:tc>
          <w:tcPr>
            <w:tcW w:w="1928" w:type="dxa"/>
            <w:tcBorders>
              <w:top w:val="single" w:color="auto" w:sz="2" w:space="0"/>
              <w:left w:val="single" w:color="auto" w:sz="2" w:space="0"/>
              <w:bottom w:val="single" w:color="auto" w:sz="2" w:space="0"/>
              <w:right w:val="single" w:color="auto" w:sz="2" w:space="0"/>
            </w:tcBorders>
            <w:vAlign w:val="center"/>
          </w:tcPr>
          <w:p w14:paraId="0D07AFF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硬脑（脊）膜破损重建及修复</w:t>
            </w:r>
          </w:p>
        </w:tc>
        <w:tc>
          <w:tcPr>
            <w:tcW w:w="1928" w:type="dxa"/>
            <w:tcBorders>
              <w:top w:val="single" w:color="auto" w:sz="2" w:space="0"/>
              <w:left w:val="single" w:color="auto" w:sz="2" w:space="0"/>
              <w:bottom w:val="single" w:color="auto" w:sz="2" w:space="0"/>
              <w:right w:val="single" w:color="auto" w:sz="2" w:space="0"/>
            </w:tcBorders>
            <w:vAlign w:val="center"/>
          </w:tcPr>
          <w:p w14:paraId="4F00659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临床研究完毕，已输出最终临床报告，计划提交注册申报</w:t>
            </w:r>
          </w:p>
        </w:tc>
        <w:tc>
          <w:tcPr>
            <w:tcW w:w="1928" w:type="dxa"/>
            <w:tcBorders>
              <w:top w:val="single" w:color="auto" w:sz="2" w:space="0"/>
              <w:left w:val="single" w:color="auto" w:sz="2" w:space="0"/>
              <w:bottom w:val="single" w:color="auto" w:sz="2" w:space="0"/>
              <w:right w:val="single" w:color="auto" w:sz="2" w:space="0"/>
            </w:tcBorders>
            <w:vAlign w:val="center"/>
          </w:tcPr>
          <w:p w14:paraId="147ACF0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进行临床研究和注册申报并获产品注册批件上市</w:t>
            </w:r>
          </w:p>
        </w:tc>
        <w:tc>
          <w:tcPr>
            <w:tcW w:w="1928" w:type="dxa"/>
            <w:tcBorders>
              <w:top w:val="single" w:color="auto" w:sz="2" w:space="0"/>
              <w:left w:val="single" w:color="auto" w:sz="2" w:space="0"/>
              <w:bottom w:val="single" w:color="auto" w:sz="2" w:space="0"/>
              <w:right w:val="single" w:color="auto" w:sz="2" w:space="0"/>
            </w:tcBorders>
            <w:vAlign w:val="center"/>
          </w:tcPr>
          <w:p w14:paraId="4B7D13F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丰富生物材料板块产品线</w:t>
            </w:r>
          </w:p>
        </w:tc>
      </w:tr>
      <w:tr w14:paraId="6DC54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7A49088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心外科补片</w:t>
            </w:r>
          </w:p>
        </w:tc>
        <w:tc>
          <w:tcPr>
            <w:tcW w:w="1928" w:type="dxa"/>
            <w:tcBorders>
              <w:top w:val="single" w:color="auto" w:sz="2" w:space="0"/>
              <w:left w:val="single" w:color="auto" w:sz="2" w:space="0"/>
              <w:bottom w:val="single" w:color="auto" w:sz="2" w:space="0"/>
              <w:right w:val="single" w:color="auto" w:sz="2" w:space="0"/>
            </w:tcBorders>
            <w:vAlign w:val="center"/>
          </w:tcPr>
          <w:p w14:paraId="36CA4AF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拓展公司动物源补片在心外科等科室的应用</w:t>
            </w:r>
          </w:p>
        </w:tc>
        <w:tc>
          <w:tcPr>
            <w:tcW w:w="1928" w:type="dxa"/>
            <w:tcBorders>
              <w:top w:val="single" w:color="auto" w:sz="2" w:space="0"/>
              <w:left w:val="single" w:color="auto" w:sz="2" w:space="0"/>
              <w:bottom w:val="single" w:color="auto" w:sz="2" w:space="0"/>
              <w:right w:val="single" w:color="auto" w:sz="2" w:space="0"/>
            </w:tcBorders>
            <w:vAlign w:val="center"/>
          </w:tcPr>
          <w:p w14:paraId="5F47242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动物实验完毕，正在提交注册申报</w:t>
            </w:r>
          </w:p>
        </w:tc>
        <w:tc>
          <w:tcPr>
            <w:tcW w:w="1928" w:type="dxa"/>
            <w:tcBorders>
              <w:top w:val="single" w:color="auto" w:sz="2" w:space="0"/>
              <w:left w:val="single" w:color="auto" w:sz="2" w:space="0"/>
              <w:bottom w:val="single" w:color="auto" w:sz="2" w:space="0"/>
              <w:right w:val="single" w:color="auto" w:sz="2" w:space="0"/>
            </w:tcBorders>
            <w:vAlign w:val="center"/>
          </w:tcPr>
          <w:p w14:paraId="27C489E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进行新产品注册申报并获得产品注册批件上市</w:t>
            </w:r>
          </w:p>
        </w:tc>
        <w:tc>
          <w:tcPr>
            <w:tcW w:w="1928" w:type="dxa"/>
            <w:tcBorders>
              <w:top w:val="single" w:color="auto" w:sz="2" w:space="0"/>
              <w:left w:val="single" w:color="auto" w:sz="2" w:space="0"/>
              <w:bottom w:val="single" w:color="auto" w:sz="2" w:space="0"/>
              <w:right w:val="single" w:color="auto" w:sz="2" w:space="0"/>
            </w:tcBorders>
            <w:vAlign w:val="center"/>
          </w:tcPr>
          <w:p w14:paraId="028D8D9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丰富生物材料板块产品线</w:t>
            </w:r>
          </w:p>
        </w:tc>
      </w:tr>
      <w:tr w14:paraId="66FAD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24460A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一次性使用富血小板血浆（PRP）制备器</w:t>
            </w:r>
          </w:p>
        </w:tc>
        <w:tc>
          <w:tcPr>
            <w:tcW w:w="1928" w:type="dxa"/>
            <w:tcBorders>
              <w:top w:val="single" w:color="auto" w:sz="2" w:space="0"/>
              <w:left w:val="single" w:color="auto" w:sz="2" w:space="0"/>
              <w:bottom w:val="single" w:color="auto" w:sz="2" w:space="0"/>
              <w:right w:val="single" w:color="auto" w:sz="2" w:space="0"/>
            </w:tcBorders>
            <w:vAlign w:val="center"/>
          </w:tcPr>
          <w:p w14:paraId="13F8E69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用于从人体自体血血样中制备富血小板血浆。通过膝关节腔注射进行创面修复或治疗膝骨关节炎</w:t>
            </w:r>
          </w:p>
        </w:tc>
        <w:tc>
          <w:tcPr>
            <w:tcW w:w="1928" w:type="dxa"/>
            <w:tcBorders>
              <w:top w:val="single" w:color="auto" w:sz="2" w:space="0"/>
              <w:left w:val="single" w:color="auto" w:sz="2" w:space="0"/>
              <w:bottom w:val="single" w:color="auto" w:sz="2" w:space="0"/>
              <w:right w:val="single" w:color="auto" w:sz="2" w:space="0"/>
            </w:tcBorders>
            <w:vAlign w:val="center"/>
          </w:tcPr>
          <w:p w14:paraId="4329B25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已经完成注册申报，并获发补意见，正在进行发补资料补充及修正阶段；</w:t>
            </w:r>
          </w:p>
        </w:tc>
        <w:tc>
          <w:tcPr>
            <w:tcW w:w="1928" w:type="dxa"/>
            <w:tcBorders>
              <w:top w:val="single" w:color="auto" w:sz="2" w:space="0"/>
              <w:left w:val="single" w:color="auto" w:sz="2" w:space="0"/>
              <w:bottom w:val="single" w:color="auto" w:sz="2" w:space="0"/>
              <w:right w:val="single" w:color="auto" w:sz="2" w:space="0"/>
            </w:tcBorders>
            <w:vAlign w:val="center"/>
          </w:tcPr>
          <w:p w14:paraId="4E90170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按Ⅲ类医疗器械进行注册申报，并获得注册证书上市</w:t>
            </w:r>
          </w:p>
        </w:tc>
        <w:tc>
          <w:tcPr>
            <w:tcW w:w="1928" w:type="dxa"/>
            <w:tcBorders>
              <w:top w:val="single" w:color="auto" w:sz="2" w:space="0"/>
              <w:left w:val="single" w:color="auto" w:sz="2" w:space="0"/>
              <w:bottom w:val="single" w:color="auto" w:sz="2" w:space="0"/>
              <w:right w:val="single" w:color="auto" w:sz="2" w:space="0"/>
            </w:tcBorders>
            <w:vAlign w:val="center"/>
          </w:tcPr>
          <w:p w14:paraId="5BDA81A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丰富材料板块产品线，并对细胞板块业务开展提供支持</w:t>
            </w:r>
          </w:p>
        </w:tc>
      </w:tr>
      <w:tr w14:paraId="7C29C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412C11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生物人工肝</w:t>
            </w:r>
          </w:p>
        </w:tc>
        <w:tc>
          <w:tcPr>
            <w:tcW w:w="1928" w:type="dxa"/>
            <w:tcBorders>
              <w:top w:val="single" w:color="auto" w:sz="2" w:space="0"/>
              <w:left w:val="single" w:color="auto" w:sz="2" w:space="0"/>
              <w:bottom w:val="single" w:color="auto" w:sz="2" w:space="0"/>
              <w:right w:val="single" w:color="auto" w:sz="2" w:space="0"/>
            </w:tcBorders>
            <w:vAlign w:val="center"/>
          </w:tcPr>
          <w:p w14:paraId="7120CD4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探索诱导多能干细胞来源的肝细胞复合人工肝支持系统，治疗急性肝衰竭的安全性和有效性</w:t>
            </w:r>
          </w:p>
        </w:tc>
        <w:tc>
          <w:tcPr>
            <w:tcW w:w="1928" w:type="dxa"/>
            <w:tcBorders>
              <w:top w:val="single" w:color="auto" w:sz="2" w:space="0"/>
              <w:left w:val="single" w:color="auto" w:sz="2" w:space="0"/>
              <w:bottom w:val="single" w:color="auto" w:sz="2" w:space="0"/>
              <w:right w:val="single" w:color="auto" w:sz="2" w:space="0"/>
            </w:tcBorders>
            <w:vAlign w:val="center"/>
          </w:tcPr>
          <w:p w14:paraId="1DCE1CA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已完成临床前研究</w:t>
            </w:r>
          </w:p>
        </w:tc>
        <w:tc>
          <w:tcPr>
            <w:tcW w:w="1928" w:type="dxa"/>
            <w:tcBorders>
              <w:top w:val="single" w:color="auto" w:sz="2" w:space="0"/>
              <w:left w:val="single" w:color="auto" w:sz="2" w:space="0"/>
              <w:bottom w:val="single" w:color="auto" w:sz="2" w:space="0"/>
              <w:right w:val="single" w:color="auto" w:sz="2" w:space="0"/>
            </w:tcBorders>
            <w:vAlign w:val="center"/>
          </w:tcPr>
          <w:p w14:paraId="61853A3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通过开展相关研究，验证生物人工肝技术的安全性和有效性，按照细胞药械组合的方式进行注册申报，实现产业化</w:t>
            </w:r>
          </w:p>
        </w:tc>
        <w:tc>
          <w:tcPr>
            <w:tcW w:w="1928" w:type="dxa"/>
            <w:tcBorders>
              <w:top w:val="single" w:color="auto" w:sz="2" w:space="0"/>
              <w:left w:val="single" w:color="auto" w:sz="2" w:space="0"/>
              <w:bottom w:val="single" w:color="auto" w:sz="2" w:space="0"/>
              <w:right w:val="single" w:color="auto" w:sz="2" w:space="0"/>
            </w:tcBorders>
            <w:vAlign w:val="center"/>
          </w:tcPr>
          <w:p w14:paraId="6FC0E9F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丰富细胞板块产品线</w:t>
            </w:r>
          </w:p>
        </w:tc>
      </w:tr>
      <w:tr w14:paraId="16486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43AD30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间充质干细胞治疗技术</w:t>
            </w:r>
          </w:p>
        </w:tc>
        <w:tc>
          <w:tcPr>
            <w:tcW w:w="1928" w:type="dxa"/>
            <w:tcBorders>
              <w:top w:val="single" w:color="auto" w:sz="2" w:space="0"/>
              <w:left w:val="single" w:color="auto" w:sz="2" w:space="0"/>
              <w:bottom w:val="single" w:color="auto" w:sz="2" w:space="0"/>
              <w:right w:val="single" w:color="auto" w:sz="2" w:space="0"/>
            </w:tcBorders>
            <w:vAlign w:val="center"/>
          </w:tcPr>
          <w:p w14:paraId="7A30435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开展间充质干细胞的工艺研究，开展间充质干细胞在皮肤科、肾内科等多种疾病治疗的临床前研究，验证间充质干细胞治疗的安全性和有效性</w:t>
            </w:r>
          </w:p>
        </w:tc>
        <w:tc>
          <w:tcPr>
            <w:tcW w:w="1928" w:type="dxa"/>
            <w:tcBorders>
              <w:top w:val="single" w:color="auto" w:sz="2" w:space="0"/>
              <w:left w:val="single" w:color="auto" w:sz="2" w:space="0"/>
              <w:bottom w:val="single" w:color="auto" w:sz="2" w:space="0"/>
              <w:right w:val="single" w:color="auto" w:sz="2" w:space="0"/>
            </w:tcBorders>
            <w:vAlign w:val="center"/>
          </w:tcPr>
          <w:p w14:paraId="69FB4F0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临床前研究阶段</w:t>
            </w:r>
          </w:p>
        </w:tc>
        <w:tc>
          <w:tcPr>
            <w:tcW w:w="1928" w:type="dxa"/>
            <w:tcBorders>
              <w:top w:val="single" w:color="auto" w:sz="2" w:space="0"/>
              <w:left w:val="single" w:color="auto" w:sz="2" w:space="0"/>
              <w:bottom w:val="single" w:color="auto" w:sz="2" w:space="0"/>
              <w:right w:val="single" w:color="auto" w:sz="2" w:space="0"/>
            </w:tcBorders>
            <w:vAlign w:val="center"/>
          </w:tcPr>
          <w:p w14:paraId="60DDAD9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通过开展相关研究，验证间充质干细胞治疗技术的安全性和有效性，积极推动间充质干细胞按照细胞药品或药械组合等方式进行注册申报，实现</w:t>
            </w:r>
          </w:p>
          <w:p w14:paraId="196FAF5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产业化</w:t>
            </w:r>
          </w:p>
        </w:tc>
        <w:tc>
          <w:tcPr>
            <w:tcW w:w="1928" w:type="dxa"/>
            <w:tcBorders>
              <w:top w:val="single" w:color="auto" w:sz="2" w:space="0"/>
              <w:left w:val="single" w:color="auto" w:sz="2" w:space="0"/>
              <w:bottom w:val="single" w:color="auto" w:sz="2" w:space="0"/>
              <w:right w:val="single" w:color="auto" w:sz="2" w:space="0"/>
            </w:tcBorders>
            <w:vAlign w:val="center"/>
          </w:tcPr>
          <w:p w14:paraId="70C788D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丰富细胞板块产品线</w:t>
            </w:r>
          </w:p>
        </w:tc>
      </w:tr>
      <w:tr w14:paraId="2E0B8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1E5E30F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本维莫德特应性皮炎</w:t>
            </w:r>
          </w:p>
        </w:tc>
        <w:tc>
          <w:tcPr>
            <w:tcW w:w="1928" w:type="dxa"/>
            <w:tcBorders>
              <w:top w:val="single" w:color="auto" w:sz="2" w:space="0"/>
              <w:left w:val="single" w:color="auto" w:sz="2" w:space="0"/>
              <w:bottom w:val="single" w:color="auto" w:sz="2" w:space="0"/>
              <w:right w:val="single" w:color="auto" w:sz="2" w:space="0"/>
            </w:tcBorders>
            <w:vAlign w:val="center"/>
          </w:tcPr>
          <w:p w14:paraId="10EE582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增加本维莫德湿疹适应症</w:t>
            </w:r>
          </w:p>
        </w:tc>
        <w:tc>
          <w:tcPr>
            <w:tcW w:w="1928" w:type="dxa"/>
            <w:tcBorders>
              <w:top w:val="single" w:color="auto" w:sz="2" w:space="0"/>
              <w:left w:val="single" w:color="auto" w:sz="2" w:space="0"/>
              <w:bottom w:val="single" w:color="auto" w:sz="2" w:space="0"/>
              <w:right w:val="single" w:color="auto" w:sz="2" w:space="0"/>
            </w:tcBorders>
            <w:vAlign w:val="center"/>
          </w:tcPr>
          <w:p w14:paraId="4D641BC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Ⅲ期临床试验</w:t>
            </w:r>
          </w:p>
        </w:tc>
        <w:tc>
          <w:tcPr>
            <w:tcW w:w="1928" w:type="dxa"/>
            <w:tcBorders>
              <w:top w:val="single" w:color="auto" w:sz="2" w:space="0"/>
              <w:left w:val="single" w:color="auto" w:sz="2" w:space="0"/>
              <w:bottom w:val="single" w:color="auto" w:sz="2" w:space="0"/>
              <w:right w:val="single" w:color="auto" w:sz="2" w:space="0"/>
            </w:tcBorders>
            <w:vAlign w:val="center"/>
          </w:tcPr>
          <w:p w14:paraId="245973B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产品获批上市，实现产业化</w:t>
            </w:r>
          </w:p>
        </w:tc>
        <w:tc>
          <w:tcPr>
            <w:tcW w:w="1928" w:type="dxa"/>
            <w:tcBorders>
              <w:top w:val="single" w:color="auto" w:sz="2" w:space="0"/>
              <w:left w:val="single" w:color="auto" w:sz="2" w:space="0"/>
              <w:bottom w:val="single" w:color="auto" w:sz="2" w:space="0"/>
              <w:right w:val="single" w:color="auto" w:sz="2" w:space="0"/>
            </w:tcBorders>
            <w:vAlign w:val="center"/>
          </w:tcPr>
          <w:p w14:paraId="0861802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丰富药业板块产品线</w:t>
            </w:r>
          </w:p>
        </w:tc>
      </w:tr>
      <w:tr w14:paraId="0C8C4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96B436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本维莫德溃疡性结肠炎</w:t>
            </w:r>
          </w:p>
        </w:tc>
        <w:tc>
          <w:tcPr>
            <w:tcW w:w="1928" w:type="dxa"/>
            <w:tcBorders>
              <w:top w:val="single" w:color="auto" w:sz="2" w:space="0"/>
              <w:left w:val="single" w:color="auto" w:sz="2" w:space="0"/>
              <w:bottom w:val="single" w:color="auto" w:sz="2" w:space="0"/>
              <w:right w:val="single" w:color="auto" w:sz="2" w:space="0"/>
            </w:tcBorders>
            <w:vAlign w:val="center"/>
          </w:tcPr>
          <w:p w14:paraId="6257D1A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增加本维莫德溃疡性结肠炎等适应症</w:t>
            </w:r>
          </w:p>
        </w:tc>
        <w:tc>
          <w:tcPr>
            <w:tcW w:w="1928" w:type="dxa"/>
            <w:tcBorders>
              <w:top w:val="single" w:color="auto" w:sz="2" w:space="0"/>
              <w:left w:val="single" w:color="auto" w:sz="2" w:space="0"/>
              <w:bottom w:val="single" w:color="auto" w:sz="2" w:space="0"/>
              <w:right w:val="single" w:color="auto" w:sz="2" w:space="0"/>
            </w:tcBorders>
            <w:vAlign w:val="center"/>
          </w:tcPr>
          <w:p w14:paraId="00A24CE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临床前研究</w:t>
            </w:r>
          </w:p>
        </w:tc>
        <w:tc>
          <w:tcPr>
            <w:tcW w:w="1928" w:type="dxa"/>
            <w:tcBorders>
              <w:top w:val="single" w:color="auto" w:sz="2" w:space="0"/>
              <w:left w:val="single" w:color="auto" w:sz="2" w:space="0"/>
              <w:bottom w:val="single" w:color="auto" w:sz="2" w:space="0"/>
              <w:right w:val="single" w:color="auto" w:sz="2" w:space="0"/>
            </w:tcBorders>
            <w:vAlign w:val="center"/>
          </w:tcPr>
          <w:p w14:paraId="4E040B9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通过开展相关研究，验证本维莫德在治疗溃疡性结肠炎的安全性和有效性，积极推进本维莫德溃疡性结肠炎适应症进行注册申报，实现产业化</w:t>
            </w:r>
          </w:p>
        </w:tc>
        <w:tc>
          <w:tcPr>
            <w:tcW w:w="1928" w:type="dxa"/>
            <w:tcBorders>
              <w:top w:val="single" w:color="auto" w:sz="2" w:space="0"/>
              <w:left w:val="single" w:color="auto" w:sz="2" w:space="0"/>
              <w:bottom w:val="single" w:color="auto" w:sz="2" w:space="0"/>
              <w:right w:val="single" w:color="auto" w:sz="2" w:space="0"/>
            </w:tcBorders>
            <w:vAlign w:val="center"/>
          </w:tcPr>
          <w:p w14:paraId="4545269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丰富药业板块产品线</w:t>
            </w:r>
          </w:p>
        </w:tc>
      </w:tr>
    </w:tbl>
    <w:p w14:paraId="2C0544D3">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公司研发人员情况</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3EB9F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24AC11A">
            <w:pPr>
              <w:rPr>
                <w:rFonts w:hint="default"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F237E9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828EF4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DB6D0F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变动比例</w:t>
            </w:r>
          </w:p>
        </w:tc>
      </w:tr>
      <w:tr w14:paraId="27BB7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5499AC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研发人员数量（人）</w:t>
            </w:r>
          </w:p>
        </w:tc>
        <w:tc>
          <w:tcPr>
            <w:tcW w:w="2410" w:type="dxa"/>
            <w:tcBorders>
              <w:top w:val="single" w:color="auto" w:sz="2" w:space="0"/>
              <w:left w:val="single" w:color="auto" w:sz="2" w:space="0"/>
              <w:bottom w:val="single" w:color="auto" w:sz="2" w:space="0"/>
              <w:right w:val="single" w:color="auto" w:sz="2" w:space="0"/>
            </w:tcBorders>
            <w:vAlign w:val="center"/>
          </w:tcPr>
          <w:p w14:paraId="7723A8C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68</w:t>
            </w:r>
          </w:p>
        </w:tc>
        <w:tc>
          <w:tcPr>
            <w:tcW w:w="2410" w:type="dxa"/>
            <w:tcBorders>
              <w:top w:val="single" w:color="auto" w:sz="2" w:space="0"/>
              <w:left w:val="single" w:color="auto" w:sz="2" w:space="0"/>
              <w:bottom w:val="single" w:color="auto" w:sz="2" w:space="0"/>
              <w:right w:val="single" w:color="auto" w:sz="2" w:space="0"/>
            </w:tcBorders>
            <w:vAlign w:val="center"/>
          </w:tcPr>
          <w:p w14:paraId="2521A26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w:t>
            </w:r>
          </w:p>
        </w:tc>
        <w:tc>
          <w:tcPr>
            <w:tcW w:w="2410" w:type="dxa"/>
            <w:tcBorders>
              <w:top w:val="single" w:color="auto" w:sz="2" w:space="0"/>
              <w:left w:val="single" w:color="auto" w:sz="2" w:space="0"/>
              <w:bottom w:val="single" w:color="auto" w:sz="2" w:space="0"/>
              <w:right w:val="single" w:color="auto" w:sz="2" w:space="0"/>
            </w:tcBorders>
            <w:vAlign w:val="center"/>
          </w:tcPr>
          <w:p w14:paraId="1C9FEF3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3.03%</w:t>
            </w:r>
          </w:p>
        </w:tc>
      </w:tr>
      <w:tr w14:paraId="5CB7C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56DE74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研发人员数量占比</w:t>
            </w:r>
          </w:p>
        </w:tc>
        <w:tc>
          <w:tcPr>
            <w:tcW w:w="2410" w:type="dxa"/>
            <w:tcBorders>
              <w:top w:val="single" w:color="auto" w:sz="2" w:space="0"/>
              <w:left w:val="single" w:color="auto" w:sz="2" w:space="0"/>
              <w:bottom w:val="single" w:color="auto" w:sz="2" w:space="0"/>
              <w:right w:val="single" w:color="auto" w:sz="2" w:space="0"/>
            </w:tcBorders>
            <w:vAlign w:val="center"/>
          </w:tcPr>
          <w:p w14:paraId="16347F8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12.71%</w:t>
            </w:r>
          </w:p>
        </w:tc>
        <w:tc>
          <w:tcPr>
            <w:tcW w:w="2410" w:type="dxa"/>
            <w:tcBorders>
              <w:top w:val="single" w:color="auto" w:sz="2" w:space="0"/>
              <w:left w:val="single" w:color="auto" w:sz="2" w:space="0"/>
              <w:bottom w:val="single" w:color="auto" w:sz="2" w:space="0"/>
              <w:right w:val="single" w:color="auto" w:sz="2" w:space="0"/>
            </w:tcBorders>
            <w:vAlign w:val="center"/>
          </w:tcPr>
          <w:p w14:paraId="5554562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12.45%</w:t>
            </w:r>
          </w:p>
        </w:tc>
        <w:tc>
          <w:tcPr>
            <w:tcW w:w="2410" w:type="dxa"/>
            <w:tcBorders>
              <w:top w:val="single" w:color="auto" w:sz="2" w:space="0"/>
              <w:left w:val="single" w:color="auto" w:sz="2" w:space="0"/>
              <w:bottom w:val="single" w:color="auto" w:sz="2" w:space="0"/>
              <w:right w:val="single" w:color="auto" w:sz="2" w:space="0"/>
            </w:tcBorders>
            <w:vAlign w:val="center"/>
          </w:tcPr>
          <w:p w14:paraId="6893B6C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0.26%</w:t>
            </w:r>
          </w:p>
        </w:tc>
      </w:tr>
      <w:tr w14:paraId="735ED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2825232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研发人员学历</w:t>
            </w:r>
          </w:p>
        </w:tc>
      </w:tr>
      <w:tr w14:paraId="56C78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F93BCE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本科</w:t>
            </w:r>
          </w:p>
        </w:tc>
        <w:tc>
          <w:tcPr>
            <w:tcW w:w="2410" w:type="dxa"/>
            <w:tcBorders>
              <w:top w:val="single" w:color="auto" w:sz="2" w:space="0"/>
              <w:left w:val="single" w:color="auto" w:sz="2" w:space="0"/>
              <w:bottom w:val="single" w:color="auto" w:sz="2" w:space="0"/>
              <w:right w:val="single" w:color="auto" w:sz="2" w:space="0"/>
            </w:tcBorders>
            <w:vAlign w:val="center"/>
          </w:tcPr>
          <w:p w14:paraId="39BE230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2410" w:type="dxa"/>
            <w:tcBorders>
              <w:top w:val="single" w:color="auto" w:sz="2" w:space="0"/>
              <w:left w:val="single" w:color="auto" w:sz="2" w:space="0"/>
              <w:bottom w:val="single" w:color="auto" w:sz="2" w:space="0"/>
              <w:right w:val="single" w:color="auto" w:sz="2" w:space="0"/>
            </w:tcBorders>
            <w:vAlign w:val="center"/>
          </w:tcPr>
          <w:p w14:paraId="0CBAF99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w:t>
            </w:r>
          </w:p>
        </w:tc>
        <w:tc>
          <w:tcPr>
            <w:tcW w:w="2410" w:type="dxa"/>
            <w:tcBorders>
              <w:top w:val="single" w:color="auto" w:sz="2" w:space="0"/>
              <w:left w:val="single" w:color="auto" w:sz="2" w:space="0"/>
              <w:bottom w:val="single" w:color="auto" w:sz="2" w:space="0"/>
              <w:right w:val="single" w:color="auto" w:sz="2" w:space="0"/>
            </w:tcBorders>
            <w:vAlign w:val="center"/>
          </w:tcPr>
          <w:p w14:paraId="506CEE0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-15.79%</w:t>
            </w:r>
          </w:p>
        </w:tc>
      </w:tr>
      <w:tr w14:paraId="3D3B7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8BA06B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硕士</w:t>
            </w:r>
          </w:p>
        </w:tc>
        <w:tc>
          <w:tcPr>
            <w:tcW w:w="2410" w:type="dxa"/>
            <w:tcBorders>
              <w:top w:val="single" w:color="auto" w:sz="2" w:space="0"/>
              <w:left w:val="single" w:color="auto" w:sz="2" w:space="0"/>
              <w:bottom w:val="single" w:color="auto" w:sz="2" w:space="0"/>
              <w:right w:val="single" w:color="auto" w:sz="2" w:space="0"/>
            </w:tcBorders>
            <w:vAlign w:val="center"/>
          </w:tcPr>
          <w:p w14:paraId="173E877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w:t>
            </w:r>
          </w:p>
        </w:tc>
        <w:tc>
          <w:tcPr>
            <w:tcW w:w="2410" w:type="dxa"/>
            <w:tcBorders>
              <w:top w:val="single" w:color="auto" w:sz="2" w:space="0"/>
              <w:left w:val="single" w:color="auto" w:sz="2" w:space="0"/>
              <w:bottom w:val="single" w:color="auto" w:sz="2" w:space="0"/>
              <w:right w:val="single" w:color="auto" w:sz="2" w:space="0"/>
            </w:tcBorders>
            <w:vAlign w:val="center"/>
          </w:tcPr>
          <w:p w14:paraId="25B899E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w:t>
            </w:r>
          </w:p>
        </w:tc>
        <w:tc>
          <w:tcPr>
            <w:tcW w:w="2410" w:type="dxa"/>
            <w:tcBorders>
              <w:top w:val="single" w:color="auto" w:sz="2" w:space="0"/>
              <w:left w:val="single" w:color="auto" w:sz="2" w:space="0"/>
              <w:bottom w:val="single" w:color="auto" w:sz="2" w:space="0"/>
              <w:right w:val="single" w:color="auto" w:sz="2" w:space="0"/>
            </w:tcBorders>
            <w:vAlign w:val="center"/>
          </w:tcPr>
          <w:p w14:paraId="549EB7C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72.73%</w:t>
            </w:r>
          </w:p>
        </w:tc>
      </w:tr>
      <w:tr w14:paraId="2C882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BF9AC6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博士</w:t>
            </w:r>
          </w:p>
        </w:tc>
        <w:tc>
          <w:tcPr>
            <w:tcW w:w="2410" w:type="dxa"/>
            <w:tcBorders>
              <w:top w:val="single" w:color="auto" w:sz="2" w:space="0"/>
              <w:left w:val="single" w:color="auto" w:sz="2" w:space="0"/>
              <w:bottom w:val="single" w:color="auto" w:sz="2" w:space="0"/>
              <w:right w:val="single" w:color="auto" w:sz="2" w:space="0"/>
            </w:tcBorders>
            <w:vAlign w:val="center"/>
          </w:tcPr>
          <w:p w14:paraId="5713E8D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w:t>
            </w:r>
          </w:p>
        </w:tc>
        <w:tc>
          <w:tcPr>
            <w:tcW w:w="2410" w:type="dxa"/>
            <w:tcBorders>
              <w:top w:val="single" w:color="auto" w:sz="2" w:space="0"/>
              <w:left w:val="single" w:color="auto" w:sz="2" w:space="0"/>
              <w:bottom w:val="single" w:color="auto" w:sz="2" w:space="0"/>
              <w:right w:val="single" w:color="auto" w:sz="2" w:space="0"/>
            </w:tcBorders>
            <w:vAlign w:val="center"/>
          </w:tcPr>
          <w:p w14:paraId="5B778A9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w:t>
            </w:r>
          </w:p>
        </w:tc>
        <w:tc>
          <w:tcPr>
            <w:tcW w:w="2410" w:type="dxa"/>
            <w:tcBorders>
              <w:top w:val="single" w:color="auto" w:sz="2" w:space="0"/>
              <w:left w:val="single" w:color="auto" w:sz="2" w:space="0"/>
              <w:bottom w:val="single" w:color="auto" w:sz="2" w:space="0"/>
              <w:right w:val="single" w:color="auto" w:sz="2" w:space="0"/>
            </w:tcBorders>
            <w:vAlign w:val="center"/>
          </w:tcPr>
          <w:p w14:paraId="0F99203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60.00%</w:t>
            </w:r>
          </w:p>
        </w:tc>
      </w:tr>
      <w:tr w14:paraId="6D579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5D50FC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专科及以下学历</w:t>
            </w:r>
          </w:p>
        </w:tc>
        <w:tc>
          <w:tcPr>
            <w:tcW w:w="2410" w:type="dxa"/>
            <w:tcBorders>
              <w:top w:val="single" w:color="auto" w:sz="2" w:space="0"/>
              <w:left w:val="single" w:color="auto" w:sz="2" w:space="0"/>
              <w:bottom w:val="single" w:color="auto" w:sz="2" w:space="0"/>
              <w:right w:val="single" w:color="auto" w:sz="2" w:space="0"/>
            </w:tcBorders>
            <w:vAlign w:val="center"/>
          </w:tcPr>
          <w:p w14:paraId="77DA43E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w:t>
            </w:r>
          </w:p>
        </w:tc>
        <w:tc>
          <w:tcPr>
            <w:tcW w:w="2410" w:type="dxa"/>
            <w:tcBorders>
              <w:top w:val="single" w:color="auto" w:sz="2" w:space="0"/>
              <w:left w:val="single" w:color="auto" w:sz="2" w:space="0"/>
              <w:bottom w:val="single" w:color="auto" w:sz="2" w:space="0"/>
              <w:right w:val="single" w:color="auto" w:sz="2" w:space="0"/>
            </w:tcBorders>
            <w:vAlign w:val="center"/>
          </w:tcPr>
          <w:p w14:paraId="5DC516F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w:t>
            </w:r>
          </w:p>
        </w:tc>
        <w:tc>
          <w:tcPr>
            <w:tcW w:w="2410" w:type="dxa"/>
            <w:tcBorders>
              <w:top w:val="single" w:color="auto" w:sz="2" w:space="0"/>
              <w:left w:val="single" w:color="auto" w:sz="2" w:space="0"/>
              <w:bottom w:val="single" w:color="auto" w:sz="2" w:space="0"/>
              <w:right w:val="single" w:color="auto" w:sz="2" w:space="0"/>
            </w:tcBorders>
            <w:vAlign w:val="center"/>
          </w:tcPr>
          <w:p w14:paraId="3BA50C6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-25.00%</w:t>
            </w:r>
          </w:p>
        </w:tc>
      </w:tr>
      <w:tr w14:paraId="5E31C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6B9E635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研发人员年龄构成</w:t>
            </w:r>
          </w:p>
        </w:tc>
      </w:tr>
      <w:tr w14:paraId="74EE7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70AE33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30岁以下</w:t>
            </w:r>
          </w:p>
        </w:tc>
        <w:tc>
          <w:tcPr>
            <w:tcW w:w="2410" w:type="dxa"/>
            <w:tcBorders>
              <w:top w:val="single" w:color="auto" w:sz="2" w:space="0"/>
              <w:left w:val="single" w:color="auto" w:sz="2" w:space="0"/>
              <w:bottom w:val="single" w:color="auto" w:sz="2" w:space="0"/>
              <w:right w:val="single" w:color="auto" w:sz="2" w:space="0"/>
            </w:tcBorders>
            <w:vAlign w:val="center"/>
          </w:tcPr>
          <w:p w14:paraId="5D15FFA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2410" w:type="dxa"/>
            <w:tcBorders>
              <w:top w:val="single" w:color="auto" w:sz="2" w:space="0"/>
              <w:left w:val="single" w:color="auto" w:sz="2" w:space="0"/>
              <w:bottom w:val="single" w:color="auto" w:sz="2" w:space="0"/>
              <w:right w:val="single" w:color="auto" w:sz="2" w:space="0"/>
            </w:tcBorders>
            <w:vAlign w:val="center"/>
          </w:tcPr>
          <w:p w14:paraId="08152F4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w:t>
            </w:r>
          </w:p>
        </w:tc>
        <w:tc>
          <w:tcPr>
            <w:tcW w:w="2410" w:type="dxa"/>
            <w:tcBorders>
              <w:top w:val="single" w:color="auto" w:sz="2" w:space="0"/>
              <w:left w:val="single" w:color="auto" w:sz="2" w:space="0"/>
              <w:bottom w:val="single" w:color="auto" w:sz="2" w:space="0"/>
              <w:right w:val="single" w:color="auto" w:sz="2" w:space="0"/>
            </w:tcBorders>
            <w:vAlign w:val="center"/>
          </w:tcPr>
          <w:p w14:paraId="5004DB7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-13.51%</w:t>
            </w:r>
          </w:p>
        </w:tc>
      </w:tr>
      <w:tr w14:paraId="6A629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CF8C98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30~40岁</w:t>
            </w:r>
          </w:p>
        </w:tc>
        <w:tc>
          <w:tcPr>
            <w:tcW w:w="2410" w:type="dxa"/>
            <w:tcBorders>
              <w:top w:val="single" w:color="auto" w:sz="2" w:space="0"/>
              <w:left w:val="single" w:color="auto" w:sz="2" w:space="0"/>
              <w:bottom w:val="single" w:color="auto" w:sz="2" w:space="0"/>
              <w:right w:val="single" w:color="auto" w:sz="2" w:space="0"/>
            </w:tcBorders>
            <w:vAlign w:val="center"/>
          </w:tcPr>
          <w:p w14:paraId="412AB00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w:t>
            </w:r>
          </w:p>
        </w:tc>
        <w:tc>
          <w:tcPr>
            <w:tcW w:w="2410" w:type="dxa"/>
            <w:tcBorders>
              <w:top w:val="single" w:color="auto" w:sz="2" w:space="0"/>
              <w:left w:val="single" w:color="auto" w:sz="2" w:space="0"/>
              <w:bottom w:val="single" w:color="auto" w:sz="2" w:space="0"/>
              <w:right w:val="single" w:color="auto" w:sz="2" w:space="0"/>
            </w:tcBorders>
            <w:vAlign w:val="center"/>
          </w:tcPr>
          <w:p w14:paraId="34DD941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w:t>
            </w:r>
          </w:p>
        </w:tc>
        <w:tc>
          <w:tcPr>
            <w:tcW w:w="2410" w:type="dxa"/>
            <w:tcBorders>
              <w:top w:val="single" w:color="auto" w:sz="2" w:space="0"/>
              <w:left w:val="single" w:color="auto" w:sz="2" w:space="0"/>
              <w:bottom w:val="single" w:color="auto" w:sz="2" w:space="0"/>
              <w:right w:val="single" w:color="auto" w:sz="2" w:space="0"/>
            </w:tcBorders>
            <w:vAlign w:val="center"/>
          </w:tcPr>
          <w:p w14:paraId="2568583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18.18%</w:t>
            </w:r>
          </w:p>
        </w:tc>
      </w:tr>
      <w:tr w14:paraId="18194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387946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40岁以上</w:t>
            </w:r>
          </w:p>
        </w:tc>
        <w:tc>
          <w:tcPr>
            <w:tcW w:w="2410" w:type="dxa"/>
            <w:tcBorders>
              <w:top w:val="single" w:color="auto" w:sz="2" w:space="0"/>
              <w:left w:val="single" w:color="auto" w:sz="2" w:space="0"/>
              <w:bottom w:val="single" w:color="auto" w:sz="2" w:space="0"/>
              <w:right w:val="single" w:color="auto" w:sz="2" w:space="0"/>
            </w:tcBorders>
            <w:vAlign w:val="center"/>
          </w:tcPr>
          <w:p w14:paraId="3B56DEA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w:t>
            </w:r>
          </w:p>
        </w:tc>
        <w:tc>
          <w:tcPr>
            <w:tcW w:w="2410" w:type="dxa"/>
            <w:tcBorders>
              <w:top w:val="single" w:color="auto" w:sz="2" w:space="0"/>
              <w:left w:val="single" w:color="auto" w:sz="2" w:space="0"/>
              <w:bottom w:val="single" w:color="auto" w:sz="2" w:space="0"/>
              <w:right w:val="single" w:color="auto" w:sz="2" w:space="0"/>
            </w:tcBorders>
            <w:vAlign w:val="center"/>
          </w:tcPr>
          <w:p w14:paraId="4E4EE5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w:t>
            </w:r>
          </w:p>
        </w:tc>
        <w:tc>
          <w:tcPr>
            <w:tcW w:w="2410" w:type="dxa"/>
            <w:tcBorders>
              <w:top w:val="single" w:color="auto" w:sz="2" w:space="0"/>
              <w:left w:val="single" w:color="auto" w:sz="2" w:space="0"/>
              <w:bottom w:val="single" w:color="auto" w:sz="2" w:space="0"/>
              <w:right w:val="single" w:color="auto" w:sz="2" w:space="0"/>
            </w:tcBorders>
            <w:vAlign w:val="center"/>
          </w:tcPr>
          <w:p w14:paraId="3187839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42.86%</w:t>
            </w:r>
          </w:p>
        </w:tc>
      </w:tr>
    </w:tbl>
    <w:p w14:paraId="25AE8798">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近三年公司研发投入金额及占营业收入的比例</w:t>
      </w:r>
    </w:p>
    <w:tbl>
      <w:tblPr>
        <w:tblStyle w:val="7"/>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6"/>
        <w:gridCol w:w="2414"/>
        <w:gridCol w:w="2410"/>
        <w:gridCol w:w="2410"/>
      </w:tblGrid>
      <w:tr w14:paraId="0DE2A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6" w:type="dxa"/>
            <w:tcBorders>
              <w:top w:val="single" w:color="auto" w:sz="2" w:space="0"/>
              <w:left w:val="single" w:color="auto" w:sz="2" w:space="0"/>
              <w:bottom w:val="single" w:color="auto" w:sz="2" w:space="0"/>
              <w:right w:val="single" w:color="auto" w:sz="2" w:space="0"/>
            </w:tcBorders>
            <w:shd w:val="clear" w:color="auto" w:fill="D3D3D3"/>
            <w:vAlign w:val="center"/>
          </w:tcPr>
          <w:p w14:paraId="483456FB">
            <w:pPr>
              <w:rPr>
                <w:rFonts w:hint="default" w:ascii="Times New Roman" w:hAnsi="Times New Roman" w:cs="Times New Roman"/>
              </w:rPr>
            </w:pPr>
          </w:p>
        </w:tc>
        <w:tc>
          <w:tcPr>
            <w:tcW w:w="2414" w:type="dxa"/>
            <w:tcBorders>
              <w:top w:val="single" w:color="auto" w:sz="2" w:space="0"/>
              <w:left w:val="single" w:color="auto" w:sz="2" w:space="0"/>
              <w:bottom w:val="single" w:color="auto" w:sz="2" w:space="0"/>
              <w:right w:val="single" w:color="auto" w:sz="2" w:space="0"/>
            </w:tcBorders>
            <w:shd w:val="clear" w:color="auto" w:fill="D3D3D3"/>
            <w:vAlign w:val="center"/>
          </w:tcPr>
          <w:p w14:paraId="5E7EC8E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A1A40A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C81D0B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2023年</w:t>
            </w:r>
          </w:p>
        </w:tc>
      </w:tr>
      <w:tr w14:paraId="556D3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6" w:type="dxa"/>
            <w:tcBorders>
              <w:top w:val="single" w:color="auto" w:sz="2" w:space="0"/>
              <w:left w:val="single" w:color="auto" w:sz="2" w:space="0"/>
              <w:bottom w:val="single" w:color="auto" w:sz="2" w:space="0"/>
              <w:right w:val="single" w:color="auto" w:sz="2" w:space="0"/>
            </w:tcBorders>
            <w:shd w:val="clear" w:color="auto" w:fill="D3D3D3"/>
            <w:vAlign w:val="center"/>
          </w:tcPr>
          <w:p w14:paraId="3085144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研发投入金额（元）</w:t>
            </w:r>
          </w:p>
        </w:tc>
        <w:tc>
          <w:tcPr>
            <w:tcW w:w="2414" w:type="dxa"/>
            <w:tcBorders>
              <w:top w:val="single" w:color="auto" w:sz="2" w:space="0"/>
              <w:left w:val="single" w:color="auto" w:sz="2" w:space="0"/>
              <w:bottom w:val="single" w:color="auto" w:sz="2" w:space="0"/>
              <w:right w:val="single" w:color="auto" w:sz="2" w:space="0"/>
            </w:tcBorders>
            <w:vAlign w:val="center"/>
          </w:tcPr>
          <w:p w14:paraId="35919AD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45,572,947.05</w:t>
            </w:r>
          </w:p>
        </w:tc>
        <w:tc>
          <w:tcPr>
            <w:tcW w:w="2410" w:type="dxa"/>
            <w:tcBorders>
              <w:top w:val="single" w:color="auto" w:sz="2" w:space="0"/>
              <w:left w:val="single" w:color="auto" w:sz="2" w:space="0"/>
              <w:bottom w:val="single" w:color="auto" w:sz="2" w:space="0"/>
              <w:right w:val="single" w:color="auto" w:sz="2" w:space="0"/>
            </w:tcBorders>
            <w:vAlign w:val="center"/>
          </w:tcPr>
          <w:p w14:paraId="3E6E8FC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42,310,630.66</w:t>
            </w:r>
          </w:p>
        </w:tc>
        <w:tc>
          <w:tcPr>
            <w:tcW w:w="2410" w:type="dxa"/>
            <w:tcBorders>
              <w:top w:val="single" w:color="auto" w:sz="2" w:space="0"/>
              <w:left w:val="single" w:color="auto" w:sz="2" w:space="0"/>
              <w:bottom w:val="single" w:color="auto" w:sz="2" w:space="0"/>
              <w:right w:val="single" w:color="auto" w:sz="2" w:space="0"/>
            </w:tcBorders>
            <w:vAlign w:val="center"/>
          </w:tcPr>
          <w:p w14:paraId="0BC11CD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49,374,790.28</w:t>
            </w:r>
          </w:p>
        </w:tc>
      </w:tr>
      <w:tr w14:paraId="10E4C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6" w:type="dxa"/>
            <w:tcBorders>
              <w:top w:val="single" w:color="auto" w:sz="2" w:space="0"/>
              <w:left w:val="single" w:color="auto" w:sz="2" w:space="0"/>
              <w:bottom w:val="single" w:color="auto" w:sz="2" w:space="0"/>
              <w:right w:val="single" w:color="auto" w:sz="2" w:space="0"/>
            </w:tcBorders>
            <w:shd w:val="clear" w:color="auto" w:fill="D3D3D3"/>
            <w:vAlign w:val="center"/>
          </w:tcPr>
          <w:p w14:paraId="706BAB7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研发投入占营业收入比例</w:t>
            </w:r>
          </w:p>
        </w:tc>
        <w:tc>
          <w:tcPr>
            <w:tcW w:w="2414" w:type="dxa"/>
            <w:tcBorders>
              <w:top w:val="single" w:color="auto" w:sz="2" w:space="0"/>
              <w:left w:val="single" w:color="auto" w:sz="2" w:space="0"/>
              <w:bottom w:val="single" w:color="auto" w:sz="2" w:space="0"/>
              <w:right w:val="single" w:color="auto" w:sz="2" w:space="0"/>
            </w:tcBorders>
            <w:vAlign w:val="center"/>
          </w:tcPr>
          <w:p w14:paraId="5BDC040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11.75%</w:t>
            </w:r>
          </w:p>
        </w:tc>
        <w:tc>
          <w:tcPr>
            <w:tcW w:w="2410" w:type="dxa"/>
            <w:tcBorders>
              <w:top w:val="single" w:color="auto" w:sz="2" w:space="0"/>
              <w:left w:val="single" w:color="auto" w:sz="2" w:space="0"/>
              <w:bottom w:val="single" w:color="auto" w:sz="2" w:space="0"/>
              <w:right w:val="single" w:color="auto" w:sz="2" w:space="0"/>
            </w:tcBorders>
            <w:vAlign w:val="center"/>
          </w:tcPr>
          <w:p w14:paraId="26F1909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11.21%</w:t>
            </w:r>
          </w:p>
        </w:tc>
        <w:tc>
          <w:tcPr>
            <w:tcW w:w="2410" w:type="dxa"/>
            <w:tcBorders>
              <w:top w:val="single" w:color="auto" w:sz="2" w:space="0"/>
              <w:left w:val="single" w:color="auto" w:sz="2" w:space="0"/>
              <w:bottom w:val="single" w:color="auto" w:sz="2" w:space="0"/>
              <w:right w:val="single" w:color="auto" w:sz="2" w:space="0"/>
            </w:tcBorders>
            <w:vAlign w:val="center"/>
          </w:tcPr>
          <w:p w14:paraId="289E34A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12.22%</w:t>
            </w:r>
          </w:p>
        </w:tc>
      </w:tr>
      <w:tr w14:paraId="52B64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6" w:type="dxa"/>
            <w:tcBorders>
              <w:top w:val="single" w:color="auto" w:sz="2" w:space="0"/>
              <w:left w:val="single" w:color="auto" w:sz="2" w:space="0"/>
              <w:bottom w:val="single" w:color="auto" w:sz="2" w:space="0"/>
              <w:right w:val="single" w:color="auto" w:sz="2" w:space="0"/>
            </w:tcBorders>
            <w:shd w:val="clear" w:color="auto" w:fill="D3D3D3"/>
            <w:vAlign w:val="center"/>
          </w:tcPr>
          <w:p w14:paraId="57372E9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研发支出资本化的金</w:t>
            </w:r>
            <w:r>
              <w:rPr>
                <w:rFonts w:hint="eastAsia" w:cs="Times New Roman"/>
                <w:sz w:val="18"/>
                <w:szCs w:val="18"/>
                <w:lang w:eastAsia="zh-CN"/>
              </w:rPr>
              <w:t>额</w:t>
            </w:r>
            <w:r>
              <w:rPr>
                <w:rFonts w:hint="default" w:ascii="Times New Roman" w:hAnsi="Times New Roman" w:eastAsia="宋体" w:cs="Times New Roman"/>
                <w:sz w:val="18"/>
                <w:szCs w:val="18"/>
              </w:rPr>
              <w:t>（元）</w:t>
            </w:r>
          </w:p>
        </w:tc>
        <w:tc>
          <w:tcPr>
            <w:tcW w:w="2414" w:type="dxa"/>
            <w:tcBorders>
              <w:top w:val="single" w:color="auto" w:sz="2" w:space="0"/>
              <w:left w:val="single" w:color="auto" w:sz="2" w:space="0"/>
              <w:bottom w:val="single" w:color="auto" w:sz="2" w:space="0"/>
              <w:right w:val="single" w:color="auto" w:sz="2" w:space="0"/>
            </w:tcBorders>
            <w:vAlign w:val="center"/>
          </w:tcPr>
          <w:p w14:paraId="72DFAFB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4,607,221.29</w:t>
            </w:r>
          </w:p>
        </w:tc>
        <w:tc>
          <w:tcPr>
            <w:tcW w:w="2410" w:type="dxa"/>
            <w:tcBorders>
              <w:top w:val="single" w:color="auto" w:sz="2" w:space="0"/>
              <w:left w:val="single" w:color="auto" w:sz="2" w:space="0"/>
              <w:bottom w:val="single" w:color="auto" w:sz="2" w:space="0"/>
              <w:right w:val="single" w:color="auto" w:sz="2" w:space="0"/>
            </w:tcBorders>
            <w:vAlign w:val="center"/>
          </w:tcPr>
          <w:p w14:paraId="64566E4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6,145,672.24</w:t>
            </w:r>
          </w:p>
        </w:tc>
        <w:tc>
          <w:tcPr>
            <w:tcW w:w="2410" w:type="dxa"/>
            <w:tcBorders>
              <w:top w:val="single" w:color="auto" w:sz="2" w:space="0"/>
              <w:left w:val="single" w:color="auto" w:sz="2" w:space="0"/>
              <w:bottom w:val="single" w:color="auto" w:sz="2" w:space="0"/>
              <w:right w:val="single" w:color="auto" w:sz="2" w:space="0"/>
            </w:tcBorders>
            <w:vAlign w:val="center"/>
          </w:tcPr>
          <w:p w14:paraId="0F7715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4,870,924.46</w:t>
            </w:r>
          </w:p>
        </w:tc>
      </w:tr>
      <w:tr w14:paraId="72A43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6" w:type="dxa"/>
            <w:tcBorders>
              <w:top w:val="single" w:color="auto" w:sz="2" w:space="0"/>
              <w:left w:val="single" w:color="auto" w:sz="2" w:space="0"/>
              <w:bottom w:val="single" w:color="auto" w:sz="2" w:space="0"/>
              <w:right w:val="single" w:color="auto" w:sz="2" w:space="0"/>
            </w:tcBorders>
            <w:shd w:val="clear" w:color="auto" w:fill="D3D3D3"/>
            <w:vAlign w:val="center"/>
          </w:tcPr>
          <w:p w14:paraId="06C0E7C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资本化研发支出占研发投入的比例</w:t>
            </w:r>
          </w:p>
        </w:tc>
        <w:tc>
          <w:tcPr>
            <w:tcW w:w="2414" w:type="dxa"/>
            <w:tcBorders>
              <w:top w:val="single" w:color="auto" w:sz="2" w:space="0"/>
              <w:left w:val="single" w:color="auto" w:sz="2" w:space="0"/>
              <w:bottom w:val="single" w:color="auto" w:sz="2" w:space="0"/>
              <w:right w:val="single" w:color="auto" w:sz="2" w:space="0"/>
            </w:tcBorders>
            <w:vAlign w:val="center"/>
          </w:tcPr>
          <w:p w14:paraId="156CEF4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10.11%</w:t>
            </w:r>
          </w:p>
        </w:tc>
        <w:tc>
          <w:tcPr>
            <w:tcW w:w="2410" w:type="dxa"/>
            <w:tcBorders>
              <w:top w:val="single" w:color="auto" w:sz="2" w:space="0"/>
              <w:left w:val="single" w:color="auto" w:sz="2" w:space="0"/>
              <w:bottom w:val="single" w:color="auto" w:sz="2" w:space="0"/>
              <w:right w:val="single" w:color="auto" w:sz="2" w:space="0"/>
            </w:tcBorders>
            <w:vAlign w:val="center"/>
          </w:tcPr>
          <w:p w14:paraId="17A2633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14.53%</w:t>
            </w:r>
          </w:p>
        </w:tc>
        <w:tc>
          <w:tcPr>
            <w:tcW w:w="2410" w:type="dxa"/>
            <w:tcBorders>
              <w:top w:val="single" w:color="auto" w:sz="2" w:space="0"/>
              <w:left w:val="single" w:color="auto" w:sz="2" w:space="0"/>
              <w:bottom w:val="single" w:color="auto" w:sz="2" w:space="0"/>
              <w:right w:val="single" w:color="auto" w:sz="2" w:space="0"/>
            </w:tcBorders>
            <w:vAlign w:val="center"/>
          </w:tcPr>
          <w:p w14:paraId="7F8E0D5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9.87%</w:t>
            </w:r>
          </w:p>
        </w:tc>
      </w:tr>
      <w:tr w14:paraId="53F2B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6" w:type="dxa"/>
            <w:tcBorders>
              <w:top w:val="single" w:color="auto" w:sz="2" w:space="0"/>
              <w:left w:val="single" w:color="auto" w:sz="2" w:space="0"/>
              <w:bottom w:val="single" w:color="auto" w:sz="2" w:space="0"/>
              <w:right w:val="single" w:color="auto" w:sz="2" w:space="0"/>
            </w:tcBorders>
            <w:shd w:val="clear" w:color="auto" w:fill="D3D3D3"/>
            <w:vAlign w:val="center"/>
          </w:tcPr>
          <w:p w14:paraId="453BB42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资本化研发支出占当期净利润的比重</w:t>
            </w:r>
          </w:p>
        </w:tc>
        <w:tc>
          <w:tcPr>
            <w:tcW w:w="2414" w:type="dxa"/>
            <w:tcBorders>
              <w:top w:val="single" w:color="auto" w:sz="2" w:space="0"/>
              <w:left w:val="single" w:color="auto" w:sz="2" w:space="0"/>
              <w:bottom w:val="single" w:color="auto" w:sz="2" w:space="0"/>
              <w:right w:val="single" w:color="auto" w:sz="2" w:space="0"/>
            </w:tcBorders>
            <w:vAlign w:val="center"/>
          </w:tcPr>
          <w:p w14:paraId="1ED4D5B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18.30%</w:t>
            </w:r>
          </w:p>
        </w:tc>
        <w:tc>
          <w:tcPr>
            <w:tcW w:w="2410" w:type="dxa"/>
            <w:tcBorders>
              <w:top w:val="single" w:color="auto" w:sz="2" w:space="0"/>
              <w:left w:val="single" w:color="auto" w:sz="2" w:space="0"/>
              <w:bottom w:val="single" w:color="auto" w:sz="2" w:space="0"/>
              <w:right w:val="single" w:color="auto" w:sz="2" w:space="0"/>
            </w:tcBorders>
            <w:vAlign w:val="center"/>
          </w:tcPr>
          <w:p w14:paraId="61CA276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22.42%</w:t>
            </w:r>
          </w:p>
        </w:tc>
        <w:tc>
          <w:tcPr>
            <w:tcW w:w="2410" w:type="dxa"/>
            <w:tcBorders>
              <w:top w:val="single" w:color="auto" w:sz="2" w:space="0"/>
              <w:left w:val="single" w:color="auto" w:sz="2" w:space="0"/>
              <w:bottom w:val="single" w:color="auto" w:sz="2" w:space="0"/>
              <w:right w:val="single" w:color="auto" w:sz="2" w:space="0"/>
            </w:tcBorders>
            <w:vAlign w:val="center"/>
          </w:tcPr>
          <w:p w14:paraId="1BB8A84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15.71%</w:t>
            </w:r>
          </w:p>
        </w:tc>
      </w:tr>
    </w:tbl>
    <w:p w14:paraId="39434939">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公司研发人员构成发生重大变化的原因及影响</w:t>
      </w:r>
    </w:p>
    <w:p w14:paraId="43ADDF60">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0CBAE923">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研发投入总额占营业收入的比重较上年发生显著变化的原因</w:t>
      </w:r>
    </w:p>
    <w:p w14:paraId="6326A9A2">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5E7D864D">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研发投入资本化率大幅变动的原因及其合理性说明</w:t>
      </w:r>
    </w:p>
    <w:p w14:paraId="4DAA6D6A">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1A593D8E">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公司需遵守《深圳证券交易所上市公司自律监管指引第4号——创业板行业信息披露》中的</w:t>
      </w:r>
      <w:r>
        <w:rPr>
          <w:rFonts w:hint="eastAsia" w:cs="Times New Roman"/>
          <w:sz w:val="18"/>
          <w:szCs w:val="18"/>
          <w:lang w:eastAsia="zh-CN"/>
        </w:rPr>
        <w:t>“</w:t>
      </w:r>
      <w:r>
        <w:rPr>
          <w:rFonts w:hint="default" w:ascii="Times New Roman" w:hAnsi="Times New Roman" w:eastAsia="宋体" w:cs="Times New Roman"/>
          <w:sz w:val="18"/>
          <w:szCs w:val="18"/>
        </w:rPr>
        <w:t>医疗器械业务</w:t>
      </w:r>
      <w:r>
        <w:rPr>
          <w:rFonts w:hint="eastAsia" w:cs="Times New Roman"/>
          <w:sz w:val="18"/>
          <w:szCs w:val="18"/>
          <w:lang w:eastAsia="zh-CN"/>
        </w:rPr>
        <w:t>”</w:t>
      </w:r>
      <w:r>
        <w:rPr>
          <w:rFonts w:hint="default" w:ascii="Times New Roman" w:hAnsi="Times New Roman" w:eastAsia="宋体" w:cs="Times New Roman"/>
          <w:sz w:val="18"/>
          <w:szCs w:val="18"/>
        </w:rPr>
        <w:t>的披露要求</w:t>
      </w:r>
    </w:p>
    <w:p w14:paraId="0C5348B0">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医疗器械产品相关情况</w:t>
      </w:r>
    </w:p>
    <w:p w14:paraId="4C0E655A">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p w14:paraId="48C0267E">
      <w:pPr>
        <w:pStyle w:val="6"/>
        <w:keepNext w:val="0"/>
        <w:keepLines w:val="0"/>
        <w:widowControl/>
        <w:suppressLineNumbers w:val="0"/>
        <w:spacing w:before="0" w:beforeAutospacing="0" w:after="0" w:afterAutospacing="0"/>
        <w:ind w:left="0" w:right="0" w:firstLine="36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公司持续加强知识产权体系建设及无形资产保护，新申请专利23项，新增授权专利4项，公司累计拥有授权专利167项，包括发明专利109项，实用新型专利56项，外观设计专利2项；新增商标注册证1项，拥有商标注册证185项。</w:t>
      </w:r>
    </w:p>
    <w:p w14:paraId="058E016A">
      <w:pPr>
        <w:pStyle w:val="6"/>
        <w:keepNext w:val="0"/>
        <w:keepLines w:val="0"/>
        <w:widowControl/>
        <w:suppressLineNumbers w:val="0"/>
        <w:spacing w:before="0" w:beforeAutospacing="0" w:after="0" w:afterAutospacing="0"/>
        <w:ind w:left="0" w:right="0" w:firstLine="36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报告期内，公司及子公司已获得注册证及注册中的产品情况如下：</w:t>
      </w:r>
    </w:p>
    <w:tbl>
      <w:tblPr>
        <w:tblStyle w:val="7"/>
        <w:tblW w:w="964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9"/>
        <w:gridCol w:w="1397"/>
        <w:gridCol w:w="1277"/>
        <w:gridCol w:w="3545"/>
        <w:gridCol w:w="1277"/>
        <w:gridCol w:w="1560"/>
      </w:tblGrid>
      <w:tr w14:paraId="2051F2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c>
          <w:tcPr>
            <w:tcW w:w="589"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1271596E">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序号</w:t>
            </w:r>
          </w:p>
        </w:tc>
        <w:tc>
          <w:tcPr>
            <w:tcW w:w="1397"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43407502">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产品名称</w:t>
            </w:r>
          </w:p>
        </w:tc>
        <w:tc>
          <w:tcPr>
            <w:tcW w:w="1277"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6B5C2F3">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注册分类</w:t>
            </w:r>
          </w:p>
        </w:tc>
        <w:tc>
          <w:tcPr>
            <w:tcW w:w="3545"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42A4FE60">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临床用途</w:t>
            </w:r>
          </w:p>
        </w:tc>
        <w:tc>
          <w:tcPr>
            <w:tcW w:w="1277"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E3269DF">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注册证有效期</w:t>
            </w:r>
          </w:p>
        </w:tc>
        <w:tc>
          <w:tcPr>
            <w:tcW w:w="1560"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4649CC32">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备注</w:t>
            </w:r>
          </w:p>
        </w:tc>
      </w:tr>
      <w:tr w14:paraId="19C196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6" w:hRule="atLeast"/>
        </w:trPr>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5E19E18C">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1</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0C3BE862">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生物型硬脑（脊）膜补片</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76CF9A17">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三类医疗器械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24DE4044">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适用于硬脑膜、硬脊膜缺损时的外科修补手术。</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54881445">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2027/7/6</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40EAD0B2">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报告期内完成变更</w:t>
            </w:r>
          </w:p>
        </w:tc>
      </w:tr>
      <w:tr w14:paraId="670079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18" w:hRule="atLeast"/>
        </w:trPr>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38FB451A">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1901194B">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B型硬脑（脊）膜补片</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34355F58">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三类医疗器械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22F71F8B">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应用于硬脑膜、硬脊膜有缺损，手术中需切除部分硬脑膜、硬脊膜或有硬脑膜、硬脊膜张力性缺损的修补手术中，起到修补、固定、减张和隔离的作用。</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23913883">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2026/9/28</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3A324E02">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 </w:t>
            </w:r>
          </w:p>
        </w:tc>
      </w:tr>
      <w:tr w14:paraId="4E580A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2" w:hRule="atLeast"/>
        </w:trPr>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5CB8B4CF">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3</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5B03134A">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胸普外科修补膜</w:t>
            </w:r>
          </w:p>
          <w:p w14:paraId="3954640F">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（B型）</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54DB3D0A">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三类医疗器械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901F321">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适用于以下软组织的固定、包埋以及缺损组织的修补重建：胸腹壁缺损修补及重建（含疝修补）、食管胃吻合口包埋、支气管残端包埋、膈肌缺损修补重建、内脏包膜缺损修补。</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01AE6E00">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2029/3/24</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25D0EEC8">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报告期内完成延续注册</w:t>
            </w:r>
          </w:p>
        </w:tc>
      </w:tr>
      <w:tr w14:paraId="1508C6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64" w:hRule="atLeast"/>
        </w:trPr>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17F20BEF">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4</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7BE1AAD9">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胸普外科修补膜</w:t>
            </w:r>
          </w:p>
          <w:p w14:paraId="637F6820">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（P型）</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C7EFD97">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三类医疗器械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E7E7300">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适用于以下软组织的固定、包埋以及缺损组织的修补重建：胸腹壁缺损修补及重建（含疝修补）、食管胃吻合口包埋、支气管残端包埋、膈肌缺损修补重建、内脏包膜缺损修补。</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3F9582A3">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2029/3/3</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0B47414F">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报告期内完成变更注册</w:t>
            </w:r>
          </w:p>
        </w:tc>
      </w:tr>
      <w:tr w14:paraId="0162F3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8" w:hRule="atLeast"/>
        </w:trPr>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1400822C">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5</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3575DC1">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乳房补片</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433E8AC2">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三类医疗器械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706B4E0">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适用于乳房整形手术中的软组织修补。</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2C755684">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2029/6/23</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C4D04FD">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 </w:t>
            </w:r>
          </w:p>
        </w:tc>
      </w:tr>
      <w:tr w14:paraId="254D4B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3" w:hRule="atLeast"/>
        </w:trPr>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78B56BF3">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6</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2FBB476B">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无菌生物护创膜</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CD893FC">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三类医疗器械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71C58138">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用于皮肤Ⅰ、Ⅱ度烧伤、烫伤及创伤、皮肤缺损所致深浅创面治疗。</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1C92F700">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2031/3/24</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7ABA57F2">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报告期内完成延续注册</w:t>
            </w:r>
          </w:p>
        </w:tc>
      </w:tr>
      <w:tr w14:paraId="6610D7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55" w:hRule="atLeast"/>
        </w:trPr>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2309548E">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7</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48BC1AD2">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一次性使用富血小板血浆制备器</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454F2F9C">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三类医疗器械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2E5F4704">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产品用于从人体自体血样中制备自体富血小板血浆（PRP），制备的自体富血小板血浆可在临床医生的指导下，用于骨折手术的辅助治疗，制备产物不能用于静脉注射。</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9B6300D">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2E30D48B">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首次注册，注册审评阶段。</w:t>
            </w:r>
          </w:p>
        </w:tc>
      </w:tr>
      <w:tr w14:paraId="577E4B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3" w:hRule="atLeast"/>
        </w:trPr>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6439E6A4">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8</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3916AFFF">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心外科生物补片</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B569096">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三类医疗器械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592371DA">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该产品用于心外科房间隔、室间隔、主动脉根部、右室流出道、瓣环、心肌和心包修复。</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3AB0794F">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18A0E69B">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首次注册，注册受理阶段。</w:t>
            </w:r>
          </w:p>
        </w:tc>
      </w:tr>
      <w:tr w14:paraId="3282B9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trPr>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1D87B8FA">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9</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3A02BD2F">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颅内压监护仪</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103D0D12">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三类医疗器械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0BA0FE95">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该产品用于监测患者的颅内压。</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024A2EC9">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2028/7/10</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25C90221">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 </w:t>
            </w:r>
          </w:p>
        </w:tc>
      </w:tr>
      <w:tr w14:paraId="5DDF28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3" w:hRule="atLeast"/>
        </w:trPr>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24DA49AC">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10</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4E95A04B">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颅内压测量及引流针</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022220C">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三类医疗器械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41079F95">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该产品与Spiegelberg颅内压监测仪连接，用于测量颅内压。</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3396EF2D">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2029/7/21</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37C21D72">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 </w:t>
            </w:r>
          </w:p>
        </w:tc>
      </w:tr>
      <w:tr w14:paraId="43A21D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7DA863F7">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11</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13ED6083">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神经外科手术用可置换刀片</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00FEFAC4">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三类医疗器械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3F53A2BE">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适用于神经外科手术，需安装在专用手术刀柄上，供剥离、切割组织用。</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3EA66A0B">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2030/11/1</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1E0B4A4F">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报告期内完成延续注册</w:t>
            </w:r>
          </w:p>
        </w:tc>
      </w:tr>
      <w:tr w14:paraId="171DF2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4FE4EC32">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12</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5D895B90">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手术刀柄</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5678842A">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一类医疗器械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1369C1BC">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安装手术刀片后用于切割或剥离人体软组织。</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071A9B9C">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长期有效</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2437F2D0">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 </w:t>
            </w:r>
          </w:p>
        </w:tc>
      </w:tr>
      <w:tr w14:paraId="75FD07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5C5ECA2A">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13</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E37179F">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细胞培养基</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185E5EF8">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一类医疗器械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74BAB94B">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仅用于细胞增殖培养，不具备对细胞的选择、诱导、分化功能。培养后的细胞用于体外诊断。</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20108069">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长期有效</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5C7FE89E">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 </w:t>
            </w:r>
          </w:p>
        </w:tc>
      </w:tr>
      <w:tr w14:paraId="5FDDFE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43AFE3CB">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14</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44550137">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脱细胞角膜植片</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39807A75">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三类医疗器械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56006C91">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适用于药物治疗无效需要进行板层角膜移植的感染性角膜炎患者</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0A43B776">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2030/7/29</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01ADA36F">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报告期内完成延续注册</w:t>
            </w:r>
          </w:p>
        </w:tc>
      </w:tr>
      <w:tr w14:paraId="20F9D8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53C7D118">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15</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5A5D3C2C">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可降解泪小管栓</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2271ADAE">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三类医疗器械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208E7A9">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可降解泪小管栓主要用于对泪小管的临时性封闭。</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27CB7B81">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2027/04/24</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3D0689E4">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 </w:t>
            </w:r>
          </w:p>
        </w:tc>
      </w:tr>
      <w:tr w14:paraId="38D987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652E02E9">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16</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47717B1">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本维莫德乳膏</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0ECFAE25">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一类新药</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07A1F61">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适用于局部治疗成人轻至中度稳定性寻常型银屑病。</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10120BA8">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2029/5/27</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D92361F">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 </w:t>
            </w:r>
          </w:p>
        </w:tc>
      </w:tr>
      <w:tr w14:paraId="7FE554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1406C19D">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17</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0A113869">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电动手术台</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19BFD5E3">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进口二类医疗器械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2EAD9DB0">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该产品适用于临床手术承载患者。</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78DA3D9F">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2028/01/04</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527FCDC8">
            <w:pPr>
              <w:pStyle w:val="6"/>
              <w:keepNext w:val="0"/>
              <w:keepLines w:val="0"/>
              <w:widowControl/>
              <w:suppressLineNumbers w:val="0"/>
              <w:spacing w:before="0" w:beforeAutospacing="0" w:after="0" w:afterAutospacing="0"/>
              <w:ind w:left="0" w:right="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 </w:t>
            </w:r>
          </w:p>
        </w:tc>
      </w:tr>
      <w:tr w14:paraId="49B8E2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77973FBB">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18</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0FFEEE48">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电动液压手术台</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7A7FA011">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进口二类医疗器械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6A7AB42">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该产品用于外科手术过程的患者支撑。</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22069B59">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2029/03/14</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03D22687">
            <w:pPr>
              <w:pStyle w:val="6"/>
              <w:keepNext w:val="0"/>
              <w:keepLines w:val="0"/>
              <w:widowControl/>
              <w:suppressLineNumbers w:val="0"/>
              <w:spacing w:before="0" w:beforeAutospacing="0" w:after="0" w:afterAutospacing="0"/>
              <w:ind w:left="0" w:right="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 </w:t>
            </w:r>
          </w:p>
        </w:tc>
      </w:tr>
      <w:tr w14:paraId="4AA996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63EF45B5">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19</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1E8DDCD8">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多用头架</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58937B65">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进口二类医疗器械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34633D14">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该产品用于神经外科手术中支撑患者的头部。</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2697C3BB">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2026/12/05</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3CD1A625">
            <w:pPr>
              <w:pStyle w:val="6"/>
              <w:keepNext w:val="0"/>
              <w:keepLines w:val="0"/>
              <w:widowControl/>
              <w:suppressLineNumbers w:val="0"/>
              <w:spacing w:before="0" w:beforeAutospacing="0" w:after="0" w:afterAutospacing="0"/>
              <w:ind w:left="0" w:right="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 </w:t>
            </w:r>
          </w:p>
        </w:tc>
      </w:tr>
      <w:tr w14:paraId="3C3A3A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38BD5C58">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0C44E8AE">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骨科牵引架</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544ECEBB">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进口一类医疗器械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573F1B92">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用于骨科手术中骨骼复位牵引用。</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0D8A1CA7">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1AD64A62">
            <w:pPr>
              <w:pStyle w:val="6"/>
              <w:keepNext w:val="0"/>
              <w:keepLines w:val="0"/>
              <w:widowControl/>
              <w:suppressLineNumbers w:val="0"/>
              <w:spacing w:before="0" w:beforeAutospacing="0" w:after="0" w:afterAutospacing="0"/>
              <w:ind w:left="0" w:right="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 </w:t>
            </w:r>
          </w:p>
        </w:tc>
      </w:tr>
      <w:tr w14:paraId="1D667A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55C89061">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21</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38CC9575">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手术托架</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7E05EE51">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进口一类医疗器械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576DC67F">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用于手术治疗时患者肢体的固定和支撑。使用时间为暂时使用。</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717A6689">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1F2BCA29">
            <w:pPr>
              <w:pStyle w:val="6"/>
              <w:keepNext w:val="0"/>
              <w:keepLines w:val="0"/>
              <w:widowControl/>
              <w:suppressLineNumbers w:val="0"/>
              <w:spacing w:before="0" w:beforeAutospacing="0" w:after="0" w:afterAutospacing="0"/>
              <w:ind w:left="0" w:right="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报告期内完成变更备案</w:t>
            </w:r>
          </w:p>
        </w:tc>
      </w:tr>
      <w:tr w14:paraId="6D82BA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center"/>
          </w:tcPr>
          <w:p w14:paraId="0FCECDDA">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22</w:t>
            </w:r>
          </w:p>
        </w:tc>
        <w:tc>
          <w:tcPr>
            <w:tcW w:w="139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0474AA8D">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手术托架</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5CED21F8">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进口一类医疗器械</w:t>
            </w:r>
          </w:p>
        </w:tc>
        <w:tc>
          <w:tcPr>
            <w:tcW w:w="3545"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5F1718AB">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sz w:val="18"/>
                <w:szCs w:val="18"/>
              </w:rPr>
              <w:t>用于手术治疗时患者肢体的固定和支撑。使用时间为暂时使用。</w:t>
            </w:r>
          </w:p>
        </w:tc>
        <w:tc>
          <w:tcPr>
            <w:tcW w:w="1277"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4F140CBA">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18"/>
                <w:szCs w:val="18"/>
              </w:rPr>
              <w:t>/</w:t>
            </w:r>
          </w:p>
        </w:tc>
        <w:tc>
          <w:tcPr>
            <w:tcW w:w="156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center"/>
          </w:tcPr>
          <w:p w14:paraId="6182ACF4">
            <w:pPr>
              <w:pStyle w:val="6"/>
              <w:keepNext w:val="0"/>
              <w:keepLines w:val="0"/>
              <w:widowControl/>
              <w:suppressLineNumbers w:val="0"/>
              <w:spacing w:before="0" w:beforeAutospacing="0" w:after="0" w:afterAutospacing="0"/>
              <w:ind w:left="0" w:right="0"/>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报告期内完成变更备案</w:t>
            </w:r>
          </w:p>
        </w:tc>
      </w:tr>
    </w:tbl>
    <w:p w14:paraId="0EE4EFBF">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45" w:name="_Toc988918"/>
      <w:r>
        <w:rPr>
          <w:rFonts w:hint="default" w:ascii="Times New Roman" w:hAnsi="Times New Roman" w:eastAsia="宋体" w:cs="Times New Roman"/>
          <w:b/>
          <w:bCs/>
          <w:sz w:val="21"/>
          <w:szCs w:val="21"/>
        </w:rPr>
        <w:t>5、现金流</w:t>
      </w:r>
      <w:bookmarkEnd w:id="45"/>
    </w:p>
    <w:p w14:paraId="0AD80C87">
      <w:pPr>
        <w:spacing w:before="40" w:after="4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182BE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771A5D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78E970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49FCF1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BEE806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同比增减</w:t>
            </w:r>
          </w:p>
        </w:tc>
      </w:tr>
      <w:tr w14:paraId="1E663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C3DEEE8">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经营活动现金流入小计</w:t>
            </w:r>
          </w:p>
        </w:tc>
        <w:tc>
          <w:tcPr>
            <w:tcW w:w="2410" w:type="dxa"/>
            <w:tcBorders>
              <w:top w:val="single" w:color="auto" w:sz="2" w:space="0"/>
              <w:left w:val="single" w:color="auto" w:sz="2" w:space="0"/>
              <w:bottom w:val="single" w:color="auto" w:sz="2" w:space="0"/>
              <w:right w:val="single" w:color="auto" w:sz="2" w:space="0"/>
            </w:tcBorders>
            <w:vAlign w:val="center"/>
          </w:tcPr>
          <w:p w14:paraId="2527219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456,130,353.59</w:t>
            </w:r>
          </w:p>
        </w:tc>
        <w:tc>
          <w:tcPr>
            <w:tcW w:w="2410" w:type="dxa"/>
            <w:tcBorders>
              <w:top w:val="single" w:color="auto" w:sz="2" w:space="0"/>
              <w:left w:val="single" w:color="auto" w:sz="2" w:space="0"/>
              <w:bottom w:val="single" w:color="auto" w:sz="2" w:space="0"/>
              <w:right w:val="single" w:color="auto" w:sz="2" w:space="0"/>
            </w:tcBorders>
            <w:vAlign w:val="center"/>
          </w:tcPr>
          <w:p w14:paraId="7E8FE0A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430,623,758.38</w:t>
            </w:r>
          </w:p>
        </w:tc>
        <w:tc>
          <w:tcPr>
            <w:tcW w:w="2410" w:type="dxa"/>
            <w:tcBorders>
              <w:top w:val="single" w:color="auto" w:sz="2" w:space="0"/>
              <w:left w:val="single" w:color="auto" w:sz="2" w:space="0"/>
              <w:bottom w:val="single" w:color="auto" w:sz="2" w:space="0"/>
              <w:right w:val="single" w:color="auto" w:sz="2" w:space="0"/>
            </w:tcBorders>
            <w:vAlign w:val="center"/>
          </w:tcPr>
          <w:p w14:paraId="659DD1F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5.92%</w:t>
            </w:r>
          </w:p>
        </w:tc>
      </w:tr>
      <w:tr w14:paraId="0E9BB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99F661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经营活动现金流出小计</w:t>
            </w:r>
          </w:p>
        </w:tc>
        <w:tc>
          <w:tcPr>
            <w:tcW w:w="2410" w:type="dxa"/>
            <w:tcBorders>
              <w:top w:val="single" w:color="auto" w:sz="2" w:space="0"/>
              <w:left w:val="single" w:color="auto" w:sz="2" w:space="0"/>
              <w:bottom w:val="single" w:color="auto" w:sz="2" w:space="0"/>
              <w:right w:val="single" w:color="auto" w:sz="2" w:space="0"/>
            </w:tcBorders>
            <w:vAlign w:val="center"/>
          </w:tcPr>
          <w:p w14:paraId="34B88B1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384,656,557.83</w:t>
            </w:r>
          </w:p>
        </w:tc>
        <w:tc>
          <w:tcPr>
            <w:tcW w:w="2410" w:type="dxa"/>
            <w:tcBorders>
              <w:top w:val="single" w:color="auto" w:sz="2" w:space="0"/>
              <w:left w:val="single" w:color="auto" w:sz="2" w:space="0"/>
              <w:bottom w:val="single" w:color="auto" w:sz="2" w:space="0"/>
              <w:right w:val="single" w:color="auto" w:sz="2" w:space="0"/>
            </w:tcBorders>
            <w:vAlign w:val="center"/>
          </w:tcPr>
          <w:p w14:paraId="7115EE1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381,068,961.39</w:t>
            </w:r>
          </w:p>
        </w:tc>
        <w:tc>
          <w:tcPr>
            <w:tcW w:w="2410" w:type="dxa"/>
            <w:tcBorders>
              <w:top w:val="single" w:color="auto" w:sz="2" w:space="0"/>
              <w:left w:val="single" w:color="auto" w:sz="2" w:space="0"/>
              <w:bottom w:val="single" w:color="auto" w:sz="2" w:space="0"/>
              <w:right w:val="single" w:color="auto" w:sz="2" w:space="0"/>
            </w:tcBorders>
            <w:vAlign w:val="center"/>
          </w:tcPr>
          <w:p w14:paraId="2B61AF2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0.94%</w:t>
            </w:r>
          </w:p>
        </w:tc>
      </w:tr>
      <w:tr w14:paraId="5D9BF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4A6401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经营活动产生的现金流量净额</w:t>
            </w:r>
          </w:p>
        </w:tc>
        <w:tc>
          <w:tcPr>
            <w:tcW w:w="2410" w:type="dxa"/>
            <w:tcBorders>
              <w:top w:val="single" w:color="auto" w:sz="2" w:space="0"/>
              <w:left w:val="single" w:color="auto" w:sz="2" w:space="0"/>
              <w:bottom w:val="single" w:color="auto" w:sz="2" w:space="0"/>
              <w:right w:val="single" w:color="auto" w:sz="2" w:space="0"/>
            </w:tcBorders>
            <w:vAlign w:val="center"/>
          </w:tcPr>
          <w:p w14:paraId="4FBE837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71,473,795.76</w:t>
            </w:r>
          </w:p>
        </w:tc>
        <w:tc>
          <w:tcPr>
            <w:tcW w:w="2410" w:type="dxa"/>
            <w:tcBorders>
              <w:top w:val="single" w:color="auto" w:sz="2" w:space="0"/>
              <w:left w:val="single" w:color="auto" w:sz="2" w:space="0"/>
              <w:bottom w:val="single" w:color="auto" w:sz="2" w:space="0"/>
              <w:right w:val="single" w:color="auto" w:sz="2" w:space="0"/>
            </w:tcBorders>
            <w:vAlign w:val="center"/>
          </w:tcPr>
          <w:p w14:paraId="0EC2F24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49,554,796.99</w:t>
            </w:r>
          </w:p>
        </w:tc>
        <w:tc>
          <w:tcPr>
            <w:tcW w:w="2410" w:type="dxa"/>
            <w:tcBorders>
              <w:top w:val="single" w:color="auto" w:sz="2" w:space="0"/>
              <w:left w:val="single" w:color="auto" w:sz="2" w:space="0"/>
              <w:bottom w:val="single" w:color="auto" w:sz="2" w:space="0"/>
              <w:right w:val="single" w:color="auto" w:sz="2" w:space="0"/>
            </w:tcBorders>
            <w:vAlign w:val="center"/>
          </w:tcPr>
          <w:p w14:paraId="549F9AE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44.23%</w:t>
            </w:r>
          </w:p>
        </w:tc>
      </w:tr>
      <w:tr w14:paraId="11213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384896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投资活动现金流入小计</w:t>
            </w:r>
          </w:p>
        </w:tc>
        <w:tc>
          <w:tcPr>
            <w:tcW w:w="2410" w:type="dxa"/>
            <w:tcBorders>
              <w:top w:val="single" w:color="auto" w:sz="2" w:space="0"/>
              <w:left w:val="single" w:color="auto" w:sz="2" w:space="0"/>
              <w:bottom w:val="single" w:color="auto" w:sz="2" w:space="0"/>
              <w:right w:val="single" w:color="auto" w:sz="2" w:space="0"/>
            </w:tcBorders>
            <w:vAlign w:val="center"/>
          </w:tcPr>
          <w:p w14:paraId="694F14D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3,177,691.34</w:t>
            </w:r>
          </w:p>
        </w:tc>
        <w:tc>
          <w:tcPr>
            <w:tcW w:w="2410" w:type="dxa"/>
            <w:tcBorders>
              <w:top w:val="single" w:color="auto" w:sz="2" w:space="0"/>
              <w:left w:val="single" w:color="auto" w:sz="2" w:space="0"/>
              <w:bottom w:val="single" w:color="auto" w:sz="2" w:space="0"/>
              <w:right w:val="single" w:color="auto" w:sz="2" w:space="0"/>
            </w:tcBorders>
            <w:vAlign w:val="center"/>
          </w:tcPr>
          <w:p w14:paraId="4B6D6A3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98,550.00</w:t>
            </w:r>
          </w:p>
        </w:tc>
        <w:tc>
          <w:tcPr>
            <w:tcW w:w="2410" w:type="dxa"/>
            <w:tcBorders>
              <w:top w:val="single" w:color="auto" w:sz="2" w:space="0"/>
              <w:left w:val="single" w:color="auto" w:sz="2" w:space="0"/>
              <w:bottom w:val="single" w:color="auto" w:sz="2" w:space="0"/>
              <w:right w:val="single" w:color="auto" w:sz="2" w:space="0"/>
            </w:tcBorders>
            <w:vAlign w:val="center"/>
          </w:tcPr>
          <w:p w14:paraId="33C88AA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3,124.45%</w:t>
            </w:r>
          </w:p>
        </w:tc>
      </w:tr>
      <w:tr w14:paraId="1BF22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6C8AA2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投资活动现金流出小计</w:t>
            </w:r>
          </w:p>
        </w:tc>
        <w:tc>
          <w:tcPr>
            <w:tcW w:w="2410" w:type="dxa"/>
            <w:tcBorders>
              <w:top w:val="single" w:color="auto" w:sz="2" w:space="0"/>
              <w:left w:val="single" w:color="auto" w:sz="2" w:space="0"/>
              <w:bottom w:val="single" w:color="auto" w:sz="2" w:space="0"/>
              <w:right w:val="single" w:color="auto" w:sz="2" w:space="0"/>
            </w:tcBorders>
            <w:vAlign w:val="center"/>
          </w:tcPr>
          <w:p w14:paraId="77199FA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39,368,477.33</w:t>
            </w:r>
          </w:p>
        </w:tc>
        <w:tc>
          <w:tcPr>
            <w:tcW w:w="2410" w:type="dxa"/>
            <w:tcBorders>
              <w:top w:val="single" w:color="auto" w:sz="2" w:space="0"/>
              <w:left w:val="single" w:color="auto" w:sz="2" w:space="0"/>
              <w:bottom w:val="single" w:color="auto" w:sz="2" w:space="0"/>
              <w:right w:val="single" w:color="auto" w:sz="2" w:space="0"/>
            </w:tcBorders>
            <w:vAlign w:val="center"/>
          </w:tcPr>
          <w:p w14:paraId="0AA145E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85,047,603.96</w:t>
            </w:r>
          </w:p>
        </w:tc>
        <w:tc>
          <w:tcPr>
            <w:tcW w:w="2410" w:type="dxa"/>
            <w:tcBorders>
              <w:top w:val="single" w:color="auto" w:sz="2" w:space="0"/>
              <w:left w:val="single" w:color="auto" w:sz="2" w:space="0"/>
              <w:bottom w:val="single" w:color="auto" w:sz="2" w:space="0"/>
              <w:right w:val="single" w:color="auto" w:sz="2" w:space="0"/>
            </w:tcBorders>
            <w:vAlign w:val="center"/>
          </w:tcPr>
          <w:p w14:paraId="3CBC716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-53.71%</w:t>
            </w:r>
          </w:p>
        </w:tc>
      </w:tr>
      <w:tr w14:paraId="4070D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3B7813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投资活动产生的现金流量净额</w:t>
            </w:r>
          </w:p>
        </w:tc>
        <w:tc>
          <w:tcPr>
            <w:tcW w:w="2410" w:type="dxa"/>
            <w:tcBorders>
              <w:top w:val="single" w:color="auto" w:sz="2" w:space="0"/>
              <w:left w:val="single" w:color="auto" w:sz="2" w:space="0"/>
              <w:bottom w:val="single" w:color="auto" w:sz="2" w:space="0"/>
              <w:right w:val="single" w:color="auto" w:sz="2" w:space="0"/>
            </w:tcBorders>
            <w:vAlign w:val="center"/>
          </w:tcPr>
          <w:p w14:paraId="036CE71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-36,190,785.99</w:t>
            </w:r>
          </w:p>
        </w:tc>
        <w:tc>
          <w:tcPr>
            <w:tcW w:w="2410" w:type="dxa"/>
            <w:tcBorders>
              <w:top w:val="single" w:color="auto" w:sz="2" w:space="0"/>
              <w:left w:val="single" w:color="auto" w:sz="2" w:space="0"/>
              <w:bottom w:val="single" w:color="auto" w:sz="2" w:space="0"/>
              <w:right w:val="single" w:color="auto" w:sz="2" w:space="0"/>
            </w:tcBorders>
            <w:vAlign w:val="center"/>
          </w:tcPr>
          <w:p w14:paraId="214DAC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-84,949,053.96</w:t>
            </w:r>
          </w:p>
        </w:tc>
        <w:tc>
          <w:tcPr>
            <w:tcW w:w="2410" w:type="dxa"/>
            <w:tcBorders>
              <w:top w:val="single" w:color="auto" w:sz="2" w:space="0"/>
              <w:left w:val="single" w:color="auto" w:sz="2" w:space="0"/>
              <w:bottom w:val="single" w:color="auto" w:sz="2" w:space="0"/>
              <w:right w:val="single" w:color="auto" w:sz="2" w:space="0"/>
            </w:tcBorders>
            <w:vAlign w:val="center"/>
          </w:tcPr>
          <w:p w14:paraId="056C6E1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57.40%</w:t>
            </w:r>
          </w:p>
        </w:tc>
      </w:tr>
      <w:tr w14:paraId="4434C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16FB6E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筹资活动现金流入小计</w:t>
            </w:r>
          </w:p>
        </w:tc>
        <w:tc>
          <w:tcPr>
            <w:tcW w:w="2410" w:type="dxa"/>
            <w:tcBorders>
              <w:top w:val="single" w:color="auto" w:sz="2" w:space="0"/>
              <w:left w:val="single" w:color="auto" w:sz="2" w:space="0"/>
              <w:bottom w:val="single" w:color="auto" w:sz="2" w:space="0"/>
              <w:right w:val="single" w:color="auto" w:sz="2" w:space="0"/>
            </w:tcBorders>
            <w:vAlign w:val="center"/>
          </w:tcPr>
          <w:p w14:paraId="71DD3ED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51,114,800.00</w:t>
            </w:r>
          </w:p>
        </w:tc>
        <w:tc>
          <w:tcPr>
            <w:tcW w:w="2410" w:type="dxa"/>
            <w:tcBorders>
              <w:top w:val="single" w:color="auto" w:sz="2" w:space="0"/>
              <w:left w:val="single" w:color="auto" w:sz="2" w:space="0"/>
              <w:bottom w:val="single" w:color="auto" w:sz="2" w:space="0"/>
              <w:right w:val="single" w:color="auto" w:sz="2" w:space="0"/>
            </w:tcBorders>
            <w:vAlign w:val="center"/>
          </w:tcPr>
          <w:p w14:paraId="469B68A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85,000,000.00</w:t>
            </w:r>
          </w:p>
        </w:tc>
        <w:tc>
          <w:tcPr>
            <w:tcW w:w="2410" w:type="dxa"/>
            <w:tcBorders>
              <w:top w:val="single" w:color="auto" w:sz="2" w:space="0"/>
              <w:left w:val="single" w:color="auto" w:sz="2" w:space="0"/>
              <w:bottom w:val="single" w:color="auto" w:sz="2" w:space="0"/>
              <w:right w:val="single" w:color="auto" w:sz="2" w:space="0"/>
            </w:tcBorders>
            <w:vAlign w:val="center"/>
          </w:tcPr>
          <w:p w14:paraId="1834BCB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-39.86%</w:t>
            </w:r>
          </w:p>
        </w:tc>
      </w:tr>
      <w:tr w14:paraId="3A2FE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556F3F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筹资活动现金流出小计</w:t>
            </w:r>
          </w:p>
        </w:tc>
        <w:tc>
          <w:tcPr>
            <w:tcW w:w="2410" w:type="dxa"/>
            <w:tcBorders>
              <w:top w:val="single" w:color="auto" w:sz="2" w:space="0"/>
              <w:left w:val="single" w:color="auto" w:sz="2" w:space="0"/>
              <w:bottom w:val="single" w:color="auto" w:sz="2" w:space="0"/>
              <w:right w:val="single" w:color="auto" w:sz="2" w:space="0"/>
            </w:tcBorders>
            <w:vAlign w:val="center"/>
          </w:tcPr>
          <w:p w14:paraId="128FCBB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30,096,410.44</w:t>
            </w:r>
          </w:p>
        </w:tc>
        <w:tc>
          <w:tcPr>
            <w:tcW w:w="2410" w:type="dxa"/>
            <w:tcBorders>
              <w:top w:val="single" w:color="auto" w:sz="2" w:space="0"/>
              <w:left w:val="single" w:color="auto" w:sz="2" w:space="0"/>
              <w:bottom w:val="single" w:color="auto" w:sz="2" w:space="0"/>
              <w:right w:val="single" w:color="auto" w:sz="2" w:space="0"/>
            </w:tcBorders>
            <w:vAlign w:val="center"/>
          </w:tcPr>
          <w:p w14:paraId="07AC90F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41,405,469.43</w:t>
            </w:r>
          </w:p>
        </w:tc>
        <w:tc>
          <w:tcPr>
            <w:tcW w:w="2410" w:type="dxa"/>
            <w:tcBorders>
              <w:top w:val="single" w:color="auto" w:sz="2" w:space="0"/>
              <w:left w:val="single" w:color="auto" w:sz="2" w:space="0"/>
              <w:bottom w:val="single" w:color="auto" w:sz="2" w:space="0"/>
              <w:right w:val="single" w:color="auto" w:sz="2" w:space="0"/>
            </w:tcBorders>
            <w:vAlign w:val="center"/>
          </w:tcPr>
          <w:p w14:paraId="7467338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-27.31%</w:t>
            </w:r>
          </w:p>
        </w:tc>
      </w:tr>
      <w:tr w14:paraId="2F8BD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BF9C53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筹资活动产生的现金流量净额</w:t>
            </w:r>
          </w:p>
        </w:tc>
        <w:tc>
          <w:tcPr>
            <w:tcW w:w="2410" w:type="dxa"/>
            <w:tcBorders>
              <w:top w:val="single" w:color="auto" w:sz="2" w:space="0"/>
              <w:left w:val="single" w:color="auto" w:sz="2" w:space="0"/>
              <w:bottom w:val="single" w:color="auto" w:sz="2" w:space="0"/>
              <w:right w:val="single" w:color="auto" w:sz="2" w:space="0"/>
            </w:tcBorders>
            <w:vAlign w:val="center"/>
          </w:tcPr>
          <w:p w14:paraId="29D115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21,018,389.56</w:t>
            </w:r>
          </w:p>
        </w:tc>
        <w:tc>
          <w:tcPr>
            <w:tcW w:w="2410" w:type="dxa"/>
            <w:tcBorders>
              <w:top w:val="single" w:color="auto" w:sz="2" w:space="0"/>
              <w:left w:val="single" w:color="auto" w:sz="2" w:space="0"/>
              <w:bottom w:val="single" w:color="auto" w:sz="2" w:space="0"/>
              <w:right w:val="single" w:color="auto" w:sz="2" w:space="0"/>
            </w:tcBorders>
            <w:vAlign w:val="center"/>
          </w:tcPr>
          <w:p w14:paraId="0A48780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43,594,530.57</w:t>
            </w:r>
          </w:p>
        </w:tc>
        <w:tc>
          <w:tcPr>
            <w:tcW w:w="2410" w:type="dxa"/>
            <w:tcBorders>
              <w:top w:val="single" w:color="auto" w:sz="2" w:space="0"/>
              <w:left w:val="single" w:color="auto" w:sz="2" w:space="0"/>
              <w:bottom w:val="single" w:color="auto" w:sz="2" w:space="0"/>
              <w:right w:val="single" w:color="auto" w:sz="2" w:space="0"/>
            </w:tcBorders>
            <w:vAlign w:val="center"/>
          </w:tcPr>
          <w:p w14:paraId="68E9FE4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-51.79%</w:t>
            </w:r>
          </w:p>
        </w:tc>
      </w:tr>
      <w:tr w14:paraId="059EA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A288DBC">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现金及现金等价物净增加额</w:t>
            </w:r>
          </w:p>
        </w:tc>
        <w:tc>
          <w:tcPr>
            <w:tcW w:w="2410" w:type="dxa"/>
            <w:tcBorders>
              <w:top w:val="single" w:color="auto" w:sz="2" w:space="0"/>
              <w:left w:val="single" w:color="auto" w:sz="2" w:space="0"/>
              <w:bottom w:val="single" w:color="auto" w:sz="2" w:space="0"/>
              <w:right w:val="single" w:color="auto" w:sz="2" w:space="0"/>
            </w:tcBorders>
            <w:vAlign w:val="center"/>
          </w:tcPr>
          <w:p w14:paraId="037490F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56,118,912.39</w:t>
            </w:r>
          </w:p>
        </w:tc>
        <w:tc>
          <w:tcPr>
            <w:tcW w:w="2410" w:type="dxa"/>
            <w:tcBorders>
              <w:top w:val="single" w:color="auto" w:sz="2" w:space="0"/>
              <w:left w:val="single" w:color="auto" w:sz="2" w:space="0"/>
              <w:bottom w:val="single" w:color="auto" w:sz="2" w:space="0"/>
              <w:right w:val="single" w:color="auto" w:sz="2" w:space="0"/>
            </w:tcBorders>
            <w:vAlign w:val="center"/>
          </w:tcPr>
          <w:p w14:paraId="4798508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8,375,394.64</w:t>
            </w:r>
          </w:p>
        </w:tc>
        <w:tc>
          <w:tcPr>
            <w:tcW w:w="2410" w:type="dxa"/>
            <w:tcBorders>
              <w:top w:val="single" w:color="auto" w:sz="2" w:space="0"/>
              <w:left w:val="single" w:color="auto" w:sz="2" w:space="0"/>
              <w:bottom w:val="single" w:color="auto" w:sz="2" w:space="0"/>
              <w:right w:val="single" w:color="auto" w:sz="2" w:space="0"/>
            </w:tcBorders>
            <w:vAlign w:val="center"/>
          </w:tcPr>
          <w:p w14:paraId="1D6992B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570.04%</w:t>
            </w:r>
          </w:p>
        </w:tc>
      </w:tr>
    </w:tbl>
    <w:p w14:paraId="17340C00">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相关数据同比发生重大变动的主要影响因素说明</w:t>
      </w:r>
    </w:p>
    <w:p w14:paraId="71945C41">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p w14:paraId="214E5AF0">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经营活动产生的现金流量净额较上年同期增加44.23%，主要原因是本报告期销售回款同比增加所致。</w:t>
      </w:r>
    </w:p>
    <w:p w14:paraId="27E6844F">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left="0" w:leftChars="0" w:right="0" w:rightChars="0"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投资活动产生的现金流量净额较上年同期增加57.40%，主要原因是上年同期天昊中山医药科技项目支付项目款所致。</w:t>
      </w:r>
    </w:p>
    <w:p w14:paraId="250A73B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right="0" w:rightChars="0" w:firstLine="360" w:firstLineChars="200"/>
        <w:textAlignment w:val="auto"/>
        <w:rPr>
          <w:rFonts w:hint="default" w:ascii="Times New Roman" w:hAnsi="Times New Roman" w:cs="Times New Roman"/>
        </w:rPr>
      </w:pPr>
      <w:r>
        <w:rPr>
          <w:rFonts w:hint="default" w:ascii="Times New Roman" w:hAnsi="Times New Roman" w:eastAsia="宋体" w:cs="Times New Roman"/>
          <w:sz w:val="18"/>
          <w:szCs w:val="18"/>
        </w:rPr>
        <w:t>3、筹资活动产生的现金流量净额较上年同期减少51.79%，主要原因是本报告期天昊中山医药科技项目取得项目贷款同比减少所致。</w:t>
      </w:r>
    </w:p>
    <w:p w14:paraId="30F86F54">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报告期内公司经营活动产生的现金净流量与本年度净利润存在重大差异的原因说明</w:t>
      </w:r>
    </w:p>
    <w:p w14:paraId="6F33D3EA">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p w14:paraId="0CAB64ED">
      <w:pPr>
        <w:pStyle w:val="6"/>
        <w:keepNext w:val="0"/>
        <w:keepLines w:val="0"/>
        <w:widowControl/>
        <w:suppressLineNumbers w:val="0"/>
        <w:spacing w:before="100" w:beforeAutospacing="0" w:after="100" w:afterAutospacing="0"/>
        <w:ind w:left="0" w:right="0" w:firstLine="360"/>
        <w:jc w:val="both"/>
        <w:rPr>
          <w:rFonts w:hint="default" w:ascii="Times New Roman" w:hAnsi="Times New Roman" w:cs="Times New Roman"/>
          <w:sz w:val="24"/>
          <w:szCs w:val="24"/>
        </w:rPr>
      </w:pPr>
      <w:r>
        <w:rPr>
          <w:rFonts w:hint="default" w:ascii="Times New Roman" w:hAnsi="Times New Roman" w:eastAsia="宋体" w:cs="Times New Roman"/>
          <w:sz w:val="18"/>
          <w:szCs w:val="18"/>
        </w:rPr>
        <w:t>详见附注：财务报告52</w:t>
      </w:r>
      <w:r>
        <w:rPr>
          <w:rFonts w:hint="eastAsia" w:cs="Times New Roman"/>
          <w:sz w:val="18"/>
          <w:szCs w:val="18"/>
          <w:lang w:eastAsia="zh-CN"/>
        </w:rPr>
        <w:t>“</w:t>
      </w:r>
      <w:r>
        <w:rPr>
          <w:rFonts w:hint="default" w:ascii="Times New Roman" w:hAnsi="Times New Roman" w:eastAsia="宋体" w:cs="Times New Roman"/>
          <w:sz w:val="18"/>
          <w:szCs w:val="18"/>
        </w:rPr>
        <w:t>现金流量表补充资料</w:t>
      </w:r>
      <w:r>
        <w:rPr>
          <w:rFonts w:hint="eastAsia" w:cs="Times New Roman"/>
          <w:sz w:val="18"/>
          <w:szCs w:val="18"/>
          <w:lang w:eastAsia="zh-CN"/>
        </w:rPr>
        <w:t>”</w:t>
      </w:r>
      <w:r>
        <w:rPr>
          <w:rFonts w:hint="default" w:ascii="Times New Roman" w:hAnsi="Times New Roman" w:eastAsia="宋体" w:cs="Times New Roman"/>
          <w:sz w:val="18"/>
          <w:szCs w:val="18"/>
        </w:rPr>
        <w:t>。</w:t>
      </w:r>
    </w:p>
    <w:p w14:paraId="310BB49A">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46" w:name="_Toc31079"/>
      <w:bookmarkStart w:id="47" w:name="_Toc988919"/>
      <w:r>
        <w:rPr>
          <w:rFonts w:hint="default" w:ascii="Times New Roman" w:hAnsi="Times New Roman" w:eastAsia="宋体" w:cs="Times New Roman"/>
          <w:b/>
          <w:bCs/>
          <w:sz w:val="24"/>
          <w:szCs w:val="24"/>
        </w:rPr>
        <w:t>五、非主营业务情况</w:t>
      </w:r>
      <w:bookmarkEnd w:id="46"/>
      <w:bookmarkEnd w:id="47"/>
    </w:p>
    <w:p w14:paraId="4C0730E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4CFD143B">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48" w:name="_Toc988920"/>
      <w:bookmarkStart w:id="49" w:name="_Toc26140"/>
      <w:r>
        <w:rPr>
          <w:rFonts w:hint="default" w:ascii="Times New Roman" w:hAnsi="Times New Roman" w:eastAsia="宋体" w:cs="Times New Roman"/>
          <w:b/>
          <w:bCs/>
          <w:sz w:val="24"/>
          <w:szCs w:val="24"/>
        </w:rPr>
        <w:t>六、资产及负债状况分析</w:t>
      </w:r>
      <w:bookmarkEnd w:id="48"/>
      <w:bookmarkEnd w:id="49"/>
    </w:p>
    <w:p w14:paraId="616639B4">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50" w:name="_Toc988921"/>
      <w:r>
        <w:rPr>
          <w:rFonts w:hint="default" w:ascii="Times New Roman" w:hAnsi="Times New Roman" w:eastAsia="宋体" w:cs="Times New Roman"/>
          <w:b/>
          <w:bCs/>
          <w:sz w:val="21"/>
          <w:szCs w:val="21"/>
        </w:rPr>
        <w:t>1、资产构成重大变动情况</w:t>
      </w:r>
      <w:bookmarkEnd w:id="50"/>
    </w:p>
    <w:p w14:paraId="7794F6CE">
      <w:pPr>
        <w:spacing w:before="40" w:after="4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2734D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CD461CC">
            <w:pPr>
              <w:rPr>
                <w:rFonts w:hint="default" w:ascii="Times New Roman" w:hAnsi="Times New Roman" w:cs="Times New Roman"/>
              </w:rPr>
            </w:pP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C43B77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2025年末</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4B18DE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DD8AC3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比重增减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DE32AA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重大变动说明</w:t>
            </w:r>
          </w:p>
        </w:tc>
      </w:tr>
      <w:tr w14:paraId="4A1BF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3AA1DB0">
            <w:pPr>
              <w:rPr>
                <w:rFonts w:hint="default"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4A9627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8DC86E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占总资产比例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0DDD6F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9760A3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占总资产比例</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EEFDC85">
            <w:pPr>
              <w:rPr>
                <w:rFonts w:hint="default"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FA58615">
            <w:pPr>
              <w:rPr>
                <w:rFonts w:hint="default" w:ascii="Times New Roman" w:hAnsi="Times New Roman" w:cs="Times New Roman"/>
              </w:rPr>
            </w:pPr>
          </w:p>
        </w:tc>
      </w:tr>
      <w:tr w14:paraId="2A507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C7BA67F">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货币资金</w:t>
            </w:r>
          </w:p>
        </w:tc>
        <w:tc>
          <w:tcPr>
            <w:tcW w:w="1377" w:type="dxa"/>
            <w:tcBorders>
              <w:top w:val="single" w:color="auto" w:sz="2" w:space="0"/>
              <w:left w:val="single" w:color="auto" w:sz="2" w:space="0"/>
              <w:bottom w:val="single" w:color="auto" w:sz="2" w:space="0"/>
              <w:right w:val="single" w:color="auto" w:sz="2" w:space="0"/>
            </w:tcBorders>
            <w:vAlign w:val="center"/>
          </w:tcPr>
          <w:p w14:paraId="4D337AD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160,604,712.50</w:t>
            </w:r>
          </w:p>
        </w:tc>
        <w:tc>
          <w:tcPr>
            <w:tcW w:w="1377" w:type="dxa"/>
            <w:tcBorders>
              <w:top w:val="single" w:color="auto" w:sz="2" w:space="0"/>
              <w:left w:val="single" w:color="auto" w:sz="2" w:space="0"/>
              <w:bottom w:val="single" w:color="auto" w:sz="2" w:space="0"/>
              <w:right w:val="single" w:color="auto" w:sz="2" w:space="0"/>
            </w:tcBorders>
            <w:vAlign w:val="center"/>
          </w:tcPr>
          <w:p w14:paraId="770725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19.91%</w:t>
            </w:r>
          </w:p>
        </w:tc>
        <w:tc>
          <w:tcPr>
            <w:tcW w:w="1377" w:type="dxa"/>
            <w:tcBorders>
              <w:top w:val="single" w:color="auto" w:sz="2" w:space="0"/>
              <w:left w:val="single" w:color="auto" w:sz="2" w:space="0"/>
              <w:bottom w:val="single" w:color="auto" w:sz="2" w:space="0"/>
              <w:right w:val="single" w:color="auto" w:sz="2" w:space="0"/>
            </w:tcBorders>
            <w:vAlign w:val="center"/>
          </w:tcPr>
          <w:p w14:paraId="00677B1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106,780,152.15</w:t>
            </w:r>
          </w:p>
        </w:tc>
        <w:tc>
          <w:tcPr>
            <w:tcW w:w="1377" w:type="dxa"/>
            <w:tcBorders>
              <w:top w:val="single" w:color="auto" w:sz="2" w:space="0"/>
              <w:left w:val="single" w:color="auto" w:sz="2" w:space="0"/>
              <w:bottom w:val="single" w:color="auto" w:sz="2" w:space="0"/>
              <w:right w:val="single" w:color="auto" w:sz="2" w:space="0"/>
            </w:tcBorders>
            <w:vAlign w:val="center"/>
          </w:tcPr>
          <w:p w14:paraId="1B28C32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14.15%</w:t>
            </w:r>
          </w:p>
        </w:tc>
        <w:tc>
          <w:tcPr>
            <w:tcW w:w="1377" w:type="dxa"/>
            <w:tcBorders>
              <w:top w:val="single" w:color="auto" w:sz="2" w:space="0"/>
              <w:left w:val="single" w:color="auto" w:sz="2" w:space="0"/>
              <w:bottom w:val="single" w:color="auto" w:sz="2" w:space="0"/>
              <w:right w:val="single" w:color="auto" w:sz="2" w:space="0"/>
            </w:tcBorders>
            <w:vAlign w:val="center"/>
          </w:tcPr>
          <w:p w14:paraId="52135F7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5.76%</w:t>
            </w:r>
          </w:p>
        </w:tc>
        <w:tc>
          <w:tcPr>
            <w:tcW w:w="1377" w:type="dxa"/>
            <w:tcBorders>
              <w:top w:val="single" w:color="auto" w:sz="2" w:space="0"/>
              <w:left w:val="single" w:color="auto" w:sz="2" w:space="0"/>
              <w:bottom w:val="single" w:color="auto" w:sz="2" w:space="0"/>
              <w:right w:val="single" w:color="auto" w:sz="2" w:space="0"/>
            </w:tcBorders>
            <w:vAlign w:val="center"/>
          </w:tcPr>
          <w:p w14:paraId="166F74C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本报告期销售回款同比增加所致</w:t>
            </w:r>
          </w:p>
        </w:tc>
      </w:tr>
      <w:tr w14:paraId="6C6F1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6CB60A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应收账款</w:t>
            </w:r>
          </w:p>
        </w:tc>
        <w:tc>
          <w:tcPr>
            <w:tcW w:w="1377" w:type="dxa"/>
            <w:tcBorders>
              <w:top w:val="single" w:color="auto" w:sz="2" w:space="0"/>
              <w:left w:val="single" w:color="auto" w:sz="2" w:space="0"/>
              <w:bottom w:val="single" w:color="auto" w:sz="2" w:space="0"/>
              <w:right w:val="single" w:color="auto" w:sz="2" w:space="0"/>
            </w:tcBorders>
            <w:vAlign w:val="center"/>
          </w:tcPr>
          <w:p w14:paraId="2FB393E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52,452,503.66</w:t>
            </w:r>
          </w:p>
        </w:tc>
        <w:tc>
          <w:tcPr>
            <w:tcW w:w="1377" w:type="dxa"/>
            <w:tcBorders>
              <w:top w:val="single" w:color="auto" w:sz="2" w:space="0"/>
              <w:left w:val="single" w:color="auto" w:sz="2" w:space="0"/>
              <w:bottom w:val="single" w:color="auto" w:sz="2" w:space="0"/>
              <w:right w:val="single" w:color="auto" w:sz="2" w:space="0"/>
            </w:tcBorders>
            <w:vAlign w:val="center"/>
          </w:tcPr>
          <w:p w14:paraId="76738A0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6.50%</w:t>
            </w:r>
          </w:p>
        </w:tc>
        <w:tc>
          <w:tcPr>
            <w:tcW w:w="1377" w:type="dxa"/>
            <w:tcBorders>
              <w:top w:val="single" w:color="auto" w:sz="2" w:space="0"/>
              <w:left w:val="single" w:color="auto" w:sz="2" w:space="0"/>
              <w:bottom w:val="single" w:color="auto" w:sz="2" w:space="0"/>
              <w:right w:val="single" w:color="auto" w:sz="2" w:space="0"/>
            </w:tcBorders>
            <w:vAlign w:val="center"/>
          </w:tcPr>
          <w:p w14:paraId="37AFD85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59,545,736.88</w:t>
            </w:r>
          </w:p>
        </w:tc>
        <w:tc>
          <w:tcPr>
            <w:tcW w:w="1377" w:type="dxa"/>
            <w:tcBorders>
              <w:top w:val="single" w:color="auto" w:sz="2" w:space="0"/>
              <w:left w:val="single" w:color="auto" w:sz="2" w:space="0"/>
              <w:bottom w:val="single" w:color="auto" w:sz="2" w:space="0"/>
              <w:right w:val="single" w:color="auto" w:sz="2" w:space="0"/>
            </w:tcBorders>
            <w:vAlign w:val="center"/>
          </w:tcPr>
          <w:p w14:paraId="7A56D56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7.89%</w:t>
            </w:r>
          </w:p>
        </w:tc>
        <w:tc>
          <w:tcPr>
            <w:tcW w:w="1377" w:type="dxa"/>
            <w:tcBorders>
              <w:top w:val="single" w:color="auto" w:sz="2" w:space="0"/>
              <w:left w:val="single" w:color="auto" w:sz="2" w:space="0"/>
              <w:bottom w:val="single" w:color="auto" w:sz="2" w:space="0"/>
              <w:right w:val="single" w:color="auto" w:sz="2" w:space="0"/>
            </w:tcBorders>
            <w:vAlign w:val="center"/>
          </w:tcPr>
          <w:p w14:paraId="5737B29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-1.39%</w:t>
            </w:r>
          </w:p>
        </w:tc>
        <w:tc>
          <w:tcPr>
            <w:tcW w:w="1377" w:type="dxa"/>
            <w:tcBorders>
              <w:top w:val="single" w:color="auto" w:sz="2" w:space="0"/>
              <w:left w:val="single" w:color="auto" w:sz="2" w:space="0"/>
              <w:bottom w:val="single" w:color="auto" w:sz="2" w:space="0"/>
              <w:right w:val="single" w:color="auto" w:sz="2" w:space="0"/>
            </w:tcBorders>
            <w:vAlign w:val="center"/>
          </w:tcPr>
          <w:p w14:paraId="2760FA79">
            <w:pPr>
              <w:spacing w:before="0" w:after="0" w:line="240" w:lineRule="exact"/>
              <w:jc w:val="left"/>
              <w:rPr>
                <w:rFonts w:hint="default" w:ascii="Times New Roman" w:hAnsi="Times New Roman" w:eastAsia="宋体" w:cs="Times New Roman"/>
                <w:sz w:val="18"/>
                <w:szCs w:val="18"/>
              </w:rPr>
            </w:pPr>
          </w:p>
        </w:tc>
      </w:tr>
      <w:tr w14:paraId="3717D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2EA210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合同资产</w:t>
            </w:r>
          </w:p>
        </w:tc>
        <w:tc>
          <w:tcPr>
            <w:tcW w:w="1377" w:type="dxa"/>
            <w:tcBorders>
              <w:top w:val="single" w:color="auto" w:sz="2" w:space="0"/>
              <w:left w:val="single" w:color="auto" w:sz="2" w:space="0"/>
              <w:bottom w:val="single" w:color="auto" w:sz="2" w:space="0"/>
              <w:right w:val="single" w:color="auto" w:sz="2" w:space="0"/>
            </w:tcBorders>
            <w:vAlign w:val="center"/>
          </w:tcPr>
          <w:p w14:paraId="76478EF8">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1FBC0B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14:paraId="04207C7F">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D10DBC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14:paraId="06398D2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14:paraId="763E4313">
            <w:pPr>
              <w:spacing w:before="0" w:after="0" w:line="240" w:lineRule="exact"/>
              <w:jc w:val="left"/>
              <w:rPr>
                <w:rFonts w:hint="default" w:ascii="Times New Roman" w:hAnsi="Times New Roman" w:eastAsia="宋体" w:cs="Times New Roman"/>
                <w:sz w:val="18"/>
                <w:szCs w:val="18"/>
              </w:rPr>
            </w:pPr>
          </w:p>
        </w:tc>
      </w:tr>
      <w:tr w14:paraId="16AF5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A2EC04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存货</w:t>
            </w:r>
          </w:p>
        </w:tc>
        <w:tc>
          <w:tcPr>
            <w:tcW w:w="1377" w:type="dxa"/>
            <w:tcBorders>
              <w:top w:val="single" w:color="auto" w:sz="2" w:space="0"/>
              <w:left w:val="single" w:color="auto" w:sz="2" w:space="0"/>
              <w:bottom w:val="single" w:color="auto" w:sz="2" w:space="0"/>
              <w:right w:val="single" w:color="auto" w:sz="2" w:space="0"/>
            </w:tcBorders>
            <w:vAlign w:val="center"/>
          </w:tcPr>
          <w:p w14:paraId="7E78C4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77,707,882.85</w:t>
            </w:r>
          </w:p>
        </w:tc>
        <w:tc>
          <w:tcPr>
            <w:tcW w:w="1377" w:type="dxa"/>
            <w:tcBorders>
              <w:top w:val="single" w:color="auto" w:sz="2" w:space="0"/>
              <w:left w:val="single" w:color="auto" w:sz="2" w:space="0"/>
              <w:bottom w:val="single" w:color="auto" w:sz="2" w:space="0"/>
              <w:right w:val="single" w:color="auto" w:sz="2" w:space="0"/>
            </w:tcBorders>
            <w:vAlign w:val="center"/>
          </w:tcPr>
          <w:p w14:paraId="3694E80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9.63%</w:t>
            </w:r>
          </w:p>
        </w:tc>
        <w:tc>
          <w:tcPr>
            <w:tcW w:w="1377" w:type="dxa"/>
            <w:tcBorders>
              <w:top w:val="single" w:color="auto" w:sz="2" w:space="0"/>
              <w:left w:val="single" w:color="auto" w:sz="2" w:space="0"/>
              <w:bottom w:val="single" w:color="auto" w:sz="2" w:space="0"/>
              <w:right w:val="single" w:color="auto" w:sz="2" w:space="0"/>
            </w:tcBorders>
            <w:vAlign w:val="center"/>
          </w:tcPr>
          <w:p w14:paraId="0E4B6A3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78,459,032.60</w:t>
            </w:r>
          </w:p>
        </w:tc>
        <w:tc>
          <w:tcPr>
            <w:tcW w:w="1377" w:type="dxa"/>
            <w:tcBorders>
              <w:top w:val="single" w:color="auto" w:sz="2" w:space="0"/>
              <w:left w:val="single" w:color="auto" w:sz="2" w:space="0"/>
              <w:bottom w:val="single" w:color="auto" w:sz="2" w:space="0"/>
              <w:right w:val="single" w:color="auto" w:sz="2" w:space="0"/>
            </w:tcBorders>
            <w:vAlign w:val="center"/>
          </w:tcPr>
          <w:p w14:paraId="47A1E4F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10.40%</w:t>
            </w:r>
          </w:p>
        </w:tc>
        <w:tc>
          <w:tcPr>
            <w:tcW w:w="1377" w:type="dxa"/>
            <w:tcBorders>
              <w:top w:val="single" w:color="auto" w:sz="2" w:space="0"/>
              <w:left w:val="single" w:color="auto" w:sz="2" w:space="0"/>
              <w:bottom w:val="single" w:color="auto" w:sz="2" w:space="0"/>
              <w:right w:val="single" w:color="auto" w:sz="2" w:space="0"/>
            </w:tcBorders>
            <w:vAlign w:val="center"/>
          </w:tcPr>
          <w:p w14:paraId="531E92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-0.77%</w:t>
            </w:r>
          </w:p>
        </w:tc>
        <w:tc>
          <w:tcPr>
            <w:tcW w:w="1377" w:type="dxa"/>
            <w:tcBorders>
              <w:top w:val="single" w:color="auto" w:sz="2" w:space="0"/>
              <w:left w:val="single" w:color="auto" w:sz="2" w:space="0"/>
              <w:bottom w:val="single" w:color="auto" w:sz="2" w:space="0"/>
              <w:right w:val="single" w:color="auto" w:sz="2" w:space="0"/>
            </w:tcBorders>
            <w:vAlign w:val="center"/>
          </w:tcPr>
          <w:p w14:paraId="7E443C50">
            <w:pPr>
              <w:spacing w:before="0" w:after="0" w:line="240" w:lineRule="exact"/>
              <w:jc w:val="left"/>
              <w:rPr>
                <w:rFonts w:hint="default" w:ascii="Times New Roman" w:hAnsi="Times New Roman" w:eastAsia="宋体" w:cs="Times New Roman"/>
                <w:sz w:val="18"/>
                <w:szCs w:val="18"/>
              </w:rPr>
            </w:pPr>
          </w:p>
        </w:tc>
      </w:tr>
      <w:tr w14:paraId="62DBD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8EA855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投资性房地产</w:t>
            </w:r>
          </w:p>
        </w:tc>
        <w:tc>
          <w:tcPr>
            <w:tcW w:w="1377" w:type="dxa"/>
            <w:tcBorders>
              <w:top w:val="single" w:color="auto" w:sz="2" w:space="0"/>
              <w:left w:val="single" w:color="auto" w:sz="2" w:space="0"/>
              <w:bottom w:val="single" w:color="auto" w:sz="2" w:space="0"/>
              <w:right w:val="single" w:color="auto" w:sz="2" w:space="0"/>
            </w:tcBorders>
            <w:vAlign w:val="center"/>
          </w:tcPr>
          <w:p w14:paraId="77057B9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8,124,094.09</w:t>
            </w:r>
          </w:p>
        </w:tc>
        <w:tc>
          <w:tcPr>
            <w:tcW w:w="1377" w:type="dxa"/>
            <w:tcBorders>
              <w:top w:val="single" w:color="auto" w:sz="2" w:space="0"/>
              <w:left w:val="single" w:color="auto" w:sz="2" w:space="0"/>
              <w:bottom w:val="single" w:color="auto" w:sz="2" w:space="0"/>
              <w:right w:val="single" w:color="auto" w:sz="2" w:space="0"/>
            </w:tcBorders>
            <w:vAlign w:val="center"/>
          </w:tcPr>
          <w:p w14:paraId="087CE74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1.01%</w:t>
            </w:r>
          </w:p>
        </w:tc>
        <w:tc>
          <w:tcPr>
            <w:tcW w:w="1377" w:type="dxa"/>
            <w:tcBorders>
              <w:top w:val="single" w:color="auto" w:sz="2" w:space="0"/>
              <w:left w:val="single" w:color="auto" w:sz="2" w:space="0"/>
              <w:bottom w:val="single" w:color="auto" w:sz="2" w:space="0"/>
              <w:right w:val="single" w:color="auto" w:sz="2" w:space="0"/>
            </w:tcBorders>
            <w:vAlign w:val="center"/>
          </w:tcPr>
          <w:p w14:paraId="7547594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8,569,230.25</w:t>
            </w:r>
          </w:p>
        </w:tc>
        <w:tc>
          <w:tcPr>
            <w:tcW w:w="1377" w:type="dxa"/>
            <w:tcBorders>
              <w:top w:val="single" w:color="auto" w:sz="2" w:space="0"/>
              <w:left w:val="single" w:color="auto" w:sz="2" w:space="0"/>
              <w:bottom w:val="single" w:color="auto" w:sz="2" w:space="0"/>
              <w:right w:val="single" w:color="auto" w:sz="2" w:space="0"/>
            </w:tcBorders>
            <w:vAlign w:val="center"/>
          </w:tcPr>
          <w:p w14:paraId="24F423C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1.14%</w:t>
            </w:r>
          </w:p>
        </w:tc>
        <w:tc>
          <w:tcPr>
            <w:tcW w:w="1377" w:type="dxa"/>
            <w:tcBorders>
              <w:top w:val="single" w:color="auto" w:sz="2" w:space="0"/>
              <w:left w:val="single" w:color="auto" w:sz="2" w:space="0"/>
              <w:bottom w:val="single" w:color="auto" w:sz="2" w:space="0"/>
              <w:right w:val="single" w:color="auto" w:sz="2" w:space="0"/>
            </w:tcBorders>
            <w:vAlign w:val="center"/>
          </w:tcPr>
          <w:p w14:paraId="60A7667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-0.13%</w:t>
            </w:r>
          </w:p>
        </w:tc>
        <w:tc>
          <w:tcPr>
            <w:tcW w:w="1377" w:type="dxa"/>
            <w:tcBorders>
              <w:top w:val="single" w:color="auto" w:sz="2" w:space="0"/>
              <w:left w:val="single" w:color="auto" w:sz="2" w:space="0"/>
              <w:bottom w:val="single" w:color="auto" w:sz="2" w:space="0"/>
              <w:right w:val="single" w:color="auto" w:sz="2" w:space="0"/>
            </w:tcBorders>
            <w:vAlign w:val="center"/>
          </w:tcPr>
          <w:p w14:paraId="1B9201FD">
            <w:pPr>
              <w:spacing w:before="0" w:after="0" w:line="240" w:lineRule="exact"/>
              <w:jc w:val="left"/>
              <w:rPr>
                <w:rFonts w:hint="default" w:ascii="Times New Roman" w:hAnsi="Times New Roman" w:eastAsia="宋体" w:cs="Times New Roman"/>
                <w:sz w:val="18"/>
                <w:szCs w:val="18"/>
              </w:rPr>
            </w:pPr>
          </w:p>
        </w:tc>
      </w:tr>
      <w:tr w14:paraId="4ECF8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70862A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长期股权投资</w:t>
            </w:r>
          </w:p>
        </w:tc>
        <w:tc>
          <w:tcPr>
            <w:tcW w:w="1377" w:type="dxa"/>
            <w:tcBorders>
              <w:top w:val="single" w:color="auto" w:sz="2" w:space="0"/>
              <w:left w:val="single" w:color="auto" w:sz="2" w:space="0"/>
              <w:bottom w:val="single" w:color="auto" w:sz="2" w:space="0"/>
              <w:right w:val="single" w:color="auto" w:sz="2" w:space="0"/>
            </w:tcBorders>
            <w:vAlign w:val="center"/>
          </w:tcPr>
          <w:p w14:paraId="6B43001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191,582.56</w:t>
            </w:r>
          </w:p>
        </w:tc>
        <w:tc>
          <w:tcPr>
            <w:tcW w:w="1377" w:type="dxa"/>
            <w:tcBorders>
              <w:top w:val="single" w:color="auto" w:sz="2" w:space="0"/>
              <w:left w:val="single" w:color="auto" w:sz="2" w:space="0"/>
              <w:bottom w:val="single" w:color="auto" w:sz="2" w:space="0"/>
              <w:right w:val="single" w:color="auto" w:sz="2" w:space="0"/>
            </w:tcBorders>
            <w:vAlign w:val="center"/>
          </w:tcPr>
          <w:p w14:paraId="0638A41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w:t>
            </w:r>
          </w:p>
        </w:tc>
        <w:tc>
          <w:tcPr>
            <w:tcW w:w="1377" w:type="dxa"/>
            <w:tcBorders>
              <w:top w:val="single" w:color="auto" w:sz="2" w:space="0"/>
              <w:left w:val="single" w:color="auto" w:sz="2" w:space="0"/>
              <w:bottom w:val="single" w:color="auto" w:sz="2" w:space="0"/>
              <w:right w:val="single" w:color="auto" w:sz="2" w:space="0"/>
            </w:tcBorders>
            <w:vAlign w:val="center"/>
          </w:tcPr>
          <w:p w14:paraId="2535E53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4,489,812.53</w:t>
            </w:r>
          </w:p>
        </w:tc>
        <w:tc>
          <w:tcPr>
            <w:tcW w:w="1377" w:type="dxa"/>
            <w:tcBorders>
              <w:top w:val="single" w:color="auto" w:sz="2" w:space="0"/>
              <w:left w:val="single" w:color="auto" w:sz="2" w:space="0"/>
              <w:bottom w:val="single" w:color="auto" w:sz="2" w:space="0"/>
              <w:right w:val="single" w:color="auto" w:sz="2" w:space="0"/>
            </w:tcBorders>
            <w:vAlign w:val="center"/>
          </w:tcPr>
          <w:p w14:paraId="3F28935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0.60%</w:t>
            </w:r>
          </w:p>
        </w:tc>
        <w:tc>
          <w:tcPr>
            <w:tcW w:w="1377" w:type="dxa"/>
            <w:tcBorders>
              <w:top w:val="single" w:color="auto" w:sz="2" w:space="0"/>
              <w:left w:val="single" w:color="auto" w:sz="2" w:space="0"/>
              <w:bottom w:val="single" w:color="auto" w:sz="2" w:space="0"/>
              <w:right w:val="single" w:color="auto" w:sz="2" w:space="0"/>
            </w:tcBorders>
            <w:vAlign w:val="center"/>
          </w:tcPr>
          <w:p w14:paraId="539402B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-0.58%</w:t>
            </w:r>
          </w:p>
        </w:tc>
        <w:tc>
          <w:tcPr>
            <w:tcW w:w="1377" w:type="dxa"/>
            <w:tcBorders>
              <w:top w:val="single" w:color="auto" w:sz="2" w:space="0"/>
              <w:left w:val="single" w:color="auto" w:sz="2" w:space="0"/>
              <w:bottom w:val="single" w:color="auto" w:sz="2" w:space="0"/>
              <w:right w:val="single" w:color="auto" w:sz="2" w:space="0"/>
            </w:tcBorders>
            <w:vAlign w:val="center"/>
          </w:tcPr>
          <w:p w14:paraId="16BDF63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购买合营企业股权所致</w:t>
            </w:r>
          </w:p>
        </w:tc>
      </w:tr>
      <w:tr w14:paraId="7EF8F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B6A8C8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固定资产</w:t>
            </w:r>
          </w:p>
        </w:tc>
        <w:tc>
          <w:tcPr>
            <w:tcW w:w="1377" w:type="dxa"/>
            <w:tcBorders>
              <w:top w:val="single" w:color="auto" w:sz="2" w:space="0"/>
              <w:left w:val="single" w:color="auto" w:sz="2" w:space="0"/>
              <w:bottom w:val="single" w:color="auto" w:sz="2" w:space="0"/>
              <w:right w:val="single" w:color="auto" w:sz="2" w:space="0"/>
            </w:tcBorders>
            <w:vAlign w:val="center"/>
          </w:tcPr>
          <w:p w14:paraId="2878CF7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309,795,825.82</w:t>
            </w:r>
          </w:p>
        </w:tc>
        <w:tc>
          <w:tcPr>
            <w:tcW w:w="1377" w:type="dxa"/>
            <w:tcBorders>
              <w:top w:val="single" w:color="auto" w:sz="2" w:space="0"/>
              <w:left w:val="single" w:color="auto" w:sz="2" w:space="0"/>
              <w:bottom w:val="single" w:color="auto" w:sz="2" w:space="0"/>
              <w:right w:val="single" w:color="auto" w:sz="2" w:space="0"/>
            </w:tcBorders>
            <w:vAlign w:val="center"/>
          </w:tcPr>
          <w:p w14:paraId="323C285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38.41%</w:t>
            </w:r>
          </w:p>
        </w:tc>
        <w:tc>
          <w:tcPr>
            <w:tcW w:w="1377" w:type="dxa"/>
            <w:tcBorders>
              <w:top w:val="single" w:color="auto" w:sz="2" w:space="0"/>
              <w:left w:val="single" w:color="auto" w:sz="2" w:space="0"/>
              <w:bottom w:val="single" w:color="auto" w:sz="2" w:space="0"/>
              <w:right w:val="single" w:color="auto" w:sz="2" w:space="0"/>
            </w:tcBorders>
            <w:vAlign w:val="center"/>
          </w:tcPr>
          <w:p w14:paraId="4176DAA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319,541,816.39</w:t>
            </w:r>
          </w:p>
        </w:tc>
        <w:tc>
          <w:tcPr>
            <w:tcW w:w="1377" w:type="dxa"/>
            <w:tcBorders>
              <w:top w:val="single" w:color="auto" w:sz="2" w:space="0"/>
              <w:left w:val="single" w:color="auto" w:sz="2" w:space="0"/>
              <w:bottom w:val="single" w:color="auto" w:sz="2" w:space="0"/>
              <w:right w:val="single" w:color="auto" w:sz="2" w:space="0"/>
            </w:tcBorders>
            <w:vAlign w:val="center"/>
          </w:tcPr>
          <w:p w14:paraId="120A1AA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42.36%</w:t>
            </w:r>
          </w:p>
        </w:tc>
        <w:tc>
          <w:tcPr>
            <w:tcW w:w="1377" w:type="dxa"/>
            <w:tcBorders>
              <w:top w:val="single" w:color="auto" w:sz="2" w:space="0"/>
              <w:left w:val="single" w:color="auto" w:sz="2" w:space="0"/>
              <w:bottom w:val="single" w:color="auto" w:sz="2" w:space="0"/>
              <w:right w:val="single" w:color="auto" w:sz="2" w:space="0"/>
            </w:tcBorders>
            <w:vAlign w:val="center"/>
          </w:tcPr>
          <w:p w14:paraId="1377990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-3.95%</w:t>
            </w:r>
          </w:p>
        </w:tc>
        <w:tc>
          <w:tcPr>
            <w:tcW w:w="1377" w:type="dxa"/>
            <w:tcBorders>
              <w:top w:val="single" w:color="auto" w:sz="2" w:space="0"/>
              <w:left w:val="single" w:color="auto" w:sz="2" w:space="0"/>
              <w:bottom w:val="single" w:color="auto" w:sz="2" w:space="0"/>
              <w:right w:val="single" w:color="auto" w:sz="2" w:space="0"/>
            </w:tcBorders>
            <w:vAlign w:val="center"/>
          </w:tcPr>
          <w:p w14:paraId="1FA6EFDB">
            <w:pPr>
              <w:spacing w:before="0" w:after="0" w:line="240" w:lineRule="exact"/>
              <w:jc w:val="left"/>
              <w:rPr>
                <w:rFonts w:hint="default" w:ascii="Times New Roman" w:hAnsi="Times New Roman" w:eastAsia="宋体" w:cs="Times New Roman"/>
                <w:sz w:val="18"/>
                <w:szCs w:val="18"/>
              </w:rPr>
            </w:pPr>
          </w:p>
        </w:tc>
      </w:tr>
      <w:tr w14:paraId="30669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922A00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在建工程</w:t>
            </w:r>
          </w:p>
        </w:tc>
        <w:tc>
          <w:tcPr>
            <w:tcW w:w="1377" w:type="dxa"/>
            <w:tcBorders>
              <w:top w:val="single" w:color="auto" w:sz="2" w:space="0"/>
              <w:left w:val="single" w:color="auto" w:sz="2" w:space="0"/>
              <w:bottom w:val="single" w:color="auto" w:sz="2" w:space="0"/>
              <w:right w:val="single" w:color="auto" w:sz="2" w:space="0"/>
            </w:tcBorders>
            <w:vAlign w:val="center"/>
          </w:tcPr>
          <w:p w14:paraId="4E1CDC6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18,025,727.44</w:t>
            </w:r>
          </w:p>
        </w:tc>
        <w:tc>
          <w:tcPr>
            <w:tcW w:w="1377" w:type="dxa"/>
            <w:tcBorders>
              <w:top w:val="single" w:color="auto" w:sz="2" w:space="0"/>
              <w:left w:val="single" w:color="auto" w:sz="2" w:space="0"/>
              <w:bottom w:val="single" w:color="auto" w:sz="2" w:space="0"/>
              <w:right w:val="single" w:color="auto" w:sz="2" w:space="0"/>
            </w:tcBorders>
            <w:vAlign w:val="center"/>
          </w:tcPr>
          <w:p w14:paraId="3EDFFB2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2.23%</w:t>
            </w:r>
          </w:p>
        </w:tc>
        <w:tc>
          <w:tcPr>
            <w:tcW w:w="1377" w:type="dxa"/>
            <w:tcBorders>
              <w:top w:val="single" w:color="auto" w:sz="2" w:space="0"/>
              <w:left w:val="single" w:color="auto" w:sz="2" w:space="0"/>
              <w:bottom w:val="single" w:color="auto" w:sz="2" w:space="0"/>
              <w:right w:val="single" w:color="auto" w:sz="2" w:space="0"/>
            </w:tcBorders>
            <w:vAlign w:val="center"/>
          </w:tcPr>
          <w:p w14:paraId="7475EB9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2,542,364.88</w:t>
            </w:r>
          </w:p>
        </w:tc>
        <w:tc>
          <w:tcPr>
            <w:tcW w:w="1377" w:type="dxa"/>
            <w:tcBorders>
              <w:top w:val="single" w:color="auto" w:sz="2" w:space="0"/>
              <w:left w:val="single" w:color="auto" w:sz="2" w:space="0"/>
              <w:bottom w:val="single" w:color="auto" w:sz="2" w:space="0"/>
              <w:right w:val="single" w:color="auto" w:sz="2" w:space="0"/>
            </w:tcBorders>
            <w:vAlign w:val="center"/>
          </w:tcPr>
          <w:p w14:paraId="3EBA811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0.34%</w:t>
            </w:r>
          </w:p>
        </w:tc>
        <w:tc>
          <w:tcPr>
            <w:tcW w:w="1377" w:type="dxa"/>
            <w:tcBorders>
              <w:top w:val="single" w:color="auto" w:sz="2" w:space="0"/>
              <w:left w:val="single" w:color="auto" w:sz="2" w:space="0"/>
              <w:bottom w:val="single" w:color="auto" w:sz="2" w:space="0"/>
              <w:right w:val="single" w:color="auto" w:sz="2" w:space="0"/>
            </w:tcBorders>
            <w:vAlign w:val="center"/>
          </w:tcPr>
          <w:p w14:paraId="2B5EBD1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1.89%</w:t>
            </w:r>
          </w:p>
        </w:tc>
        <w:tc>
          <w:tcPr>
            <w:tcW w:w="1377" w:type="dxa"/>
            <w:tcBorders>
              <w:top w:val="single" w:color="auto" w:sz="2" w:space="0"/>
              <w:left w:val="single" w:color="auto" w:sz="2" w:space="0"/>
              <w:bottom w:val="single" w:color="auto" w:sz="2" w:space="0"/>
              <w:right w:val="single" w:color="auto" w:sz="2" w:space="0"/>
            </w:tcBorders>
            <w:vAlign w:val="center"/>
          </w:tcPr>
          <w:p w14:paraId="310C06A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天昊中山医药科技项目-乳膏技改项目投入所致</w:t>
            </w:r>
          </w:p>
        </w:tc>
      </w:tr>
      <w:tr w14:paraId="4532E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9D736B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使用权资产</w:t>
            </w:r>
          </w:p>
        </w:tc>
        <w:tc>
          <w:tcPr>
            <w:tcW w:w="1377" w:type="dxa"/>
            <w:tcBorders>
              <w:top w:val="single" w:color="auto" w:sz="2" w:space="0"/>
              <w:left w:val="single" w:color="auto" w:sz="2" w:space="0"/>
              <w:bottom w:val="single" w:color="auto" w:sz="2" w:space="0"/>
              <w:right w:val="single" w:color="auto" w:sz="2" w:space="0"/>
            </w:tcBorders>
            <w:vAlign w:val="center"/>
          </w:tcPr>
          <w:p w14:paraId="0AF3CCF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4,644,278.86</w:t>
            </w:r>
          </w:p>
        </w:tc>
        <w:tc>
          <w:tcPr>
            <w:tcW w:w="1377" w:type="dxa"/>
            <w:tcBorders>
              <w:top w:val="single" w:color="auto" w:sz="2" w:space="0"/>
              <w:left w:val="single" w:color="auto" w:sz="2" w:space="0"/>
              <w:bottom w:val="single" w:color="auto" w:sz="2" w:space="0"/>
              <w:right w:val="single" w:color="auto" w:sz="2" w:space="0"/>
            </w:tcBorders>
            <w:vAlign w:val="center"/>
          </w:tcPr>
          <w:p w14:paraId="42521BC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0.58%</w:t>
            </w:r>
          </w:p>
        </w:tc>
        <w:tc>
          <w:tcPr>
            <w:tcW w:w="1377" w:type="dxa"/>
            <w:tcBorders>
              <w:top w:val="single" w:color="auto" w:sz="2" w:space="0"/>
              <w:left w:val="single" w:color="auto" w:sz="2" w:space="0"/>
              <w:bottom w:val="single" w:color="auto" w:sz="2" w:space="0"/>
              <w:right w:val="single" w:color="auto" w:sz="2" w:space="0"/>
            </w:tcBorders>
            <w:vAlign w:val="center"/>
          </w:tcPr>
          <w:p w14:paraId="0E334B2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10,383,342.13</w:t>
            </w:r>
          </w:p>
        </w:tc>
        <w:tc>
          <w:tcPr>
            <w:tcW w:w="1377" w:type="dxa"/>
            <w:tcBorders>
              <w:top w:val="single" w:color="auto" w:sz="2" w:space="0"/>
              <w:left w:val="single" w:color="auto" w:sz="2" w:space="0"/>
              <w:bottom w:val="single" w:color="auto" w:sz="2" w:space="0"/>
              <w:right w:val="single" w:color="auto" w:sz="2" w:space="0"/>
            </w:tcBorders>
            <w:vAlign w:val="center"/>
          </w:tcPr>
          <w:p w14:paraId="17D35C5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1.38%</w:t>
            </w:r>
          </w:p>
        </w:tc>
        <w:tc>
          <w:tcPr>
            <w:tcW w:w="1377" w:type="dxa"/>
            <w:tcBorders>
              <w:top w:val="single" w:color="auto" w:sz="2" w:space="0"/>
              <w:left w:val="single" w:color="auto" w:sz="2" w:space="0"/>
              <w:bottom w:val="single" w:color="auto" w:sz="2" w:space="0"/>
              <w:right w:val="single" w:color="auto" w:sz="2" w:space="0"/>
            </w:tcBorders>
            <w:vAlign w:val="center"/>
          </w:tcPr>
          <w:p w14:paraId="4C80E6A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-0.80%</w:t>
            </w:r>
          </w:p>
        </w:tc>
        <w:tc>
          <w:tcPr>
            <w:tcW w:w="1377" w:type="dxa"/>
            <w:tcBorders>
              <w:top w:val="single" w:color="auto" w:sz="2" w:space="0"/>
              <w:left w:val="single" w:color="auto" w:sz="2" w:space="0"/>
              <w:bottom w:val="single" w:color="auto" w:sz="2" w:space="0"/>
              <w:right w:val="single" w:color="auto" w:sz="2" w:space="0"/>
            </w:tcBorders>
            <w:vAlign w:val="center"/>
          </w:tcPr>
          <w:p w14:paraId="280A576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计提使用权资产折旧所致</w:t>
            </w:r>
          </w:p>
        </w:tc>
      </w:tr>
      <w:tr w14:paraId="5DD10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EDB20B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短期借款</w:t>
            </w:r>
          </w:p>
        </w:tc>
        <w:tc>
          <w:tcPr>
            <w:tcW w:w="1377" w:type="dxa"/>
            <w:tcBorders>
              <w:top w:val="single" w:color="auto" w:sz="2" w:space="0"/>
              <w:left w:val="single" w:color="auto" w:sz="2" w:space="0"/>
              <w:bottom w:val="single" w:color="auto" w:sz="2" w:space="0"/>
              <w:right w:val="single" w:color="auto" w:sz="2" w:space="0"/>
            </w:tcBorders>
            <w:vAlign w:val="center"/>
          </w:tcPr>
          <w:p w14:paraId="76F3D10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15,000,390.65</w:t>
            </w:r>
          </w:p>
        </w:tc>
        <w:tc>
          <w:tcPr>
            <w:tcW w:w="1377" w:type="dxa"/>
            <w:tcBorders>
              <w:top w:val="single" w:color="auto" w:sz="2" w:space="0"/>
              <w:left w:val="single" w:color="auto" w:sz="2" w:space="0"/>
              <w:bottom w:val="single" w:color="auto" w:sz="2" w:space="0"/>
              <w:right w:val="single" w:color="auto" w:sz="2" w:space="0"/>
            </w:tcBorders>
            <w:vAlign w:val="center"/>
          </w:tcPr>
          <w:p w14:paraId="53AE590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1.86%</w:t>
            </w:r>
          </w:p>
        </w:tc>
        <w:tc>
          <w:tcPr>
            <w:tcW w:w="1377" w:type="dxa"/>
            <w:tcBorders>
              <w:top w:val="single" w:color="auto" w:sz="2" w:space="0"/>
              <w:left w:val="single" w:color="auto" w:sz="2" w:space="0"/>
              <w:bottom w:val="single" w:color="auto" w:sz="2" w:space="0"/>
              <w:right w:val="single" w:color="auto" w:sz="2" w:space="0"/>
            </w:tcBorders>
            <w:vAlign w:val="center"/>
          </w:tcPr>
          <w:p w14:paraId="32E9F4E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20,014,583.21</w:t>
            </w:r>
          </w:p>
        </w:tc>
        <w:tc>
          <w:tcPr>
            <w:tcW w:w="1377" w:type="dxa"/>
            <w:tcBorders>
              <w:top w:val="single" w:color="auto" w:sz="2" w:space="0"/>
              <w:left w:val="single" w:color="auto" w:sz="2" w:space="0"/>
              <w:bottom w:val="single" w:color="auto" w:sz="2" w:space="0"/>
              <w:right w:val="single" w:color="auto" w:sz="2" w:space="0"/>
            </w:tcBorders>
            <w:vAlign w:val="center"/>
          </w:tcPr>
          <w:p w14:paraId="66EFC1A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w:t>
            </w:r>
          </w:p>
        </w:tc>
        <w:tc>
          <w:tcPr>
            <w:tcW w:w="1377" w:type="dxa"/>
            <w:tcBorders>
              <w:top w:val="single" w:color="auto" w:sz="2" w:space="0"/>
              <w:left w:val="single" w:color="auto" w:sz="2" w:space="0"/>
              <w:bottom w:val="single" w:color="auto" w:sz="2" w:space="0"/>
              <w:right w:val="single" w:color="auto" w:sz="2" w:space="0"/>
            </w:tcBorders>
            <w:vAlign w:val="center"/>
          </w:tcPr>
          <w:p w14:paraId="6FA2E57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-0.79%</w:t>
            </w:r>
          </w:p>
        </w:tc>
        <w:tc>
          <w:tcPr>
            <w:tcW w:w="1377" w:type="dxa"/>
            <w:tcBorders>
              <w:top w:val="single" w:color="auto" w:sz="2" w:space="0"/>
              <w:left w:val="single" w:color="auto" w:sz="2" w:space="0"/>
              <w:bottom w:val="single" w:color="auto" w:sz="2" w:space="0"/>
              <w:right w:val="single" w:color="auto" w:sz="2" w:space="0"/>
            </w:tcBorders>
            <w:vAlign w:val="center"/>
          </w:tcPr>
          <w:p w14:paraId="169E1F0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归还银行借款所致</w:t>
            </w:r>
          </w:p>
        </w:tc>
      </w:tr>
      <w:tr w14:paraId="68FF3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89D556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合同负债</w:t>
            </w:r>
          </w:p>
        </w:tc>
        <w:tc>
          <w:tcPr>
            <w:tcW w:w="1377" w:type="dxa"/>
            <w:tcBorders>
              <w:top w:val="single" w:color="auto" w:sz="2" w:space="0"/>
              <w:left w:val="single" w:color="auto" w:sz="2" w:space="0"/>
              <w:bottom w:val="single" w:color="auto" w:sz="2" w:space="0"/>
              <w:right w:val="single" w:color="auto" w:sz="2" w:space="0"/>
            </w:tcBorders>
            <w:vAlign w:val="center"/>
          </w:tcPr>
          <w:p w14:paraId="4677A9B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31,711,176.43</w:t>
            </w:r>
          </w:p>
        </w:tc>
        <w:tc>
          <w:tcPr>
            <w:tcW w:w="1377" w:type="dxa"/>
            <w:tcBorders>
              <w:top w:val="single" w:color="auto" w:sz="2" w:space="0"/>
              <w:left w:val="single" w:color="auto" w:sz="2" w:space="0"/>
              <w:bottom w:val="single" w:color="auto" w:sz="2" w:space="0"/>
              <w:right w:val="single" w:color="auto" w:sz="2" w:space="0"/>
            </w:tcBorders>
            <w:vAlign w:val="center"/>
          </w:tcPr>
          <w:p w14:paraId="505A63D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3.93%</w:t>
            </w:r>
          </w:p>
        </w:tc>
        <w:tc>
          <w:tcPr>
            <w:tcW w:w="1377" w:type="dxa"/>
            <w:tcBorders>
              <w:top w:val="single" w:color="auto" w:sz="2" w:space="0"/>
              <w:left w:val="single" w:color="auto" w:sz="2" w:space="0"/>
              <w:bottom w:val="single" w:color="auto" w:sz="2" w:space="0"/>
              <w:right w:val="single" w:color="auto" w:sz="2" w:space="0"/>
            </w:tcBorders>
            <w:vAlign w:val="center"/>
          </w:tcPr>
          <w:p w14:paraId="54AD22F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28,762,770.74</w:t>
            </w:r>
          </w:p>
        </w:tc>
        <w:tc>
          <w:tcPr>
            <w:tcW w:w="1377" w:type="dxa"/>
            <w:tcBorders>
              <w:top w:val="single" w:color="auto" w:sz="2" w:space="0"/>
              <w:left w:val="single" w:color="auto" w:sz="2" w:space="0"/>
              <w:bottom w:val="single" w:color="auto" w:sz="2" w:space="0"/>
              <w:right w:val="single" w:color="auto" w:sz="2" w:space="0"/>
            </w:tcBorders>
            <w:vAlign w:val="center"/>
          </w:tcPr>
          <w:p w14:paraId="67C685B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3.81%</w:t>
            </w:r>
          </w:p>
        </w:tc>
        <w:tc>
          <w:tcPr>
            <w:tcW w:w="1377" w:type="dxa"/>
            <w:tcBorders>
              <w:top w:val="single" w:color="auto" w:sz="2" w:space="0"/>
              <w:left w:val="single" w:color="auto" w:sz="2" w:space="0"/>
              <w:bottom w:val="single" w:color="auto" w:sz="2" w:space="0"/>
              <w:right w:val="single" w:color="auto" w:sz="2" w:space="0"/>
            </w:tcBorders>
            <w:vAlign w:val="center"/>
          </w:tcPr>
          <w:p w14:paraId="33C74A7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0.12%</w:t>
            </w:r>
          </w:p>
        </w:tc>
        <w:tc>
          <w:tcPr>
            <w:tcW w:w="1377" w:type="dxa"/>
            <w:tcBorders>
              <w:top w:val="single" w:color="auto" w:sz="2" w:space="0"/>
              <w:left w:val="single" w:color="auto" w:sz="2" w:space="0"/>
              <w:bottom w:val="single" w:color="auto" w:sz="2" w:space="0"/>
              <w:right w:val="single" w:color="auto" w:sz="2" w:space="0"/>
            </w:tcBorders>
            <w:vAlign w:val="center"/>
          </w:tcPr>
          <w:p w14:paraId="153DA21E">
            <w:pPr>
              <w:spacing w:before="0" w:after="0" w:line="240" w:lineRule="exact"/>
              <w:jc w:val="left"/>
              <w:rPr>
                <w:rFonts w:hint="default" w:ascii="Times New Roman" w:hAnsi="Times New Roman" w:eastAsia="宋体" w:cs="Times New Roman"/>
                <w:sz w:val="18"/>
                <w:szCs w:val="18"/>
              </w:rPr>
            </w:pPr>
          </w:p>
        </w:tc>
      </w:tr>
      <w:tr w14:paraId="0A974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54C3DA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长期借款</w:t>
            </w:r>
          </w:p>
        </w:tc>
        <w:tc>
          <w:tcPr>
            <w:tcW w:w="1377" w:type="dxa"/>
            <w:tcBorders>
              <w:top w:val="single" w:color="auto" w:sz="2" w:space="0"/>
              <w:left w:val="single" w:color="auto" w:sz="2" w:space="0"/>
              <w:bottom w:val="single" w:color="auto" w:sz="2" w:space="0"/>
              <w:right w:val="single" w:color="auto" w:sz="2" w:space="0"/>
            </w:tcBorders>
            <w:vAlign w:val="center"/>
          </w:tcPr>
          <w:p w14:paraId="5E3D049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103,893,230.00</w:t>
            </w:r>
          </w:p>
        </w:tc>
        <w:tc>
          <w:tcPr>
            <w:tcW w:w="1377" w:type="dxa"/>
            <w:tcBorders>
              <w:top w:val="single" w:color="auto" w:sz="2" w:space="0"/>
              <w:left w:val="single" w:color="auto" w:sz="2" w:space="0"/>
              <w:bottom w:val="single" w:color="auto" w:sz="2" w:space="0"/>
              <w:right w:val="single" w:color="auto" w:sz="2" w:space="0"/>
            </w:tcBorders>
            <w:vAlign w:val="center"/>
          </w:tcPr>
          <w:p w14:paraId="681962C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12.88%</w:t>
            </w:r>
          </w:p>
        </w:tc>
        <w:tc>
          <w:tcPr>
            <w:tcW w:w="1377" w:type="dxa"/>
            <w:tcBorders>
              <w:top w:val="single" w:color="auto" w:sz="2" w:space="0"/>
              <w:left w:val="single" w:color="auto" w:sz="2" w:space="0"/>
              <w:bottom w:val="single" w:color="auto" w:sz="2" w:space="0"/>
              <w:right w:val="single" w:color="auto" w:sz="2" w:space="0"/>
            </w:tcBorders>
            <w:vAlign w:val="center"/>
          </w:tcPr>
          <w:p w14:paraId="5558DF7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76,000,000.00</w:t>
            </w:r>
          </w:p>
        </w:tc>
        <w:tc>
          <w:tcPr>
            <w:tcW w:w="1377" w:type="dxa"/>
            <w:tcBorders>
              <w:top w:val="single" w:color="auto" w:sz="2" w:space="0"/>
              <w:left w:val="single" w:color="auto" w:sz="2" w:space="0"/>
              <w:bottom w:val="single" w:color="auto" w:sz="2" w:space="0"/>
              <w:right w:val="single" w:color="auto" w:sz="2" w:space="0"/>
            </w:tcBorders>
            <w:vAlign w:val="center"/>
          </w:tcPr>
          <w:p w14:paraId="10FCCF5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10.07%</w:t>
            </w:r>
          </w:p>
        </w:tc>
        <w:tc>
          <w:tcPr>
            <w:tcW w:w="1377" w:type="dxa"/>
            <w:tcBorders>
              <w:top w:val="single" w:color="auto" w:sz="2" w:space="0"/>
              <w:left w:val="single" w:color="auto" w:sz="2" w:space="0"/>
              <w:bottom w:val="single" w:color="auto" w:sz="2" w:space="0"/>
              <w:right w:val="single" w:color="auto" w:sz="2" w:space="0"/>
            </w:tcBorders>
            <w:vAlign w:val="center"/>
          </w:tcPr>
          <w:p w14:paraId="3012E41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2.81%</w:t>
            </w:r>
          </w:p>
        </w:tc>
        <w:tc>
          <w:tcPr>
            <w:tcW w:w="1377" w:type="dxa"/>
            <w:tcBorders>
              <w:top w:val="single" w:color="auto" w:sz="2" w:space="0"/>
              <w:left w:val="single" w:color="auto" w:sz="2" w:space="0"/>
              <w:bottom w:val="single" w:color="auto" w:sz="2" w:space="0"/>
              <w:right w:val="single" w:color="auto" w:sz="2" w:space="0"/>
            </w:tcBorders>
            <w:vAlign w:val="center"/>
          </w:tcPr>
          <w:p w14:paraId="610A813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天昊中山医药科技项目专项贷款增加所致</w:t>
            </w:r>
          </w:p>
        </w:tc>
      </w:tr>
      <w:tr w14:paraId="6CF07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880623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租赁负债</w:t>
            </w:r>
          </w:p>
        </w:tc>
        <w:tc>
          <w:tcPr>
            <w:tcW w:w="1377" w:type="dxa"/>
            <w:tcBorders>
              <w:top w:val="single" w:color="auto" w:sz="2" w:space="0"/>
              <w:left w:val="single" w:color="auto" w:sz="2" w:space="0"/>
              <w:bottom w:val="single" w:color="auto" w:sz="2" w:space="0"/>
              <w:right w:val="single" w:color="auto" w:sz="2" w:space="0"/>
            </w:tcBorders>
            <w:vAlign w:val="center"/>
          </w:tcPr>
          <w:p w14:paraId="1807B6F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1,852,983.47</w:t>
            </w:r>
          </w:p>
        </w:tc>
        <w:tc>
          <w:tcPr>
            <w:tcW w:w="1377" w:type="dxa"/>
            <w:tcBorders>
              <w:top w:val="single" w:color="auto" w:sz="2" w:space="0"/>
              <w:left w:val="single" w:color="auto" w:sz="2" w:space="0"/>
              <w:bottom w:val="single" w:color="auto" w:sz="2" w:space="0"/>
              <w:right w:val="single" w:color="auto" w:sz="2" w:space="0"/>
            </w:tcBorders>
            <w:vAlign w:val="center"/>
          </w:tcPr>
          <w:p w14:paraId="0377C9F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0.23%</w:t>
            </w:r>
          </w:p>
        </w:tc>
        <w:tc>
          <w:tcPr>
            <w:tcW w:w="1377" w:type="dxa"/>
            <w:tcBorders>
              <w:top w:val="single" w:color="auto" w:sz="2" w:space="0"/>
              <w:left w:val="single" w:color="auto" w:sz="2" w:space="0"/>
              <w:bottom w:val="single" w:color="auto" w:sz="2" w:space="0"/>
              <w:right w:val="single" w:color="auto" w:sz="2" w:space="0"/>
            </w:tcBorders>
            <w:vAlign w:val="center"/>
          </w:tcPr>
          <w:p w14:paraId="2F1A0D9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6,615,111.89</w:t>
            </w:r>
          </w:p>
        </w:tc>
        <w:tc>
          <w:tcPr>
            <w:tcW w:w="1377" w:type="dxa"/>
            <w:tcBorders>
              <w:top w:val="single" w:color="auto" w:sz="2" w:space="0"/>
              <w:left w:val="single" w:color="auto" w:sz="2" w:space="0"/>
              <w:bottom w:val="single" w:color="auto" w:sz="2" w:space="0"/>
              <w:right w:val="single" w:color="auto" w:sz="2" w:space="0"/>
            </w:tcBorders>
            <w:vAlign w:val="center"/>
          </w:tcPr>
          <w:p w14:paraId="5411EDD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0.88%</w:t>
            </w:r>
          </w:p>
        </w:tc>
        <w:tc>
          <w:tcPr>
            <w:tcW w:w="1377" w:type="dxa"/>
            <w:tcBorders>
              <w:top w:val="single" w:color="auto" w:sz="2" w:space="0"/>
              <w:left w:val="single" w:color="auto" w:sz="2" w:space="0"/>
              <w:bottom w:val="single" w:color="auto" w:sz="2" w:space="0"/>
              <w:right w:val="single" w:color="auto" w:sz="2" w:space="0"/>
            </w:tcBorders>
            <w:vAlign w:val="center"/>
          </w:tcPr>
          <w:p w14:paraId="1353707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-0.65%</w:t>
            </w:r>
          </w:p>
        </w:tc>
        <w:tc>
          <w:tcPr>
            <w:tcW w:w="1377" w:type="dxa"/>
            <w:tcBorders>
              <w:top w:val="single" w:color="auto" w:sz="2" w:space="0"/>
              <w:left w:val="single" w:color="auto" w:sz="2" w:space="0"/>
              <w:bottom w:val="single" w:color="auto" w:sz="2" w:space="0"/>
              <w:right w:val="single" w:color="auto" w:sz="2" w:space="0"/>
            </w:tcBorders>
            <w:vAlign w:val="center"/>
          </w:tcPr>
          <w:p w14:paraId="05714E5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支付租赁款所致</w:t>
            </w:r>
          </w:p>
        </w:tc>
      </w:tr>
    </w:tbl>
    <w:p w14:paraId="3BBF29AA">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境外资产占比较高</w:t>
      </w:r>
    </w:p>
    <w:p w14:paraId="5CA91508">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4B7284FC">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51" w:name="_Toc988922"/>
      <w:r>
        <w:rPr>
          <w:rFonts w:hint="default" w:ascii="Times New Roman" w:hAnsi="Times New Roman" w:eastAsia="宋体" w:cs="Times New Roman"/>
          <w:b/>
          <w:bCs/>
          <w:sz w:val="21"/>
          <w:szCs w:val="21"/>
        </w:rPr>
        <w:t>2、以公允价值计量的资产和负债</w:t>
      </w:r>
      <w:bookmarkEnd w:id="51"/>
    </w:p>
    <w:p w14:paraId="598336CF">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p w14:paraId="18088FEF">
      <w:pPr>
        <w:spacing w:before="120" w:after="12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2B5F1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88D705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B41C6F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期初数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A28A08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本期公允价值变动损益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62DB9A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计入权益的累计公允价值变动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4EA205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本期计提的减值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E2FE2F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本期购买金额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25D336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本期出售金额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51D2B0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F8773C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期末数</w:t>
            </w:r>
          </w:p>
        </w:tc>
      </w:tr>
      <w:tr w14:paraId="72DC4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14:paraId="436B724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金融资产</w:t>
            </w:r>
          </w:p>
        </w:tc>
      </w:tr>
      <w:tr w14:paraId="11750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8CD50D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4.其他权益工具投资</w:t>
            </w:r>
          </w:p>
        </w:tc>
        <w:tc>
          <w:tcPr>
            <w:tcW w:w="1071" w:type="dxa"/>
            <w:tcBorders>
              <w:top w:val="single" w:color="auto" w:sz="2" w:space="0"/>
              <w:left w:val="single" w:color="auto" w:sz="2" w:space="0"/>
              <w:bottom w:val="single" w:color="auto" w:sz="2" w:space="0"/>
              <w:right w:val="single" w:color="auto" w:sz="2" w:space="0"/>
            </w:tcBorders>
            <w:vAlign w:val="center"/>
          </w:tcPr>
          <w:p w14:paraId="06539F4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18,000,000.00</w:t>
            </w:r>
          </w:p>
        </w:tc>
        <w:tc>
          <w:tcPr>
            <w:tcW w:w="1071" w:type="dxa"/>
            <w:tcBorders>
              <w:top w:val="single" w:color="auto" w:sz="2" w:space="0"/>
              <w:left w:val="single" w:color="auto" w:sz="2" w:space="0"/>
              <w:bottom w:val="single" w:color="auto" w:sz="2" w:space="0"/>
              <w:right w:val="single" w:color="auto" w:sz="2" w:space="0"/>
            </w:tcBorders>
            <w:vAlign w:val="center"/>
          </w:tcPr>
          <w:p w14:paraId="55EBF433">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F896B71">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A2E43B1">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6343B3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133811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3,000,000.00</w:t>
            </w:r>
          </w:p>
        </w:tc>
        <w:tc>
          <w:tcPr>
            <w:tcW w:w="1071" w:type="dxa"/>
            <w:tcBorders>
              <w:top w:val="single" w:color="auto" w:sz="2" w:space="0"/>
              <w:left w:val="single" w:color="auto" w:sz="2" w:space="0"/>
              <w:bottom w:val="single" w:color="auto" w:sz="2" w:space="0"/>
              <w:right w:val="single" w:color="auto" w:sz="2" w:space="0"/>
            </w:tcBorders>
            <w:vAlign w:val="center"/>
          </w:tcPr>
          <w:p w14:paraId="345A105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FE4980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15,000,000.00</w:t>
            </w:r>
          </w:p>
        </w:tc>
      </w:tr>
      <w:tr w14:paraId="52678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25B246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上述合计</w:t>
            </w:r>
          </w:p>
        </w:tc>
        <w:tc>
          <w:tcPr>
            <w:tcW w:w="1071" w:type="dxa"/>
            <w:tcBorders>
              <w:top w:val="single" w:color="auto" w:sz="2" w:space="0"/>
              <w:left w:val="single" w:color="auto" w:sz="2" w:space="0"/>
              <w:bottom w:val="single" w:color="auto" w:sz="2" w:space="0"/>
              <w:right w:val="single" w:color="auto" w:sz="2" w:space="0"/>
            </w:tcBorders>
            <w:vAlign w:val="center"/>
          </w:tcPr>
          <w:p w14:paraId="139574B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18,000,000.00</w:t>
            </w:r>
          </w:p>
        </w:tc>
        <w:tc>
          <w:tcPr>
            <w:tcW w:w="1071" w:type="dxa"/>
            <w:tcBorders>
              <w:top w:val="single" w:color="auto" w:sz="2" w:space="0"/>
              <w:left w:val="single" w:color="auto" w:sz="2" w:space="0"/>
              <w:bottom w:val="single" w:color="auto" w:sz="2" w:space="0"/>
              <w:right w:val="single" w:color="auto" w:sz="2" w:space="0"/>
            </w:tcBorders>
            <w:vAlign w:val="center"/>
          </w:tcPr>
          <w:p w14:paraId="7B5D6D38">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3382C83">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A499E7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950DA87">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B1D535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3,000,000.00</w:t>
            </w:r>
          </w:p>
        </w:tc>
        <w:tc>
          <w:tcPr>
            <w:tcW w:w="1071" w:type="dxa"/>
            <w:tcBorders>
              <w:top w:val="single" w:color="auto" w:sz="2" w:space="0"/>
              <w:left w:val="single" w:color="auto" w:sz="2" w:space="0"/>
              <w:bottom w:val="single" w:color="auto" w:sz="2" w:space="0"/>
              <w:right w:val="single" w:color="auto" w:sz="2" w:space="0"/>
            </w:tcBorders>
            <w:vAlign w:val="center"/>
          </w:tcPr>
          <w:p w14:paraId="7C772004">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742B3B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15,000,000.00</w:t>
            </w:r>
          </w:p>
        </w:tc>
      </w:tr>
      <w:tr w14:paraId="75D77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B0D92B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金融负债</w:t>
            </w:r>
          </w:p>
        </w:tc>
        <w:tc>
          <w:tcPr>
            <w:tcW w:w="1071" w:type="dxa"/>
            <w:tcBorders>
              <w:top w:val="single" w:color="auto" w:sz="2" w:space="0"/>
              <w:left w:val="single" w:color="auto" w:sz="2" w:space="0"/>
              <w:bottom w:val="single" w:color="auto" w:sz="2" w:space="0"/>
              <w:right w:val="single" w:color="auto" w:sz="2" w:space="0"/>
            </w:tcBorders>
            <w:vAlign w:val="center"/>
          </w:tcPr>
          <w:p w14:paraId="592BAFC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14:paraId="6F8923D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6512EB3">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849EF8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FA92C9D">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2EEE0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14:paraId="3573D581">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4034EC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bl>
    <w:p w14:paraId="3CA61896">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其他变动的内容</w:t>
      </w:r>
    </w:p>
    <w:p w14:paraId="1002924B">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报告期内公司主要资产计量属性是否发生重大变化</w:t>
      </w:r>
    </w:p>
    <w:p w14:paraId="2C137FC6">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□是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否</w:t>
      </w:r>
    </w:p>
    <w:p w14:paraId="2AA04433">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52" w:name="_Toc988923"/>
      <w:r>
        <w:rPr>
          <w:rFonts w:hint="default" w:ascii="Times New Roman" w:hAnsi="Times New Roman" w:eastAsia="宋体" w:cs="Times New Roman"/>
          <w:b/>
          <w:bCs/>
          <w:sz w:val="21"/>
          <w:szCs w:val="21"/>
        </w:rPr>
        <w:t>3、截至报告期末的资产权利受限情况</w:t>
      </w:r>
      <w:bookmarkEnd w:id="52"/>
    </w:p>
    <w:p w14:paraId="6351F1A0">
      <w:pPr>
        <w:pStyle w:val="6"/>
        <w:keepNext w:val="0"/>
        <w:keepLines w:val="0"/>
        <w:widowControl/>
        <w:suppressLineNumbers w:val="0"/>
        <w:rPr>
          <w:rFonts w:hint="default" w:ascii="Times New Roman" w:hAnsi="Times New Roman" w:cs="Times New Roman"/>
        </w:rPr>
      </w:pPr>
      <w:r>
        <w:rPr>
          <w:rFonts w:hint="default" w:ascii="Times New Roman" w:hAnsi="Times New Roman" w:eastAsia="宋体" w:cs="Times New Roman"/>
          <w:sz w:val="18"/>
          <w:szCs w:val="18"/>
        </w:rPr>
        <w:t>因办理ETC业务冻结2000元保证金。</w:t>
      </w:r>
    </w:p>
    <w:p w14:paraId="2CBFD544">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53" w:name="_Toc24398"/>
      <w:bookmarkStart w:id="54" w:name="_Toc988924"/>
      <w:r>
        <w:rPr>
          <w:rFonts w:hint="default" w:ascii="Times New Roman" w:hAnsi="Times New Roman" w:eastAsia="宋体" w:cs="Times New Roman"/>
          <w:b/>
          <w:bCs/>
          <w:sz w:val="24"/>
          <w:szCs w:val="24"/>
        </w:rPr>
        <w:t>七、投资状况分析</w:t>
      </w:r>
      <w:bookmarkEnd w:id="53"/>
      <w:bookmarkEnd w:id="54"/>
    </w:p>
    <w:p w14:paraId="14566230">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55" w:name="_Toc988925"/>
      <w:r>
        <w:rPr>
          <w:rFonts w:hint="default" w:ascii="Times New Roman" w:hAnsi="Times New Roman" w:eastAsia="宋体" w:cs="Times New Roman"/>
          <w:b/>
          <w:bCs/>
          <w:sz w:val="21"/>
          <w:szCs w:val="21"/>
        </w:rPr>
        <w:t>1、总体情况</w:t>
      </w:r>
      <w:bookmarkEnd w:id="55"/>
    </w:p>
    <w:p w14:paraId="726B6187">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E2F5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48349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038F9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上年同期投资额（元）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04422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变动幅度</w:t>
            </w:r>
          </w:p>
        </w:tc>
      </w:tr>
      <w:tr w14:paraId="0EDA6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AA1B6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39,368,477.33</w:t>
            </w:r>
          </w:p>
        </w:tc>
        <w:tc>
          <w:tcPr>
            <w:tcW w:w="3213" w:type="dxa"/>
            <w:tcBorders>
              <w:top w:val="single" w:color="auto" w:sz="2" w:space="0"/>
              <w:left w:val="single" w:color="auto" w:sz="2" w:space="0"/>
              <w:bottom w:val="single" w:color="auto" w:sz="2" w:space="0"/>
              <w:right w:val="single" w:color="auto" w:sz="2" w:space="0"/>
            </w:tcBorders>
            <w:vAlign w:val="center"/>
          </w:tcPr>
          <w:p w14:paraId="456244C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95,852,658.37</w:t>
            </w:r>
          </w:p>
        </w:tc>
        <w:tc>
          <w:tcPr>
            <w:tcW w:w="3213" w:type="dxa"/>
            <w:tcBorders>
              <w:top w:val="single" w:color="auto" w:sz="2" w:space="0"/>
              <w:left w:val="single" w:color="auto" w:sz="2" w:space="0"/>
              <w:bottom w:val="single" w:color="auto" w:sz="2" w:space="0"/>
              <w:right w:val="single" w:color="auto" w:sz="2" w:space="0"/>
            </w:tcBorders>
            <w:vAlign w:val="center"/>
          </w:tcPr>
          <w:p w14:paraId="26C7A0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-58.93%</w:t>
            </w:r>
          </w:p>
        </w:tc>
      </w:tr>
    </w:tbl>
    <w:p w14:paraId="2137CEC1">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56" w:name="_Toc988926"/>
      <w:r>
        <w:rPr>
          <w:rFonts w:hint="default" w:ascii="Times New Roman" w:hAnsi="Times New Roman" w:eastAsia="宋体" w:cs="Times New Roman"/>
          <w:b/>
          <w:bCs/>
          <w:sz w:val="21"/>
          <w:szCs w:val="21"/>
        </w:rPr>
        <w:t>2、报告期内获取的重大的股权投资情况</w:t>
      </w:r>
      <w:bookmarkEnd w:id="56"/>
    </w:p>
    <w:p w14:paraId="0E3376F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1CE38D00">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57" w:name="_Toc988927"/>
      <w:r>
        <w:rPr>
          <w:rFonts w:hint="default" w:ascii="Times New Roman" w:hAnsi="Times New Roman" w:eastAsia="宋体" w:cs="Times New Roman"/>
          <w:b/>
          <w:bCs/>
          <w:sz w:val="21"/>
          <w:szCs w:val="21"/>
        </w:rPr>
        <w:t>3、报告期内正在进行的重大的非股权投资情况</w:t>
      </w:r>
      <w:bookmarkEnd w:id="57"/>
    </w:p>
    <w:p w14:paraId="27CB82C3">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p w14:paraId="14C6C5C8">
      <w:pPr>
        <w:spacing w:before="120" w:after="12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14:paraId="72D3C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869FBE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2A01ED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投资方式</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D04615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是否为固定资产投资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E4E70E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投资项目涉及行业</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60C0CB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本报告期投入金额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0252D2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截至报告期末累计实际投入金额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3A20B5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资金来源</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113FEF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A9092F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预计收益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FD428F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截止报告期末累计实现的收益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7FDF27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未达到计划进度和预计收益的原因</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1CAEC8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披露日期（如有）</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2D38F7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披露索引（如有）</w:t>
            </w:r>
          </w:p>
        </w:tc>
      </w:tr>
      <w:tr w14:paraId="0D8E3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66F77F3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天昊中山医药科技项目-乳膏技改项目</w:t>
            </w:r>
          </w:p>
        </w:tc>
        <w:tc>
          <w:tcPr>
            <w:tcW w:w="741" w:type="dxa"/>
            <w:tcBorders>
              <w:top w:val="single" w:color="auto" w:sz="2" w:space="0"/>
              <w:left w:val="single" w:color="auto" w:sz="2" w:space="0"/>
              <w:bottom w:val="single" w:color="auto" w:sz="2" w:space="0"/>
              <w:right w:val="single" w:color="auto" w:sz="2" w:space="0"/>
            </w:tcBorders>
            <w:vAlign w:val="center"/>
          </w:tcPr>
          <w:p w14:paraId="3ED58E6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自建</w:t>
            </w:r>
          </w:p>
        </w:tc>
        <w:tc>
          <w:tcPr>
            <w:tcW w:w="741" w:type="dxa"/>
            <w:tcBorders>
              <w:top w:val="single" w:color="auto" w:sz="2" w:space="0"/>
              <w:left w:val="single" w:color="auto" w:sz="2" w:space="0"/>
              <w:bottom w:val="single" w:color="auto" w:sz="2" w:space="0"/>
              <w:right w:val="single" w:color="auto" w:sz="2" w:space="0"/>
            </w:tcBorders>
            <w:vAlign w:val="center"/>
          </w:tcPr>
          <w:p w14:paraId="2D28003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w:t>
            </w:r>
          </w:p>
        </w:tc>
        <w:tc>
          <w:tcPr>
            <w:tcW w:w="741" w:type="dxa"/>
            <w:tcBorders>
              <w:top w:val="single" w:color="auto" w:sz="2" w:space="0"/>
              <w:left w:val="single" w:color="auto" w:sz="2" w:space="0"/>
              <w:bottom w:val="single" w:color="auto" w:sz="2" w:space="0"/>
              <w:right w:val="single" w:color="auto" w:sz="2" w:space="0"/>
            </w:tcBorders>
            <w:vAlign w:val="center"/>
          </w:tcPr>
          <w:p w14:paraId="5F4C1A8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药品生产、批发、零售等</w:t>
            </w:r>
          </w:p>
        </w:tc>
        <w:tc>
          <w:tcPr>
            <w:tcW w:w="741" w:type="dxa"/>
            <w:tcBorders>
              <w:top w:val="single" w:color="auto" w:sz="2" w:space="0"/>
              <w:left w:val="single" w:color="auto" w:sz="2" w:space="0"/>
              <w:bottom w:val="single" w:color="auto" w:sz="2" w:space="0"/>
              <w:right w:val="single" w:color="auto" w:sz="2" w:space="0"/>
            </w:tcBorders>
            <w:vAlign w:val="center"/>
          </w:tcPr>
          <w:p w14:paraId="4509DA4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15,483,362.56</w:t>
            </w:r>
          </w:p>
        </w:tc>
        <w:tc>
          <w:tcPr>
            <w:tcW w:w="741" w:type="dxa"/>
            <w:tcBorders>
              <w:top w:val="single" w:color="auto" w:sz="2" w:space="0"/>
              <w:left w:val="single" w:color="auto" w:sz="2" w:space="0"/>
              <w:bottom w:val="single" w:color="auto" w:sz="2" w:space="0"/>
              <w:right w:val="single" w:color="auto" w:sz="2" w:space="0"/>
            </w:tcBorders>
            <w:vAlign w:val="center"/>
          </w:tcPr>
          <w:p w14:paraId="5E20523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15,483,362.56</w:t>
            </w:r>
          </w:p>
        </w:tc>
        <w:tc>
          <w:tcPr>
            <w:tcW w:w="741" w:type="dxa"/>
            <w:tcBorders>
              <w:top w:val="single" w:color="auto" w:sz="2" w:space="0"/>
              <w:left w:val="single" w:color="auto" w:sz="2" w:space="0"/>
              <w:bottom w:val="single" w:color="auto" w:sz="2" w:space="0"/>
              <w:right w:val="single" w:color="auto" w:sz="2" w:space="0"/>
            </w:tcBorders>
            <w:vAlign w:val="center"/>
          </w:tcPr>
          <w:p w14:paraId="35209E3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自有资金、金融机构贷款</w:t>
            </w:r>
          </w:p>
        </w:tc>
        <w:tc>
          <w:tcPr>
            <w:tcW w:w="741" w:type="dxa"/>
            <w:tcBorders>
              <w:top w:val="single" w:color="auto" w:sz="2" w:space="0"/>
              <w:left w:val="single" w:color="auto" w:sz="2" w:space="0"/>
              <w:bottom w:val="single" w:color="auto" w:sz="2" w:space="0"/>
              <w:right w:val="single" w:color="auto" w:sz="2" w:space="0"/>
            </w:tcBorders>
            <w:vAlign w:val="center"/>
          </w:tcPr>
          <w:p w14:paraId="4659BF9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65.00%</w:t>
            </w:r>
          </w:p>
        </w:tc>
        <w:tc>
          <w:tcPr>
            <w:tcW w:w="741" w:type="dxa"/>
            <w:tcBorders>
              <w:top w:val="single" w:color="auto" w:sz="2" w:space="0"/>
              <w:left w:val="single" w:color="auto" w:sz="2" w:space="0"/>
              <w:bottom w:val="single" w:color="auto" w:sz="2" w:space="0"/>
              <w:right w:val="single" w:color="auto" w:sz="2" w:space="0"/>
            </w:tcBorders>
            <w:vAlign w:val="center"/>
          </w:tcPr>
          <w:p w14:paraId="07AE4A4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3583AE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98610E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741" w:type="dxa"/>
            <w:tcBorders>
              <w:top w:val="single" w:color="auto" w:sz="2" w:space="0"/>
              <w:left w:val="single" w:color="auto" w:sz="2" w:space="0"/>
              <w:bottom w:val="single" w:color="auto" w:sz="2" w:space="0"/>
              <w:right w:val="single" w:color="auto" w:sz="2" w:space="0"/>
            </w:tcBorders>
            <w:vAlign w:val="center"/>
          </w:tcPr>
          <w:p w14:paraId="05B19FB5">
            <w:pPr>
              <w:spacing w:before="0" w:after="0" w:line="240" w:lineRule="exact"/>
              <w:jc w:val="lef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3316B17">
            <w:pPr>
              <w:spacing w:before="0" w:after="0" w:line="240" w:lineRule="exact"/>
              <w:jc w:val="left"/>
              <w:rPr>
                <w:rFonts w:hint="default" w:ascii="Times New Roman" w:hAnsi="Times New Roman" w:eastAsia="宋体" w:cs="Times New Roman"/>
                <w:sz w:val="18"/>
                <w:szCs w:val="18"/>
              </w:rPr>
            </w:pPr>
          </w:p>
        </w:tc>
      </w:tr>
      <w:tr w14:paraId="12B76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9855DE8">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F55B96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0692A5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8E3C1D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741" w:type="dxa"/>
            <w:tcBorders>
              <w:top w:val="single" w:color="auto" w:sz="2" w:space="0"/>
              <w:left w:val="single" w:color="auto" w:sz="2" w:space="0"/>
              <w:bottom w:val="single" w:color="auto" w:sz="2" w:space="0"/>
              <w:right w:val="single" w:color="auto" w:sz="2" w:space="0"/>
            </w:tcBorders>
            <w:vAlign w:val="center"/>
          </w:tcPr>
          <w:p w14:paraId="32B3403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15,483,362.56</w:t>
            </w:r>
          </w:p>
        </w:tc>
        <w:tc>
          <w:tcPr>
            <w:tcW w:w="741" w:type="dxa"/>
            <w:tcBorders>
              <w:top w:val="single" w:color="auto" w:sz="2" w:space="0"/>
              <w:left w:val="single" w:color="auto" w:sz="2" w:space="0"/>
              <w:bottom w:val="single" w:color="auto" w:sz="2" w:space="0"/>
              <w:right w:val="single" w:color="auto" w:sz="2" w:space="0"/>
            </w:tcBorders>
            <w:vAlign w:val="center"/>
          </w:tcPr>
          <w:p w14:paraId="70CE315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15,483,362.56</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752920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2485DF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741" w:type="dxa"/>
            <w:tcBorders>
              <w:top w:val="single" w:color="auto" w:sz="2" w:space="0"/>
              <w:left w:val="single" w:color="auto" w:sz="2" w:space="0"/>
              <w:bottom w:val="single" w:color="auto" w:sz="2" w:space="0"/>
              <w:right w:val="single" w:color="auto" w:sz="2" w:space="0"/>
            </w:tcBorders>
            <w:vAlign w:val="center"/>
          </w:tcPr>
          <w:p w14:paraId="4E8296A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3DF4BD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5E2EA5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32AC78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BB34B3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r>
    </w:tbl>
    <w:p w14:paraId="0EFBACF4">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58" w:name="_Toc988928"/>
      <w:r>
        <w:rPr>
          <w:rFonts w:hint="default" w:ascii="Times New Roman" w:hAnsi="Times New Roman" w:eastAsia="宋体" w:cs="Times New Roman"/>
          <w:b/>
          <w:bCs/>
          <w:sz w:val="21"/>
          <w:szCs w:val="21"/>
        </w:rPr>
        <w:t>4、金融资产投资</w:t>
      </w:r>
      <w:bookmarkEnd w:id="58"/>
    </w:p>
    <w:p w14:paraId="274E8262">
      <w:pPr>
        <w:keepNext/>
        <w:keepLines/>
        <w:spacing w:before="300" w:after="300" w:line="280" w:lineRule="exact"/>
        <w:jc w:val="left"/>
        <w:outlineLvl w:val="3"/>
        <w:rPr>
          <w:rFonts w:hint="default" w:ascii="Times New Roman" w:hAnsi="Times New Roman" w:eastAsia="宋体" w:cs="Times New Roman"/>
          <w:b/>
          <w:bCs/>
          <w:sz w:val="18"/>
          <w:szCs w:val="18"/>
        </w:rPr>
      </w:pPr>
      <w:bookmarkStart w:id="59" w:name="_Toc988929"/>
      <w:r>
        <w:rPr>
          <w:rFonts w:hint="default" w:ascii="Times New Roman" w:hAnsi="Times New Roman" w:eastAsia="宋体" w:cs="Times New Roman"/>
          <w:b/>
          <w:bCs/>
          <w:sz w:val="18"/>
          <w:szCs w:val="18"/>
        </w:rPr>
        <w:t>（1） 证券投资情况</w:t>
      </w:r>
      <w:bookmarkEnd w:id="59"/>
    </w:p>
    <w:p w14:paraId="2D30B6CC">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01813FB3">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公司报告期不存在证券投资。</w:t>
      </w:r>
    </w:p>
    <w:p w14:paraId="0F919A75">
      <w:pPr>
        <w:keepNext/>
        <w:keepLines/>
        <w:spacing w:before="300" w:after="300" w:line="280" w:lineRule="exact"/>
        <w:jc w:val="left"/>
        <w:outlineLvl w:val="3"/>
        <w:rPr>
          <w:rFonts w:hint="default" w:ascii="Times New Roman" w:hAnsi="Times New Roman" w:eastAsia="宋体" w:cs="Times New Roman"/>
          <w:b/>
          <w:bCs/>
          <w:sz w:val="18"/>
          <w:szCs w:val="18"/>
        </w:rPr>
      </w:pPr>
      <w:bookmarkStart w:id="60" w:name="_Toc988930"/>
      <w:r>
        <w:rPr>
          <w:rFonts w:hint="default" w:ascii="Times New Roman" w:hAnsi="Times New Roman" w:eastAsia="宋体" w:cs="Times New Roman"/>
          <w:b/>
          <w:bCs/>
          <w:sz w:val="18"/>
          <w:szCs w:val="18"/>
        </w:rPr>
        <w:t>（2） 衍生品投资情况</w:t>
      </w:r>
      <w:bookmarkEnd w:id="60"/>
    </w:p>
    <w:p w14:paraId="266EA357">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10D8861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公司报告期不存在衍生品投资。</w:t>
      </w:r>
    </w:p>
    <w:p w14:paraId="75B53489">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61" w:name="_Toc14775"/>
      <w:bookmarkStart w:id="62" w:name="_Toc988931"/>
      <w:r>
        <w:rPr>
          <w:rFonts w:hint="default" w:ascii="Times New Roman" w:hAnsi="Times New Roman" w:eastAsia="宋体" w:cs="Times New Roman"/>
          <w:b/>
          <w:bCs/>
          <w:sz w:val="24"/>
          <w:szCs w:val="24"/>
        </w:rPr>
        <w:t>八、重大资产和股权出售</w:t>
      </w:r>
      <w:bookmarkEnd w:id="61"/>
      <w:bookmarkEnd w:id="62"/>
    </w:p>
    <w:p w14:paraId="641ED328">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63" w:name="_Toc988932"/>
      <w:r>
        <w:rPr>
          <w:rFonts w:hint="default" w:ascii="Times New Roman" w:hAnsi="Times New Roman" w:eastAsia="宋体" w:cs="Times New Roman"/>
          <w:b/>
          <w:bCs/>
          <w:sz w:val="21"/>
          <w:szCs w:val="21"/>
        </w:rPr>
        <w:t>1、出售重大资产情况</w:t>
      </w:r>
      <w:bookmarkEnd w:id="63"/>
    </w:p>
    <w:p w14:paraId="79EFA1A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0047AD88">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公司报告期未出售重大资产。</w:t>
      </w:r>
    </w:p>
    <w:p w14:paraId="4F4CE748">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64" w:name="_Toc988933"/>
      <w:r>
        <w:rPr>
          <w:rFonts w:hint="default" w:ascii="Times New Roman" w:hAnsi="Times New Roman" w:eastAsia="宋体" w:cs="Times New Roman"/>
          <w:b/>
          <w:bCs/>
          <w:sz w:val="21"/>
          <w:szCs w:val="21"/>
        </w:rPr>
        <w:t>2、出售重大股权情况</w:t>
      </w:r>
      <w:bookmarkEnd w:id="64"/>
    </w:p>
    <w:p w14:paraId="2D25DFC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3054D449">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65" w:name="_Toc3245"/>
      <w:bookmarkStart w:id="66" w:name="_Toc988934"/>
      <w:r>
        <w:rPr>
          <w:rFonts w:hint="default" w:ascii="Times New Roman" w:hAnsi="Times New Roman" w:eastAsia="宋体" w:cs="Times New Roman"/>
          <w:b/>
          <w:bCs/>
          <w:sz w:val="24"/>
          <w:szCs w:val="24"/>
        </w:rPr>
        <w:t>九、主要控股参股公司分析</w:t>
      </w:r>
      <w:bookmarkEnd w:id="65"/>
      <w:bookmarkEnd w:id="66"/>
    </w:p>
    <w:p w14:paraId="606CF08D">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p w14:paraId="0580CABD">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主要子公司及对公司净利润影响达10%以上的参股公司情况</w:t>
      </w:r>
    </w:p>
    <w:p w14:paraId="2624A0EC">
      <w:pPr>
        <w:spacing w:before="120" w:after="12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0B0B1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4BC6B2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CA8CEC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CB374C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主要业务</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0A1829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注册资本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B72484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DCC917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净资产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4F3AB7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27881C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营业利润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DF07C0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净利润</w:t>
            </w:r>
          </w:p>
        </w:tc>
      </w:tr>
      <w:tr w14:paraId="6DCA3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D7C3C9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广东冠昊再生医学科技开发有限公司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75C238B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5B03484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医疗器械销售</w:t>
            </w:r>
          </w:p>
        </w:tc>
        <w:tc>
          <w:tcPr>
            <w:tcW w:w="1071" w:type="dxa"/>
            <w:tcBorders>
              <w:top w:val="single" w:color="auto" w:sz="2" w:space="0"/>
              <w:left w:val="single" w:color="auto" w:sz="2" w:space="0"/>
              <w:bottom w:val="single" w:color="auto" w:sz="2" w:space="0"/>
              <w:right w:val="single" w:color="auto" w:sz="2" w:space="0"/>
            </w:tcBorders>
            <w:vAlign w:val="center"/>
          </w:tcPr>
          <w:p w14:paraId="6FA09E2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140,000,020.00</w:t>
            </w:r>
          </w:p>
        </w:tc>
        <w:tc>
          <w:tcPr>
            <w:tcW w:w="1071" w:type="dxa"/>
            <w:tcBorders>
              <w:top w:val="single" w:color="auto" w:sz="2" w:space="0"/>
              <w:left w:val="single" w:color="auto" w:sz="2" w:space="0"/>
              <w:bottom w:val="single" w:color="auto" w:sz="2" w:space="0"/>
              <w:right w:val="single" w:color="auto" w:sz="2" w:space="0"/>
            </w:tcBorders>
            <w:vAlign w:val="center"/>
          </w:tcPr>
          <w:p w14:paraId="6EA4114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166,270,502.68</w:t>
            </w:r>
          </w:p>
        </w:tc>
        <w:tc>
          <w:tcPr>
            <w:tcW w:w="1071" w:type="dxa"/>
            <w:tcBorders>
              <w:top w:val="single" w:color="auto" w:sz="2" w:space="0"/>
              <w:left w:val="single" w:color="auto" w:sz="2" w:space="0"/>
              <w:bottom w:val="single" w:color="auto" w:sz="2" w:space="0"/>
              <w:right w:val="single" w:color="auto" w:sz="2" w:space="0"/>
            </w:tcBorders>
            <w:vAlign w:val="center"/>
          </w:tcPr>
          <w:p w14:paraId="49F82E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156,436,708.80</w:t>
            </w:r>
          </w:p>
        </w:tc>
        <w:tc>
          <w:tcPr>
            <w:tcW w:w="1071" w:type="dxa"/>
            <w:tcBorders>
              <w:top w:val="single" w:color="auto" w:sz="2" w:space="0"/>
              <w:left w:val="single" w:color="auto" w:sz="2" w:space="0"/>
              <w:bottom w:val="single" w:color="auto" w:sz="2" w:space="0"/>
              <w:right w:val="single" w:color="auto" w:sz="2" w:space="0"/>
            </w:tcBorders>
            <w:vAlign w:val="center"/>
          </w:tcPr>
          <w:p w14:paraId="3EA4995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122,653,218.83</w:t>
            </w:r>
          </w:p>
        </w:tc>
        <w:tc>
          <w:tcPr>
            <w:tcW w:w="1071" w:type="dxa"/>
            <w:tcBorders>
              <w:top w:val="single" w:color="auto" w:sz="2" w:space="0"/>
              <w:left w:val="single" w:color="auto" w:sz="2" w:space="0"/>
              <w:bottom w:val="single" w:color="auto" w:sz="2" w:space="0"/>
              <w:right w:val="single" w:color="auto" w:sz="2" w:space="0"/>
            </w:tcBorders>
            <w:vAlign w:val="center"/>
          </w:tcPr>
          <w:p w14:paraId="22ECB1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13,670,668.51</w:t>
            </w:r>
          </w:p>
        </w:tc>
        <w:tc>
          <w:tcPr>
            <w:tcW w:w="1071" w:type="dxa"/>
            <w:tcBorders>
              <w:top w:val="single" w:color="auto" w:sz="2" w:space="0"/>
              <w:left w:val="single" w:color="auto" w:sz="2" w:space="0"/>
              <w:bottom w:val="single" w:color="auto" w:sz="2" w:space="0"/>
              <w:right w:val="single" w:color="auto" w:sz="2" w:space="0"/>
            </w:tcBorders>
            <w:vAlign w:val="center"/>
          </w:tcPr>
          <w:p w14:paraId="23C785A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9,972,455.47</w:t>
            </w:r>
          </w:p>
        </w:tc>
      </w:tr>
      <w:tr w14:paraId="0276C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C4D96A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武汉北度生物科技有限公司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179668C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63100A4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细胞技术服务</w:t>
            </w:r>
          </w:p>
        </w:tc>
        <w:tc>
          <w:tcPr>
            <w:tcW w:w="1071" w:type="dxa"/>
            <w:tcBorders>
              <w:top w:val="single" w:color="auto" w:sz="2" w:space="0"/>
              <w:left w:val="single" w:color="auto" w:sz="2" w:space="0"/>
              <w:bottom w:val="single" w:color="auto" w:sz="2" w:space="0"/>
              <w:right w:val="single" w:color="auto" w:sz="2" w:space="0"/>
            </w:tcBorders>
            <w:vAlign w:val="center"/>
          </w:tcPr>
          <w:p w14:paraId="021325C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10,380,693.00</w:t>
            </w:r>
          </w:p>
        </w:tc>
        <w:tc>
          <w:tcPr>
            <w:tcW w:w="1071" w:type="dxa"/>
            <w:tcBorders>
              <w:top w:val="single" w:color="auto" w:sz="2" w:space="0"/>
              <w:left w:val="single" w:color="auto" w:sz="2" w:space="0"/>
              <w:bottom w:val="single" w:color="auto" w:sz="2" w:space="0"/>
              <w:right w:val="single" w:color="auto" w:sz="2" w:space="0"/>
            </w:tcBorders>
            <w:vAlign w:val="center"/>
          </w:tcPr>
          <w:p w14:paraId="770EABB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17,003,861.82</w:t>
            </w:r>
          </w:p>
        </w:tc>
        <w:tc>
          <w:tcPr>
            <w:tcW w:w="1071" w:type="dxa"/>
            <w:tcBorders>
              <w:top w:val="single" w:color="auto" w:sz="2" w:space="0"/>
              <w:left w:val="single" w:color="auto" w:sz="2" w:space="0"/>
              <w:bottom w:val="single" w:color="auto" w:sz="2" w:space="0"/>
              <w:right w:val="single" w:color="auto" w:sz="2" w:space="0"/>
            </w:tcBorders>
            <w:vAlign w:val="center"/>
          </w:tcPr>
          <w:p w14:paraId="4D937C9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-28,546,411.10</w:t>
            </w:r>
          </w:p>
        </w:tc>
        <w:tc>
          <w:tcPr>
            <w:tcW w:w="1071" w:type="dxa"/>
            <w:tcBorders>
              <w:top w:val="single" w:color="auto" w:sz="2" w:space="0"/>
              <w:left w:val="single" w:color="auto" w:sz="2" w:space="0"/>
              <w:bottom w:val="single" w:color="auto" w:sz="2" w:space="0"/>
              <w:right w:val="single" w:color="auto" w:sz="2" w:space="0"/>
            </w:tcBorders>
            <w:vAlign w:val="center"/>
          </w:tcPr>
          <w:p w14:paraId="18F6844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15,398,720.99</w:t>
            </w:r>
          </w:p>
        </w:tc>
        <w:tc>
          <w:tcPr>
            <w:tcW w:w="1071" w:type="dxa"/>
            <w:tcBorders>
              <w:top w:val="single" w:color="auto" w:sz="2" w:space="0"/>
              <w:left w:val="single" w:color="auto" w:sz="2" w:space="0"/>
              <w:bottom w:val="single" w:color="auto" w:sz="2" w:space="0"/>
              <w:right w:val="single" w:color="auto" w:sz="2" w:space="0"/>
            </w:tcBorders>
            <w:vAlign w:val="center"/>
          </w:tcPr>
          <w:p w14:paraId="36D3166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-7,562,830.13</w:t>
            </w:r>
          </w:p>
        </w:tc>
        <w:tc>
          <w:tcPr>
            <w:tcW w:w="1071" w:type="dxa"/>
            <w:tcBorders>
              <w:top w:val="single" w:color="auto" w:sz="2" w:space="0"/>
              <w:left w:val="single" w:color="auto" w:sz="2" w:space="0"/>
              <w:bottom w:val="single" w:color="auto" w:sz="2" w:space="0"/>
              <w:right w:val="single" w:color="auto" w:sz="2" w:space="0"/>
            </w:tcBorders>
            <w:vAlign w:val="center"/>
          </w:tcPr>
          <w:p w14:paraId="279CEC2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-7,578,186.31</w:t>
            </w:r>
          </w:p>
        </w:tc>
      </w:tr>
      <w:tr w14:paraId="625FD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6062E7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北京文丰天济医药科技有限公司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6929C75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0750195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药膏研发</w:t>
            </w:r>
          </w:p>
        </w:tc>
        <w:tc>
          <w:tcPr>
            <w:tcW w:w="1071" w:type="dxa"/>
            <w:tcBorders>
              <w:top w:val="single" w:color="auto" w:sz="2" w:space="0"/>
              <w:left w:val="single" w:color="auto" w:sz="2" w:space="0"/>
              <w:bottom w:val="single" w:color="auto" w:sz="2" w:space="0"/>
              <w:right w:val="single" w:color="auto" w:sz="2" w:space="0"/>
            </w:tcBorders>
            <w:vAlign w:val="center"/>
          </w:tcPr>
          <w:p w14:paraId="3BE0B25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37,600,000.00</w:t>
            </w:r>
          </w:p>
        </w:tc>
        <w:tc>
          <w:tcPr>
            <w:tcW w:w="1071" w:type="dxa"/>
            <w:tcBorders>
              <w:top w:val="single" w:color="auto" w:sz="2" w:space="0"/>
              <w:left w:val="single" w:color="auto" w:sz="2" w:space="0"/>
              <w:bottom w:val="single" w:color="auto" w:sz="2" w:space="0"/>
              <w:right w:val="single" w:color="auto" w:sz="2" w:space="0"/>
            </w:tcBorders>
            <w:vAlign w:val="center"/>
          </w:tcPr>
          <w:p w14:paraId="7B826E9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23,852,841.67</w:t>
            </w:r>
          </w:p>
        </w:tc>
        <w:tc>
          <w:tcPr>
            <w:tcW w:w="1071" w:type="dxa"/>
            <w:tcBorders>
              <w:top w:val="single" w:color="auto" w:sz="2" w:space="0"/>
              <w:left w:val="single" w:color="auto" w:sz="2" w:space="0"/>
              <w:bottom w:val="single" w:color="auto" w:sz="2" w:space="0"/>
              <w:right w:val="single" w:color="auto" w:sz="2" w:space="0"/>
            </w:tcBorders>
            <w:vAlign w:val="center"/>
          </w:tcPr>
          <w:p w14:paraId="4F0BC37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-72,901,550.60</w:t>
            </w:r>
          </w:p>
        </w:tc>
        <w:tc>
          <w:tcPr>
            <w:tcW w:w="1071" w:type="dxa"/>
            <w:tcBorders>
              <w:top w:val="single" w:color="auto" w:sz="2" w:space="0"/>
              <w:left w:val="single" w:color="auto" w:sz="2" w:space="0"/>
              <w:bottom w:val="single" w:color="auto" w:sz="2" w:space="0"/>
              <w:right w:val="single" w:color="auto" w:sz="2" w:space="0"/>
            </w:tcBorders>
            <w:vAlign w:val="center"/>
          </w:tcPr>
          <w:p w14:paraId="56AB579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821815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-5,157,479.48</w:t>
            </w:r>
          </w:p>
        </w:tc>
        <w:tc>
          <w:tcPr>
            <w:tcW w:w="1071" w:type="dxa"/>
            <w:tcBorders>
              <w:top w:val="single" w:color="auto" w:sz="2" w:space="0"/>
              <w:left w:val="single" w:color="auto" w:sz="2" w:space="0"/>
              <w:bottom w:val="single" w:color="auto" w:sz="2" w:space="0"/>
              <w:right w:val="single" w:color="auto" w:sz="2" w:space="0"/>
            </w:tcBorders>
            <w:vAlign w:val="center"/>
          </w:tcPr>
          <w:p w14:paraId="1C54CAD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-5,157,479.28</w:t>
            </w:r>
          </w:p>
        </w:tc>
      </w:tr>
      <w:tr w14:paraId="5A2AD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BA5691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北昊干细胞与再生医学研究院有限公司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7AA6F7F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61B872A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细胞技术服务</w:t>
            </w:r>
          </w:p>
        </w:tc>
        <w:tc>
          <w:tcPr>
            <w:tcW w:w="1071" w:type="dxa"/>
            <w:tcBorders>
              <w:top w:val="single" w:color="auto" w:sz="2" w:space="0"/>
              <w:left w:val="single" w:color="auto" w:sz="2" w:space="0"/>
              <w:bottom w:val="single" w:color="auto" w:sz="2" w:space="0"/>
              <w:right w:val="single" w:color="auto" w:sz="2" w:space="0"/>
            </w:tcBorders>
            <w:vAlign w:val="center"/>
          </w:tcPr>
          <w:p w14:paraId="3D00A4D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35,328,000.00</w:t>
            </w:r>
          </w:p>
        </w:tc>
        <w:tc>
          <w:tcPr>
            <w:tcW w:w="1071" w:type="dxa"/>
            <w:tcBorders>
              <w:top w:val="single" w:color="auto" w:sz="2" w:space="0"/>
              <w:left w:val="single" w:color="auto" w:sz="2" w:space="0"/>
              <w:bottom w:val="single" w:color="auto" w:sz="2" w:space="0"/>
              <w:right w:val="single" w:color="auto" w:sz="2" w:space="0"/>
            </w:tcBorders>
            <w:vAlign w:val="center"/>
          </w:tcPr>
          <w:p w14:paraId="1499A9B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125,179,000.60</w:t>
            </w:r>
          </w:p>
        </w:tc>
        <w:tc>
          <w:tcPr>
            <w:tcW w:w="1071" w:type="dxa"/>
            <w:tcBorders>
              <w:top w:val="single" w:color="auto" w:sz="2" w:space="0"/>
              <w:left w:val="single" w:color="auto" w:sz="2" w:space="0"/>
              <w:bottom w:val="single" w:color="auto" w:sz="2" w:space="0"/>
              <w:right w:val="single" w:color="auto" w:sz="2" w:space="0"/>
            </w:tcBorders>
            <w:vAlign w:val="center"/>
          </w:tcPr>
          <w:p w14:paraId="1A3A903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-12,088,850.07</w:t>
            </w:r>
          </w:p>
        </w:tc>
        <w:tc>
          <w:tcPr>
            <w:tcW w:w="1071" w:type="dxa"/>
            <w:tcBorders>
              <w:top w:val="single" w:color="auto" w:sz="2" w:space="0"/>
              <w:left w:val="single" w:color="auto" w:sz="2" w:space="0"/>
              <w:bottom w:val="single" w:color="auto" w:sz="2" w:space="0"/>
              <w:right w:val="single" w:color="auto" w:sz="2" w:space="0"/>
            </w:tcBorders>
            <w:vAlign w:val="center"/>
          </w:tcPr>
          <w:p w14:paraId="51C726F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23,410,924.28</w:t>
            </w:r>
          </w:p>
        </w:tc>
        <w:tc>
          <w:tcPr>
            <w:tcW w:w="1071" w:type="dxa"/>
            <w:tcBorders>
              <w:top w:val="single" w:color="auto" w:sz="2" w:space="0"/>
              <w:left w:val="single" w:color="auto" w:sz="2" w:space="0"/>
              <w:bottom w:val="single" w:color="auto" w:sz="2" w:space="0"/>
              <w:right w:val="single" w:color="auto" w:sz="2" w:space="0"/>
            </w:tcBorders>
            <w:vAlign w:val="center"/>
          </w:tcPr>
          <w:p w14:paraId="7F493FC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-2,845,744.33</w:t>
            </w:r>
          </w:p>
        </w:tc>
        <w:tc>
          <w:tcPr>
            <w:tcW w:w="1071" w:type="dxa"/>
            <w:tcBorders>
              <w:top w:val="single" w:color="auto" w:sz="2" w:space="0"/>
              <w:left w:val="single" w:color="auto" w:sz="2" w:space="0"/>
              <w:bottom w:val="single" w:color="auto" w:sz="2" w:space="0"/>
              <w:right w:val="single" w:color="auto" w:sz="2" w:space="0"/>
            </w:tcBorders>
            <w:vAlign w:val="center"/>
          </w:tcPr>
          <w:p w14:paraId="53ACD88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-3,031,504.93</w:t>
            </w:r>
          </w:p>
        </w:tc>
      </w:tr>
      <w:tr w14:paraId="14476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99BB87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广东天昊药业有限公司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68E3A77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267921B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药品生产与销售</w:t>
            </w:r>
          </w:p>
        </w:tc>
        <w:tc>
          <w:tcPr>
            <w:tcW w:w="1071" w:type="dxa"/>
            <w:tcBorders>
              <w:top w:val="single" w:color="auto" w:sz="2" w:space="0"/>
              <w:left w:val="single" w:color="auto" w:sz="2" w:space="0"/>
              <w:bottom w:val="single" w:color="auto" w:sz="2" w:space="0"/>
              <w:right w:val="single" w:color="auto" w:sz="2" w:space="0"/>
            </w:tcBorders>
            <w:vAlign w:val="center"/>
          </w:tcPr>
          <w:p w14:paraId="2F0E9E8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160,000,000.00</w:t>
            </w:r>
          </w:p>
        </w:tc>
        <w:tc>
          <w:tcPr>
            <w:tcW w:w="1071" w:type="dxa"/>
            <w:tcBorders>
              <w:top w:val="single" w:color="auto" w:sz="2" w:space="0"/>
              <w:left w:val="single" w:color="auto" w:sz="2" w:space="0"/>
              <w:bottom w:val="single" w:color="auto" w:sz="2" w:space="0"/>
              <w:right w:val="single" w:color="auto" w:sz="2" w:space="0"/>
            </w:tcBorders>
            <w:vAlign w:val="center"/>
          </w:tcPr>
          <w:p w14:paraId="4A45D2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229,070,884.53</w:t>
            </w:r>
          </w:p>
        </w:tc>
        <w:tc>
          <w:tcPr>
            <w:tcW w:w="1071" w:type="dxa"/>
            <w:tcBorders>
              <w:top w:val="single" w:color="auto" w:sz="2" w:space="0"/>
              <w:left w:val="single" w:color="auto" w:sz="2" w:space="0"/>
              <w:bottom w:val="single" w:color="auto" w:sz="2" w:space="0"/>
              <w:right w:val="single" w:color="auto" w:sz="2" w:space="0"/>
            </w:tcBorders>
            <w:vAlign w:val="center"/>
          </w:tcPr>
          <w:p w14:paraId="35297A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98,262,589.07</w:t>
            </w:r>
          </w:p>
        </w:tc>
        <w:tc>
          <w:tcPr>
            <w:tcW w:w="1071" w:type="dxa"/>
            <w:tcBorders>
              <w:top w:val="single" w:color="auto" w:sz="2" w:space="0"/>
              <w:left w:val="single" w:color="auto" w:sz="2" w:space="0"/>
              <w:bottom w:val="single" w:color="auto" w:sz="2" w:space="0"/>
              <w:right w:val="single" w:color="auto" w:sz="2" w:space="0"/>
            </w:tcBorders>
            <w:vAlign w:val="center"/>
          </w:tcPr>
          <w:p w14:paraId="5501ADD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5,580,883.79</w:t>
            </w:r>
          </w:p>
        </w:tc>
        <w:tc>
          <w:tcPr>
            <w:tcW w:w="1071" w:type="dxa"/>
            <w:tcBorders>
              <w:top w:val="single" w:color="auto" w:sz="2" w:space="0"/>
              <w:left w:val="single" w:color="auto" w:sz="2" w:space="0"/>
              <w:bottom w:val="single" w:color="auto" w:sz="2" w:space="0"/>
              <w:right w:val="single" w:color="auto" w:sz="2" w:space="0"/>
            </w:tcBorders>
            <w:vAlign w:val="center"/>
          </w:tcPr>
          <w:p w14:paraId="16CD5BA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-3,772,984.05</w:t>
            </w:r>
          </w:p>
        </w:tc>
        <w:tc>
          <w:tcPr>
            <w:tcW w:w="1071" w:type="dxa"/>
            <w:tcBorders>
              <w:top w:val="single" w:color="auto" w:sz="2" w:space="0"/>
              <w:left w:val="single" w:color="auto" w:sz="2" w:space="0"/>
              <w:bottom w:val="single" w:color="auto" w:sz="2" w:space="0"/>
              <w:right w:val="single" w:color="auto" w:sz="2" w:space="0"/>
            </w:tcBorders>
            <w:vAlign w:val="center"/>
          </w:tcPr>
          <w:p w14:paraId="303C27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-4,590,181.28</w:t>
            </w:r>
          </w:p>
        </w:tc>
      </w:tr>
      <w:tr w14:paraId="28E93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3F0F15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中山天昊科技园有限公司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511F523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4B93154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物业租赁及管理</w:t>
            </w:r>
          </w:p>
        </w:tc>
        <w:tc>
          <w:tcPr>
            <w:tcW w:w="1071" w:type="dxa"/>
            <w:tcBorders>
              <w:top w:val="single" w:color="auto" w:sz="2" w:space="0"/>
              <w:left w:val="single" w:color="auto" w:sz="2" w:space="0"/>
              <w:bottom w:val="single" w:color="auto" w:sz="2" w:space="0"/>
              <w:right w:val="single" w:color="auto" w:sz="2" w:space="0"/>
            </w:tcBorders>
            <w:vAlign w:val="center"/>
          </w:tcPr>
          <w:p w14:paraId="1AB8079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1,000,000.00</w:t>
            </w:r>
          </w:p>
        </w:tc>
        <w:tc>
          <w:tcPr>
            <w:tcW w:w="1071" w:type="dxa"/>
            <w:tcBorders>
              <w:top w:val="single" w:color="auto" w:sz="2" w:space="0"/>
              <w:left w:val="single" w:color="auto" w:sz="2" w:space="0"/>
              <w:bottom w:val="single" w:color="auto" w:sz="2" w:space="0"/>
              <w:right w:val="single" w:color="auto" w:sz="2" w:space="0"/>
            </w:tcBorders>
            <w:vAlign w:val="center"/>
          </w:tcPr>
          <w:p w14:paraId="74F0EC5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72,954,273.10</w:t>
            </w:r>
          </w:p>
        </w:tc>
        <w:tc>
          <w:tcPr>
            <w:tcW w:w="1071" w:type="dxa"/>
            <w:tcBorders>
              <w:top w:val="single" w:color="auto" w:sz="2" w:space="0"/>
              <w:left w:val="single" w:color="auto" w:sz="2" w:space="0"/>
              <w:bottom w:val="single" w:color="auto" w:sz="2" w:space="0"/>
              <w:right w:val="single" w:color="auto" w:sz="2" w:space="0"/>
            </w:tcBorders>
            <w:vAlign w:val="center"/>
          </w:tcPr>
          <w:p w14:paraId="44341E0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-5,151,743.26</w:t>
            </w:r>
          </w:p>
        </w:tc>
        <w:tc>
          <w:tcPr>
            <w:tcW w:w="1071" w:type="dxa"/>
            <w:tcBorders>
              <w:top w:val="single" w:color="auto" w:sz="2" w:space="0"/>
              <w:left w:val="single" w:color="auto" w:sz="2" w:space="0"/>
              <w:bottom w:val="single" w:color="auto" w:sz="2" w:space="0"/>
              <w:right w:val="single" w:color="auto" w:sz="2" w:space="0"/>
            </w:tcBorders>
            <w:vAlign w:val="center"/>
          </w:tcPr>
          <w:p w14:paraId="777466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704,048.10</w:t>
            </w:r>
          </w:p>
        </w:tc>
        <w:tc>
          <w:tcPr>
            <w:tcW w:w="1071" w:type="dxa"/>
            <w:tcBorders>
              <w:top w:val="single" w:color="auto" w:sz="2" w:space="0"/>
              <w:left w:val="single" w:color="auto" w:sz="2" w:space="0"/>
              <w:bottom w:val="single" w:color="auto" w:sz="2" w:space="0"/>
              <w:right w:val="single" w:color="auto" w:sz="2" w:space="0"/>
            </w:tcBorders>
            <w:vAlign w:val="center"/>
          </w:tcPr>
          <w:p w14:paraId="12909E2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-5,314,450.11</w:t>
            </w:r>
          </w:p>
        </w:tc>
        <w:tc>
          <w:tcPr>
            <w:tcW w:w="1071" w:type="dxa"/>
            <w:tcBorders>
              <w:top w:val="single" w:color="auto" w:sz="2" w:space="0"/>
              <w:left w:val="single" w:color="auto" w:sz="2" w:space="0"/>
              <w:bottom w:val="single" w:color="auto" w:sz="2" w:space="0"/>
              <w:right w:val="single" w:color="auto" w:sz="2" w:space="0"/>
            </w:tcBorders>
            <w:vAlign w:val="center"/>
          </w:tcPr>
          <w:p w14:paraId="3C757FA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-5,151,743.26</w:t>
            </w:r>
          </w:p>
        </w:tc>
      </w:tr>
      <w:tr w14:paraId="269AA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DE302B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北京天佑启元生物科技有限公司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751E9B7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4F97F7D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细胞技术服务</w:t>
            </w:r>
          </w:p>
        </w:tc>
        <w:tc>
          <w:tcPr>
            <w:tcW w:w="1071" w:type="dxa"/>
            <w:tcBorders>
              <w:top w:val="single" w:color="auto" w:sz="2" w:space="0"/>
              <w:left w:val="single" w:color="auto" w:sz="2" w:space="0"/>
              <w:bottom w:val="single" w:color="auto" w:sz="2" w:space="0"/>
              <w:right w:val="single" w:color="auto" w:sz="2" w:space="0"/>
            </w:tcBorders>
            <w:vAlign w:val="center"/>
          </w:tcPr>
          <w:p w14:paraId="3CF5367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400,000.00</w:t>
            </w:r>
          </w:p>
        </w:tc>
        <w:tc>
          <w:tcPr>
            <w:tcW w:w="1071" w:type="dxa"/>
            <w:tcBorders>
              <w:top w:val="single" w:color="auto" w:sz="2" w:space="0"/>
              <w:left w:val="single" w:color="auto" w:sz="2" w:space="0"/>
              <w:bottom w:val="single" w:color="auto" w:sz="2" w:space="0"/>
              <w:right w:val="single" w:color="auto" w:sz="2" w:space="0"/>
            </w:tcBorders>
            <w:vAlign w:val="center"/>
          </w:tcPr>
          <w:p w14:paraId="706F1EC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3,880,855.87</w:t>
            </w:r>
          </w:p>
        </w:tc>
        <w:tc>
          <w:tcPr>
            <w:tcW w:w="1071" w:type="dxa"/>
            <w:tcBorders>
              <w:top w:val="single" w:color="auto" w:sz="2" w:space="0"/>
              <w:left w:val="single" w:color="auto" w:sz="2" w:space="0"/>
              <w:bottom w:val="single" w:color="auto" w:sz="2" w:space="0"/>
              <w:right w:val="single" w:color="auto" w:sz="2" w:space="0"/>
            </w:tcBorders>
            <w:vAlign w:val="center"/>
          </w:tcPr>
          <w:p w14:paraId="477E779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-10,211,999.40</w:t>
            </w:r>
          </w:p>
        </w:tc>
        <w:tc>
          <w:tcPr>
            <w:tcW w:w="1071" w:type="dxa"/>
            <w:tcBorders>
              <w:top w:val="single" w:color="auto" w:sz="2" w:space="0"/>
              <w:left w:val="single" w:color="auto" w:sz="2" w:space="0"/>
              <w:bottom w:val="single" w:color="auto" w:sz="2" w:space="0"/>
              <w:right w:val="single" w:color="auto" w:sz="2" w:space="0"/>
            </w:tcBorders>
            <w:vAlign w:val="center"/>
          </w:tcPr>
          <w:p w14:paraId="69A8319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374,245.28</w:t>
            </w:r>
          </w:p>
        </w:tc>
        <w:tc>
          <w:tcPr>
            <w:tcW w:w="1071" w:type="dxa"/>
            <w:tcBorders>
              <w:top w:val="single" w:color="auto" w:sz="2" w:space="0"/>
              <w:left w:val="single" w:color="auto" w:sz="2" w:space="0"/>
              <w:bottom w:val="single" w:color="auto" w:sz="2" w:space="0"/>
              <w:right w:val="single" w:color="auto" w:sz="2" w:space="0"/>
            </w:tcBorders>
            <w:vAlign w:val="center"/>
          </w:tcPr>
          <w:p w14:paraId="76E106F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-10,211,999.40</w:t>
            </w:r>
          </w:p>
        </w:tc>
        <w:tc>
          <w:tcPr>
            <w:tcW w:w="1071" w:type="dxa"/>
            <w:tcBorders>
              <w:top w:val="single" w:color="auto" w:sz="2" w:space="0"/>
              <w:left w:val="single" w:color="auto" w:sz="2" w:space="0"/>
              <w:bottom w:val="single" w:color="auto" w:sz="2" w:space="0"/>
              <w:right w:val="single" w:color="auto" w:sz="2" w:space="0"/>
            </w:tcBorders>
            <w:vAlign w:val="center"/>
          </w:tcPr>
          <w:p w14:paraId="1144B05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-10,211,999.40</w:t>
            </w:r>
          </w:p>
        </w:tc>
      </w:tr>
    </w:tbl>
    <w:p w14:paraId="77BC711B">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报告期内取得和处置子公司的情况</w:t>
      </w:r>
    </w:p>
    <w:p w14:paraId="71DEAC8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CBFF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5107D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7EF1F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报告期内取得和处置子公司方式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6F428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对整体生产经营和业绩的影响</w:t>
            </w:r>
          </w:p>
        </w:tc>
      </w:tr>
      <w:tr w14:paraId="22DB1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BB17E5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陕西京冠生物科技有限公司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382A26C9">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注销</w:t>
            </w:r>
          </w:p>
        </w:tc>
        <w:tc>
          <w:tcPr>
            <w:tcW w:w="3213" w:type="dxa"/>
            <w:tcBorders>
              <w:top w:val="single" w:color="auto" w:sz="2" w:space="0"/>
              <w:left w:val="single" w:color="auto" w:sz="2" w:space="0"/>
              <w:bottom w:val="single" w:color="auto" w:sz="2" w:space="0"/>
              <w:right w:val="single" w:color="auto" w:sz="2" w:space="0"/>
            </w:tcBorders>
            <w:vAlign w:val="center"/>
          </w:tcPr>
          <w:p w14:paraId="195BCDE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影响较小</w:t>
            </w:r>
          </w:p>
        </w:tc>
      </w:tr>
      <w:tr w14:paraId="79219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5A00E3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北京天佑启元生物科技有限公司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7F6E0077">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新设成立</w:t>
            </w:r>
          </w:p>
        </w:tc>
        <w:tc>
          <w:tcPr>
            <w:tcW w:w="3213" w:type="dxa"/>
            <w:tcBorders>
              <w:top w:val="single" w:color="auto" w:sz="2" w:space="0"/>
              <w:left w:val="single" w:color="auto" w:sz="2" w:space="0"/>
              <w:bottom w:val="single" w:color="auto" w:sz="2" w:space="0"/>
              <w:right w:val="single" w:color="auto" w:sz="2" w:space="0"/>
            </w:tcBorders>
            <w:vAlign w:val="center"/>
          </w:tcPr>
          <w:p w14:paraId="00AA0EF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鉴于生物医药研发具有高投入、长周期、高风险的特点，未来的研发进展、技术成果转化及商业化前景仍存在一定的不确定性。</w:t>
            </w:r>
          </w:p>
        </w:tc>
      </w:tr>
    </w:tbl>
    <w:p w14:paraId="75C96664">
      <w:pPr>
        <w:spacing w:before="100" w:after="100" w:line="240" w:lineRule="exact"/>
        <w:jc w:val="left"/>
        <w:rPr>
          <w:rFonts w:hint="default" w:ascii="Times New Roman" w:hAnsi="Times New Roman" w:cs="Times New Roman"/>
        </w:rPr>
      </w:pPr>
      <w:r>
        <w:rPr>
          <w:rFonts w:hint="default" w:ascii="Times New Roman" w:hAnsi="Times New Roman" w:eastAsia="宋体" w:cs="Times New Roman"/>
          <w:sz w:val="18"/>
          <w:szCs w:val="18"/>
        </w:rPr>
        <w:t>主要控股参股公司情况说明</w:t>
      </w:r>
      <w:r>
        <w:rPr>
          <w:rFonts w:hint="eastAsia" w:cs="Times New Roman"/>
          <w:sz w:val="18"/>
          <w:szCs w:val="18"/>
          <w:lang w:eastAsia="zh-CN"/>
        </w:rPr>
        <w:t>：</w:t>
      </w:r>
      <w:r>
        <w:rPr>
          <w:rFonts w:hint="default" w:ascii="Times New Roman" w:hAnsi="Times New Roman" w:eastAsia="宋体" w:cs="Times New Roman"/>
          <w:sz w:val="18"/>
          <w:szCs w:val="18"/>
        </w:rPr>
        <w:t>无。</w:t>
      </w:r>
    </w:p>
    <w:p w14:paraId="154E6F75">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67" w:name="_Toc988935"/>
      <w:bookmarkStart w:id="68" w:name="_Toc4261"/>
      <w:r>
        <w:rPr>
          <w:rFonts w:hint="default" w:ascii="Times New Roman" w:hAnsi="Times New Roman" w:eastAsia="宋体" w:cs="Times New Roman"/>
          <w:b/>
          <w:bCs/>
          <w:sz w:val="24"/>
          <w:szCs w:val="24"/>
        </w:rPr>
        <w:t>十、公司控制的结构化主体情况</w:t>
      </w:r>
      <w:bookmarkEnd w:id="67"/>
      <w:bookmarkEnd w:id="68"/>
    </w:p>
    <w:p w14:paraId="3038EF53">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5D193F6E">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69" w:name="_Toc25570"/>
      <w:bookmarkStart w:id="70" w:name="_Toc988936"/>
      <w:r>
        <w:rPr>
          <w:rFonts w:hint="default" w:ascii="Times New Roman" w:hAnsi="Times New Roman" w:eastAsia="宋体" w:cs="Times New Roman"/>
          <w:b/>
          <w:bCs/>
          <w:sz w:val="24"/>
          <w:szCs w:val="24"/>
        </w:rPr>
        <w:t>十一、公司未来发展的展望</w:t>
      </w:r>
      <w:bookmarkEnd w:id="69"/>
      <w:bookmarkEnd w:id="70"/>
    </w:p>
    <w:p w14:paraId="221A2AB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（一）公司未来发展战略</w:t>
      </w:r>
    </w:p>
    <w:p w14:paraId="13BB34D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公司始终以</w:t>
      </w:r>
      <w:r>
        <w:rPr>
          <w:rFonts w:hint="eastAsia" w:cs="Times New Roman"/>
          <w:sz w:val="18"/>
          <w:szCs w:val="18"/>
          <w:lang w:eastAsia="zh-CN"/>
        </w:rPr>
        <w:t>“</w:t>
      </w:r>
      <w:r>
        <w:rPr>
          <w:rFonts w:hint="default" w:ascii="Times New Roman" w:hAnsi="Times New Roman" w:eastAsia="宋体" w:cs="Times New Roman"/>
          <w:sz w:val="18"/>
          <w:szCs w:val="18"/>
        </w:rPr>
        <w:t>坚持创新驱动，发展再生医学产业，为人类的生命健康和生活品质做出卓越贡献</w:t>
      </w:r>
      <w:r>
        <w:rPr>
          <w:rFonts w:hint="eastAsia" w:cs="Times New Roman"/>
          <w:sz w:val="18"/>
          <w:szCs w:val="18"/>
          <w:lang w:eastAsia="zh-CN"/>
        </w:rPr>
        <w:t>”</w:t>
      </w:r>
      <w:r>
        <w:rPr>
          <w:rFonts w:hint="default" w:ascii="Times New Roman" w:hAnsi="Times New Roman" w:eastAsia="宋体" w:cs="Times New Roman"/>
          <w:sz w:val="18"/>
          <w:szCs w:val="18"/>
        </w:rPr>
        <w:t>的企业使命，致力于成为再生医学领域一流的产品、技术与服务提供商。2026年公司将继续深耕再生医学产业，拓展生命健康相关领域，充分发挥公司既有产业化能力和资源整合优势，借助成熟的营销渠道和品牌优势，持续在生物材料、药业、细胞以及先进医疗技术、产品业务领域布局，积极开拓新的业务增长点，不断夯实公司长期可持续发展的坚实基础。</w:t>
      </w:r>
    </w:p>
    <w:p w14:paraId="57B53B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（二）2026年年度经营计划</w:t>
      </w:r>
    </w:p>
    <w:p w14:paraId="68CD79E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2026年，公司将坚持创新驱动与高质量发展导向，建立健全激励约束机制，依托成熟的营销渠道和品牌积累，主动迎接行业变革与市场挑战，积极推动再生医学生物材料平台、药业技术平台、细胞治疗技术平台三大核心技术及业务板块战略落地，持续加大关键核心技术的产业化转化力度，不断提升核心竞争力与可持续发展能力，奋力实现公司高质量发展。</w:t>
      </w:r>
    </w:p>
    <w:p w14:paraId="21E05A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1、主营业务稳步提升，积极顺应政策环境</w:t>
      </w:r>
    </w:p>
    <w:p w14:paraId="4588DF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在医疗体制改革不断深化、高值耗材集中带量采购政策逐步落地的背景下，公司将主动顺应行业政策导向，持续密切跟踪政策动态，深入研究政策变化对业务发展的影响，积极参与国家及地方集中带量采购，不断提升投标工作的策略性、计划性与中选成功率。同时积极拓展多元化销售渠道，持续优化全国营销网络布局，打造多产品协同推广模式与临床整体解决方案，稳步推进产品品种多元化布局，力争实现市场占有率新突破，以稳健经营支撑公司高质量发展。</w:t>
      </w:r>
    </w:p>
    <w:p w14:paraId="627EC1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2、产品多元化布局，夯实核心竞争力</w:t>
      </w:r>
    </w:p>
    <w:p w14:paraId="25466B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将持续探索新技术、引入新产品，积极做好更长远的产品预研储备工作，与研发部门共同围绕着临床和技术平台，进行产品的延展和开发。同时，公司密切关注市场需求变化与行业技术发展趋势，持续推进与国内外优质研发主体的合作交流，积极洽谈国外优秀产品的引进合作，不断丰富公司产品线矩阵。立足临床端的实际应用需求，强化产品研发与市场需求的深度融合，通过技术迭代与产品创新提升核心竞争力，为公司长期稳定发展筑牢产品根基。</w:t>
      </w:r>
    </w:p>
    <w:p w14:paraId="4A7319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3、多维度降本增效，提升综合盈利能力</w:t>
      </w:r>
    </w:p>
    <w:p w14:paraId="4DD786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将持续深化内部资源整合，全面推进降本增效各项工作，不断提高生产运营效率，严控生产成本，强化生产全过程质量管控与安全生产管理，有效降低质量损失与运营风险。结合市场需求与行业竞争态势灵活调整销售策略，着力提升销售收入与市场份额，持续优化组织架构与管理流程，提升供应链协同与精细化管理水平，不断改善成本结构、提升整体运营效率与经营质量，全面增强公司盈利能力与抗风险能力。</w:t>
      </w:r>
    </w:p>
    <w:p w14:paraId="7DDFA45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4、紧抓品牌建设，强化自有产品品牌</w:t>
      </w:r>
    </w:p>
    <w:p w14:paraId="30BC4D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将紧密结合国家及行业紧缺技术与产品需求，充分发挥公司及行业领先医药企业优势，聚焦核心业务做精做细、做深做透，持续强化自有品牌影响力。在产品生产方面，建立并严格执行全流程质量管控体系，以过硬品质夯实品牌基础；在营销传播方面，持续拓展多元化营销渠道，积极开展专业化内容营销与品牌宣传活动，不断提升品牌知名度与市场认可度；在品牌保护方面，进一步加强商标、专利等知识产权保护力度，建立健全品牌风险预警与危机应对机制，同时强化品牌内部管理，以品牌优势赋能公司长期高质量发展。</w:t>
      </w:r>
    </w:p>
    <w:p w14:paraId="2D9140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360" w:firstLineChars="200"/>
        <w:textAlignment w:val="auto"/>
        <w:rPr>
          <w:rFonts w:hint="default" w:ascii="Times New Roman" w:hAnsi="Times New Roman" w:cs="Times New Roman"/>
        </w:rPr>
      </w:pPr>
      <w:r>
        <w:rPr>
          <w:rStyle w:val="9"/>
          <w:rFonts w:hint="eastAsia" w:cs="Times New Roman"/>
          <w:sz w:val="18"/>
          <w:szCs w:val="18"/>
          <w:lang w:eastAsia="zh-CN"/>
        </w:rPr>
        <w:t>（</w:t>
      </w:r>
      <w:r>
        <w:rPr>
          <w:rStyle w:val="9"/>
          <w:rFonts w:hint="eastAsia" w:cs="Times New Roman"/>
          <w:sz w:val="18"/>
          <w:szCs w:val="18"/>
          <w:lang w:val="en-US" w:eastAsia="zh-CN"/>
        </w:rPr>
        <w:t>三</w:t>
      </w:r>
      <w:r>
        <w:rPr>
          <w:rStyle w:val="9"/>
          <w:rFonts w:hint="eastAsia" w:cs="Times New Roman"/>
          <w:sz w:val="18"/>
          <w:szCs w:val="18"/>
          <w:lang w:eastAsia="zh-CN"/>
        </w:rPr>
        <w:t>）</w:t>
      </w:r>
      <w:r>
        <w:rPr>
          <w:rStyle w:val="9"/>
          <w:rFonts w:hint="default" w:ascii="Times New Roman" w:hAnsi="Times New Roman" w:eastAsia="宋体" w:cs="Times New Roman"/>
          <w:sz w:val="18"/>
          <w:szCs w:val="18"/>
        </w:rPr>
        <w:t>公司可能面对的风险及应对措施</w:t>
      </w:r>
    </w:p>
    <w:p w14:paraId="0ECCD5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1、政策变化风险</w:t>
      </w:r>
    </w:p>
    <w:p w14:paraId="686768E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随着医药卫生体制改革持续深化、高值医用耗材集中带量采购政策全面推进，相关政策调整可能对公司产品的价格体系、销售区域、市场覆盖及盈利水平产生一定影响，进而给公司经营发展带来不确定性。公司将持续密切跟踪行业政策动态，深入研究政策导向及对业务的具体影响，提前做好风险预判与应对预案，及时优化经营策略与销售模式，主动适应政策变化与行业变革趋势，不断提升产品竞争力与市场适应能力，巩固并提高主营产品市场占有率，最大限度降低政策变化对公司经营的不利影响。</w:t>
      </w:r>
    </w:p>
    <w:p w14:paraId="3077D7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2、新产品取得注册证的风险</w:t>
      </w:r>
    </w:p>
    <w:p w14:paraId="3C0529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所处医用植入器械行业监管标准严格，新产品从研发立项、临床试验到获得药品监督管理部门注册批准的周期较长、流程复杂、投入较大。若新产品未能按计划获批或逾期取得注册证，将对公司产品迭代、市场布局及多元化发展战略的推进产生一定影响。对此，公司将在充分市场调研与临床需求分析的基础上，依托再生医学生物材料等核心技术平台，科学制定研发与注册申报计划，加强研发过程管控与注册申报协同，持续提升项目推进效率，为后续产品研发、上市及产业化落地筑牢坚实基础。</w:t>
      </w:r>
    </w:p>
    <w:p w14:paraId="18DB6B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3、动物疫病风险</w:t>
      </w:r>
    </w:p>
    <w:p w14:paraId="73D17C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生产所需的主要原材料为食用动物组织，尽管原材料来源相对充足、价格总体稳定，且公司已建立严格的供应商管理体系，但如发生区域性或全国性大规模动物疫病，仍可能导致原材料采购、取材及供应受到限制，进而对公司正常生产经营造成不利影响。公司将持续严格执行供应商准入、评价与动态管理体系，择优拓展资质优良、供应稳定的原材料供应商，构建多区域、多渠道供应保障格局，强化供应链安全与应急保障能力，最大限度降低动物疫病等因素对生产经营的冲击。</w:t>
      </w:r>
    </w:p>
    <w:p w14:paraId="7C6A98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4、原创技术产业化带来的市场风险</w:t>
      </w:r>
    </w:p>
    <w:p w14:paraId="2065D7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依托行业领先的原创技术体系，开发新一代再生型医用植入器械产品，具备优异的组织相容性与临床应用价值，但由于创新产品技术领先性较强，市场推广与临床认知培育需要持续投入与较长周期，较传统产品面临更大的市场开拓压力与相应经营风险。公司将持续依托再生材料技术研发平台与再生型医用植入器械国家工程实验室等创新载体，不断巩固技术领先优势，同时加强学术推广、临床教育与市场培育，提升市场认可度与产品渗透率，并通过优化研发路径、分段推进项目、提高资源使用效率等方式，应对研发周期长、技术难度高、资金投入大等挑战，稳步推进原创技术成果产业化。</w:t>
      </w:r>
    </w:p>
    <w:p w14:paraId="296FA0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5、并购决策风险及并购完成后的整合风险</w:t>
      </w:r>
    </w:p>
    <w:p w14:paraId="72B5E2A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围绕三大技术平台推动产业化转化，并积极通过并购重组实现外延式扩张与资源整合，标的筛选、估值定价及并购后业务、团队、文化、管理等方面的整合均存在一定不确定性，可能影响并购预期效果。针对并购决策风险，公司将坚持审慎投资原则，聚焦优质标的，全面开展尽职调查与可行性论证，严格履行决策程序，以实现产业协同、补齐产品短板、提升产业链价值为目标，稳步推进外延式发展；针对并购后整合风险，公司将加强对已投并购项目的跟踪管理与动态评估，因地制宜制定整合方案，强化管控与赋能，促进并购标的与公司整体业务深度融合，切实发挥协同效应。</w:t>
      </w:r>
    </w:p>
    <w:p w14:paraId="092DA4CB">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71" w:name="_Toc988937"/>
      <w:bookmarkStart w:id="72" w:name="_Toc2992"/>
      <w:r>
        <w:rPr>
          <w:rFonts w:hint="default" w:ascii="Times New Roman" w:hAnsi="Times New Roman" w:eastAsia="宋体" w:cs="Times New Roman"/>
          <w:b/>
          <w:bCs/>
          <w:sz w:val="24"/>
          <w:szCs w:val="24"/>
        </w:rPr>
        <w:t>十二、报告期内接待调研、沟通、采访等活动登记表</w:t>
      </w:r>
      <w:bookmarkEnd w:id="71"/>
      <w:bookmarkEnd w:id="72"/>
    </w:p>
    <w:p w14:paraId="552CD7C5">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81"/>
        <w:gridCol w:w="1175"/>
        <w:gridCol w:w="1175"/>
        <w:gridCol w:w="1377"/>
        <w:gridCol w:w="1377"/>
        <w:gridCol w:w="1377"/>
        <w:gridCol w:w="1377"/>
      </w:tblGrid>
      <w:tr w14:paraId="374A0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shd w:val="clear" w:color="auto" w:fill="D3D3D3"/>
            <w:vAlign w:val="center"/>
          </w:tcPr>
          <w:p w14:paraId="07744C3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接待时间</w:t>
            </w:r>
          </w:p>
        </w:tc>
        <w:tc>
          <w:tcPr>
            <w:tcW w:w="1175" w:type="dxa"/>
            <w:tcBorders>
              <w:top w:val="single" w:color="auto" w:sz="2" w:space="0"/>
              <w:left w:val="single" w:color="auto" w:sz="2" w:space="0"/>
              <w:bottom w:val="single" w:color="auto" w:sz="2" w:space="0"/>
              <w:right w:val="single" w:color="auto" w:sz="2" w:space="0"/>
            </w:tcBorders>
            <w:shd w:val="clear" w:color="auto" w:fill="D3D3D3"/>
            <w:vAlign w:val="center"/>
          </w:tcPr>
          <w:p w14:paraId="0048CD9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接待地点</w:t>
            </w:r>
          </w:p>
        </w:tc>
        <w:tc>
          <w:tcPr>
            <w:tcW w:w="1175" w:type="dxa"/>
            <w:tcBorders>
              <w:top w:val="single" w:color="auto" w:sz="2" w:space="0"/>
              <w:left w:val="single" w:color="auto" w:sz="2" w:space="0"/>
              <w:bottom w:val="single" w:color="auto" w:sz="2" w:space="0"/>
              <w:right w:val="single" w:color="auto" w:sz="2" w:space="0"/>
            </w:tcBorders>
            <w:shd w:val="clear" w:color="auto" w:fill="D3D3D3"/>
            <w:vAlign w:val="center"/>
          </w:tcPr>
          <w:p w14:paraId="0D32389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接待方式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F3E69C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接待对象类型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3D7B3E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接待对象</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2492D3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谈论的主要内容及提供的资料</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3B2AD5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调研的基本情况索引</w:t>
            </w:r>
          </w:p>
        </w:tc>
      </w:tr>
      <w:tr w14:paraId="2CD4C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vAlign w:val="center"/>
          </w:tcPr>
          <w:p w14:paraId="5804027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2025年04月30日</w:t>
            </w:r>
          </w:p>
        </w:tc>
        <w:tc>
          <w:tcPr>
            <w:tcW w:w="1175" w:type="dxa"/>
            <w:tcBorders>
              <w:top w:val="single" w:color="auto" w:sz="2" w:space="0"/>
              <w:left w:val="single" w:color="auto" w:sz="2" w:space="0"/>
              <w:bottom w:val="single" w:color="auto" w:sz="2" w:space="0"/>
              <w:right w:val="single" w:color="auto" w:sz="2" w:space="0"/>
            </w:tcBorders>
            <w:vAlign w:val="center"/>
          </w:tcPr>
          <w:p w14:paraId="0AF950A3">
            <w:pPr>
              <w:spacing w:before="0" w:after="0" w:line="240" w:lineRule="exact"/>
              <w:jc w:val="left"/>
              <w:rPr>
                <w:rFonts w:hint="eastAsia" w:ascii="Times New Roman" w:hAnsi="Times New Roman" w:eastAsia="宋体" w:cs="Times New Roman"/>
                <w:sz w:val="18"/>
                <w:szCs w:val="18"/>
                <w:lang w:eastAsia="zh-CN"/>
              </w:rPr>
            </w:pPr>
            <w:r>
              <w:rPr>
                <w:rFonts w:hint="default" w:ascii="Times New Roman" w:hAnsi="Times New Roman" w:eastAsia="宋体" w:cs="Times New Roman"/>
                <w:sz w:val="18"/>
                <w:szCs w:val="18"/>
              </w:rPr>
              <w:t>全景网</w:t>
            </w:r>
            <w:r>
              <w:rPr>
                <w:rFonts w:hint="eastAsia" w:cs="Times New Roman"/>
                <w:sz w:val="18"/>
                <w:szCs w:val="18"/>
                <w:lang w:eastAsia="zh-CN"/>
              </w:rPr>
              <w:t>“</w:t>
            </w:r>
            <w:r>
              <w:rPr>
                <w:rFonts w:hint="default" w:ascii="Times New Roman" w:hAnsi="Times New Roman" w:eastAsia="宋体" w:cs="Times New Roman"/>
                <w:sz w:val="18"/>
                <w:szCs w:val="18"/>
              </w:rPr>
              <w:t>投资者关系互动平台</w:t>
            </w:r>
            <w:r>
              <w:rPr>
                <w:rFonts w:hint="eastAsia" w:cs="Times New Roman"/>
                <w:sz w:val="18"/>
                <w:szCs w:val="18"/>
                <w:lang w:eastAsia="zh-CN"/>
              </w:rPr>
              <w:t>”</w:t>
            </w:r>
          </w:p>
        </w:tc>
        <w:tc>
          <w:tcPr>
            <w:tcW w:w="1175" w:type="dxa"/>
            <w:tcBorders>
              <w:top w:val="single" w:color="auto" w:sz="2" w:space="0"/>
              <w:left w:val="single" w:color="auto" w:sz="2" w:space="0"/>
              <w:bottom w:val="single" w:color="auto" w:sz="2" w:space="0"/>
              <w:right w:val="single" w:color="auto" w:sz="2" w:space="0"/>
            </w:tcBorders>
            <w:vAlign w:val="center"/>
          </w:tcPr>
          <w:p w14:paraId="3B1DAC4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网络平台线上交流</w:t>
            </w:r>
          </w:p>
        </w:tc>
        <w:tc>
          <w:tcPr>
            <w:tcW w:w="1377" w:type="dxa"/>
            <w:tcBorders>
              <w:top w:val="single" w:color="auto" w:sz="2" w:space="0"/>
              <w:left w:val="single" w:color="auto" w:sz="2" w:space="0"/>
              <w:bottom w:val="single" w:color="auto" w:sz="2" w:space="0"/>
              <w:right w:val="single" w:color="auto" w:sz="2" w:space="0"/>
            </w:tcBorders>
            <w:vAlign w:val="center"/>
          </w:tcPr>
          <w:p w14:paraId="5FFBD7ED">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14:paraId="35AC0E9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参与冠昊生物2024年度业绩网上说明会的投资者</w:t>
            </w:r>
          </w:p>
        </w:tc>
        <w:tc>
          <w:tcPr>
            <w:tcW w:w="1377" w:type="dxa"/>
            <w:tcBorders>
              <w:top w:val="single" w:color="auto" w:sz="2" w:space="0"/>
              <w:left w:val="single" w:color="auto" w:sz="2" w:space="0"/>
              <w:bottom w:val="single" w:color="auto" w:sz="2" w:space="0"/>
              <w:right w:val="single" w:color="auto" w:sz="2" w:space="0"/>
            </w:tcBorders>
            <w:vAlign w:val="center"/>
          </w:tcPr>
          <w:p w14:paraId="2D84417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公司未来的发展前景，定向增发进度、未来盈利增长的主要驱动因素以及产品研发情况等</w:t>
            </w:r>
          </w:p>
        </w:tc>
        <w:tc>
          <w:tcPr>
            <w:tcW w:w="1377" w:type="dxa"/>
            <w:tcBorders>
              <w:top w:val="single" w:color="auto" w:sz="2" w:space="0"/>
              <w:left w:val="single" w:color="auto" w:sz="2" w:space="0"/>
              <w:bottom w:val="single" w:color="auto" w:sz="2" w:space="0"/>
              <w:right w:val="single" w:color="auto" w:sz="2" w:space="0"/>
            </w:tcBorders>
            <w:vAlign w:val="center"/>
          </w:tcPr>
          <w:p w14:paraId="64DEAEE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巨潮资讯网</w:t>
            </w:r>
          </w:p>
          <w:p w14:paraId="5A2C3C9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http://www.cninfo.com.cn/new/disclosure/detail?plate=szse&amp;orgId=9900011950&amp;stockCode=300238&amp;announcementId=1223445049&amp;announcementTime=2025-04-30%2017:20</w:t>
            </w:r>
          </w:p>
        </w:tc>
      </w:tr>
      <w:tr w14:paraId="06194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vAlign w:val="center"/>
          </w:tcPr>
          <w:p w14:paraId="3D9B3E1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2025年09月19日</w:t>
            </w:r>
          </w:p>
        </w:tc>
        <w:tc>
          <w:tcPr>
            <w:tcW w:w="1175" w:type="dxa"/>
            <w:tcBorders>
              <w:top w:val="single" w:color="auto" w:sz="2" w:space="0"/>
              <w:left w:val="single" w:color="auto" w:sz="2" w:space="0"/>
              <w:bottom w:val="single" w:color="auto" w:sz="2" w:space="0"/>
              <w:right w:val="single" w:color="auto" w:sz="2" w:space="0"/>
            </w:tcBorders>
            <w:vAlign w:val="center"/>
          </w:tcPr>
          <w:p w14:paraId="58300D46">
            <w:pPr>
              <w:spacing w:before="0" w:after="0" w:line="240" w:lineRule="exact"/>
              <w:jc w:val="left"/>
              <w:rPr>
                <w:rFonts w:hint="eastAsia" w:ascii="Times New Roman" w:hAnsi="Times New Roman" w:eastAsia="宋体" w:cs="Times New Roman"/>
                <w:sz w:val="18"/>
                <w:szCs w:val="18"/>
                <w:lang w:eastAsia="zh-CN"/>
              </w:rPr>
            </w:pPr>
            <w:r>
              <w:rPr>
                <w:rFonts w:hint="default" w:ascii="Times New Roman" w:hAnsi="Times New Roman" w:eastAsia="宋体" w:cs="Times New Roman"/>
                <w:sz w:val="18"/>
                <w:szCs w:val="18"/>
              </w:rPr>
              <w:t>全景网</w:t>
            </w:r>
            <w:r>
              <w:rPr>
                <w:rFonts w:hint="eastAsia" w:cs="Times New Roman"/>
                <w:sz w:val="18"/>
                <w:szCs w:val="18"/>
                <w:lang w:eastAsia="zh-CN"/>
              </w:rPr>
              <w:t>“</w:t>
            </w:r>
            <w:r>
              <w:rPr>
                <w:rFonts w:hint="default" w:ascii="Times New Roman" w:hAnsi="Times New Roman" w:eastAsia="宋体" w:cs="Times New Roman"/>
                <w:sz w:val="18"/>
                <w:szCs w:val="18"/>
              </w:rPr>
              <w:t>网上路演厅</w:t>
            </w:r>
            <w:r>
              <w:rPr>
                <w:rFonts w:hint="eastAsia" w:cs="Times New Roman"/>
                <w:sz w:val="18"/>
                <w:szCs w:val="18"/>
                <w:lang w:eastAsia="zh-CN"/>
              </w:rPr>
              <w:t>”</w:t>
            </w:r>
          </w:p>
        </w:tc>
        <w:tc>
          <w:tcPr>
            <w:tcW w:w="1175" w:type="dxa"/>
            <w:tcBorders>
              <w:top w:val="single" w:color="auto" w:sz="2" w:space="0"/>
              <w:left w:val="single" w:color="auto" w:sz="2" w:space="0"/>
              <w:bottom w:val="single" w:color="auto" w:sz="2" w:space="0"/>
              <w:right w:val="single" w:color="auto" w:sz="2" w:space="0"/>
            </w:tcBorders>
            <w:vAlign w:val="center"/>
          </w:tcPr>
          <w:p w14:paraId="168D83B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网络平台线上交流</w:t>
            </w:r>
          </w:p>
        </w:tc>
        <w:tc>
          <w:tcPr>
            <w:tcW w:w="1377" w:type="dxa"/>
            <w:tcBorders>
              <w:top w:val="single" w:color="auto" w:sz="2" w:space="0"/>
              <w:left w:val="single" w:color="auto" w:sz="2" w:space="0"/>
              <w:bottom w:val="single" w:color="auto" w:sz="2" w:space="0"/>
              <w:right w:val="single" w:color="auto" w:sz="2" w:space="0"/>
            </w:tcBorders>
            <w:vAlign w:val="center"/>
          </w:tcPr>
          <w:p w14:paraId="3CDBEC29">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14:paraId="42068CB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参加冠昊生物2025年投资者网上集体接待</w:t>
            </w:r>
          </w:p>
          <w:p w14:paraId="77E0575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日活动的投资者</w:t>
            </w:r>
          </w:p>
        </w:tc>
        <w:tc>
          <w:tcPr>
            <w:tcW w:w="1377" w:type="dxa"/>
            <w:tcBorders>
              <w:top w:val="single" w:color="auto" w:sz="2" w:space="0"/>
              <w:left w:val="single" w:color="auto" w:sz="2" w:space="0"/>
              <w:bottom w:val="single" w:color="auto" w:sz="2" w:space="0"/>
              <w:right w:val="single" w:color="auto" w:sz="2" w:space="0"/>
            </w:tcBorders>
            <w:vAlign w:val="center"/>
          </w:tcPr>
          <w:p w14:paraId="7DF024D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公司业务情况及进展、业绩增长点等</w:t>
            </w:r>
          </w:p>
        </w:tc>
        <w:tc>
          <w:tcPr>
            <w:tcW w:w="1377" w:type="dxa"/>
            <w:tcBorders>
              <w:top w:val="single" w:color="auto" w:sz="2" w:space="0"/>
              <w:left w:val="single" w:color="auto" w:sz="2" w:space="0"/>
              <w:bottom w:val="single" w:color="auto" w:sz="2" w:space="0"/>
              <w:right w:val="single" w:color="auto" w:sz="2" w:space="0"/>
            </w:tcBorders>
            <w:vAlign w:val="center"/>
          </w:tcPr>
          <w:p w14:paraId="299BD60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巨潮资讯网</w:t>
            </w:r>
          </w:p>
          <w:p w14:paraId="199E19D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http://www.cninfo.com.cn/new/disclosure/detail?plate=szse&amp;orgId=9900011950&amp;stockCode=300238&amp;announcementId=1224671686&amp;announcementTime=2025-09-19%2018:04</w:t>
            </w:r>
          </w:p>
        </w:tc>
      </w:tr>
    </w:tbl>
    <w:p w14:paraId="4543C9FB">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73" w:name="_Toc13026"/>
      <w:bookmarkStart w:id="74" w:name="_Toc988938"/>
      <w:r>
        <w:rPr>
          <w:rFonts w:hint="default" w:ascii="Times New Roman" w:hAnsi="Times New Roman" w:eastAsia="宋体" w:cs="Times New Roman"/>
          <w:b/>
          <w:bCs/>
          <w:sz w:val="24"/>
          <w:szCs w:val="24"/>
        </w:rPr>
        <w:t>十三、市值管理制度和估值提升计划的制定落实情况</w:t>
      </w:r>
      <w:bookmarkEnd w:id="73"/>
      <w:bookmarkEnd w:id="74"/>
    </w:p>
    <w:p w14:paraId="652BC0FD">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公司是否制定了市值管理制度。</w:t>
      </w:r>
    </w:p>
    <w:p w14:paraId="03B7A50D">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□是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否</w:t>
      </w:r>
    </w:p>
    <w:p w14:paraId="1307431A">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公司是否披露了估值提升计划。</w:t>
      </w:r>
    </w:p>
    <w:p w14:paraId="098485F6">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□是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否</w:t>
      </w:r>
    </w:p>
    <w:p w14:paraId="4A707C68">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75" w:name="_Toc6125"/>
      <w:bookmarkStart w:id="76" w:name="_Toc988939"/>
      <w:r>
        <w:rPr>
          <w:rFonts w:hint="default" w:ascii="Times New Roman" w:hAnsi="Times New Roman" w:eastAsia="宋体" w:cs="Times New Roman"/>
          <w:b/>
          <w:bCs/>
          <w:sz w:val="24"/>
          <w:szCs w:val="24"/>
        </w:rPr>
        <w:t>十四、</w:t>
      </w:r>
      <w:r>
        <w:rPr>
          <w:rFonts w:hint="eastAsia" w:cs="Times New Roman"/>
          <w:b/>
          <w:bCs/>
          <w:sz w:val="24"/>
          <w:szCs w:val="24"/>
          <w:lang w:eastAsia="zh-CN"/>
        </w:rPr>
        <w:t>“</w:t>
      </w:r>
      <w:r>
        <w:rPr>
          <w:rFonts w:hint="default" w:ascii="Times New Roman" w:hAnsi="Times New Roman" w:eastAsia="宋体" w:cs="Times New Roman"/>
          <w:b/>
          <w:bCs/>
          <w:sz w:val="24"/>
          <w:szCs w:val="24"/>
        </w:rPr>
        <w:t>质量回报双提升</w:t>
      </w:r>
      <w:r>
        <w:rPr>
          <w:rFonts w:hint="eastAsia" w:cs="Times New Roman"/>
          <w:b/>
          <w:bCs/>
          <w:sz w:val="24"/>
          <w:szCs w:val="24"/>
          <w:lang w:eastAsia="zh-CN"/>
        </w:rPr>
        <w:t>”</w:t>
      </w:r>
      <w:r>
        <w:rPr>
          <w:rFonts w:hint="default" w:ascii="Times New Roman" w:hAnsi="Times New Roman" w:eastAsia="宋体" w:cs="Times New Roman"/>
          <w:b/>
          <w:bCs/>
          <w:sz w:val="24"/>
          <w:szCs w:val="24"/>
        </w:rPr>
        <w:t>行动方案贯彻落实情况</w:t>
      </w:r>
      <w:bookmarkEnd w:id="75"/>
      <w:bookmarkEnd w:id="76"/>
    </w:p>
    <w:p w14:paraId="48354DC3">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公司是否披露了</w:t>
      </w:r>
      <w:r>
        <w:rPr>
          <w:rFonts w:hint="eastAsia" w:cs="Times New Roman"/>
          <w:sz w:val="18"/>
          <w:szCs w:val="18"/>
          <w:lang w:eastAsia="zh-CN"/>
        </w:rPr>
        <w:t>“</w:t>
      </w:r>
      <w:r>
        <w:rPr>
          <w:rFonts w:hint="default" w:ascii="Times New Roman" w:hAnsi="Times New Roman" w:eastAsia="宋体" w:cs="Times New Roman"/>
          <w:sz w:val="18"/>
          <w:szCs w:val="18"/>
        </w:rPr>
        <w:t>质量回报双提升</w:t>
      </w:r>
      <w:r>
        <w:rPr>
          <w:rFonts w:hint="eastAsia" w:cs="Times New Roman"/>
          <w:sz w:val="18"/>
          <w:szCs w:val="18"/>
          <w:lang w:eastAsia="zh-CN"/>
        </w:rPr>
        <w:t>”</w:t>
      </w:r>
      <w:r>
        <w:rPr>
          <w:rFonts w:hint="default" w:ascii="Times New Roman" w:hAnsi="Times New Roman" w:eastAsia="宋体" w:cs="Times New Roman"/>
          <w:sz w:val="18"/>
          <w:szCs w:val="18"/>
        </w:rPr>
        <w:t>行动方案公告。</w:t>
      </w:r>
    </w:p>
    <w:p w14:paraId="65E414A1">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□是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否</w:t>
      </w:r>
    </w:p>
    <w:p w14:paraId="177FAA31">
      <w:pPr>
        <w:rPr>
          <w:rFonts w:hint="default" w:ascii="Times New Roman" w:hAnsi="Times New Roman" w:cs="Times New Roman"/>
        </w:rPr>
      </w:pPr>
      <w:r>
        <w:rPr>
          <w:rFonts w:hint="default" w:ascii="Times New Roman" w:hAnsi="Times New Roman" w:cs="Times New Roman"/>
        </w:rPr>
        <w:br w:type="page"/>
      </w:r>
    </w:p>
    <w:p w14:paraId="6D8790BF">
      <w:pPr>
        <w:pStyle w:val="11"/>
        <w:keepNext/>
        <w:keepLines/>
        <w:spacing w:before="340" w:after="330" w:line="773" w:lineRule="exact"/>
        <w:jc w:val="center"/>
        <w:outlineLvl w:val="0"/>
        <w:rPr>
          <w:rFonts w:hint="default" w:ascii="Times New Roman" w:hAnsi="Times New Roman" w:eastAsia="宋体" w:cs="Times New Roman"/>
          <w:b/>
          <w:bCs/>
          <w:sz w:val="32"/>
          <w:szCs w:val="32"/>
        </w:rPr>
      </w:pPr>
      <w:bookmarkStart w:id="77" w:name="_Toc30109"/>
      <w:bookmarkStart w:id="78" w:name="_Toc988940"/>
      <w:r>
        <w:rPr>
          <w:rFonts w:hint="default" w:ascii="Times New Roman" w:hAnsi="Times New Roman" w:eastAsia="宋体" w:cs="Times New Roman"/>
          <w:b/>
          <w:bCs/>
          <w:sz w:val="32"/>
          <w:szCs w:val="32"/>
        </w:rPr>
        <w:t>第四节 公司治理、环境和社会</w:t>
      </w:r>
      <w:bookmarkEnd w:id="77"/>
      <w:bookmarkEnd w:id="78"/>
    </w:p>
    <w:p w14:paraId="2BF3891B">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79" w:name="_Toc988941"/>
      <w:bookmarkStart w:id="80" w:name="_Toc8199"/>
      <w:r>
        <w:rPr>
          <w:rFonts w:hint="default" w:ascii="Times New Roman" w:hAnsi="Times New Roman" w:eastAsia="宋体" w:cs="Times New Roman"/>
          <w:b/>
          <w:bCs/>
          <w:sz w:val="24"/>
          <w:szCs w:val="24"/>
        </w:rPr>
        <w:t>一、公司治理的基本状况</w:t>
      </w:r>
      <w:bookmarkEnd w:id="79"/>
      <w:bookmarkEnd w:id="80"/>
    </w:p>
    <w:p w14:paraId="15C837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公司严格按照《公司法》《证券法》《上市公司治理准则》《创业板股票上市规则》《创业板上市公司规范运作指引》等法律法规和规范性文件的要求，结合自身实际情况，持续完善股东会、董事会及经营管理层的法人治理结构及内部组织架构，不断健全内部管理制度与管控机制，积极开展投资者关系管理工作，通过多样化举措持续提升公司治理质量与规范化运作水平，切实维护公司与全体股东的合法权益。</w:t>
      </w:r>
    </w:p>
    <w:p w14:paraId="1DFC44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公司股东会、董事会及董事会各专门委员会等决策、监督机构均依法运作，公司治理的实际情况符合中国证监会、深交所等发布的法律法规和规范性文件的要求。2025年6月，公司完成监事会改革，明确监事会法定职权由董事会审计委员会承接，实现监督职能平稳过渡；同时，依据相关法律法规和规范性文件要求，公司对多项治理制度进行修订完善，具体如下：</w:t>
      </w:r>
    </w:p>
    <w:tbl>
      <w:tblPr>
        <w:tblStyle w:val="7"/>
        <w:tblW w:w="10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18"/>
        <w:gridCol w:w="2063"/>
        <w:gridCol w:w="3539"/>
      </w:tblGrid>
      <w:tr w14:paraId="7F12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1CD200AC">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Style w:val="9"/>
                <w:rFonts w:hint="default" w:ascii="Times New Roman" w:hAnsi="Times New Roman" w:eastAsia="宋体" w:cs="Times New Roman"/>
                <w:color w:val="000000"/>
                <w:sz w:val="18"/>
                <w:szCs w:val="18"/>
              </w:rPr>
              <w:t>制度名称</w:t>
            </w:r>
          </w:p>
        </w:tc>
        <w:tc>
          <w:tcPr>
            <w:tcW w:w="2063"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14:paraId="5821CAFF">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Style w:val="9"/>
                <w:rFonts w:hint="default" w:ascii="Times New Roman" w:hAnsi="Times New Roman" w:eastAsia="宋体" w:cs="Times New Roman"/>
                <w:color w:val="000000"/>
                <w:sz w:val="18"/>
                <w:szCs w:val="18"/>
              </w:rPr>
              <w:t>披露日期</w:t>
            </w:r>
          </w:p>
        </w:tc>
        <w:tc>
          <w:tcPr>
            <w:tcW w:w="3539"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14:paraId="0AFEACA0">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Style w:val="9"/>
                <w:rFonts w:hint="default" w:ascii="Times New Roman" w:hAnsi="Times New Roman" w:eastAsia="宋体" w:cs="Times New Roman"/>
                <w:color w:val="000000"/>
                <w:sz w:val="18"/>
                <w:szCs w:val="18"/>
              </w:rPr>
              <w:t>披露索引</w:t>
            </w:r>
          </w:p>
        </w:tc>
      </w:tr>
      <w:tr w14:paraId="47067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37EB4E03">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公司章程</w:t>
            </w:r>
          </w:p>
        </w:tc>
        <w:tc>
          <w:tcPr>
            <w:tcW w:w="206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2F553D8B">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2025年6月7日</w:t>
            </w:r>
          </w:p>
        </w:tc>
        <w:tc>
          <w:tcPr>
            <w:tcW w:w="353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07E6ED86">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巨潮资讯网</w:t>
            </w:r>
          </w:p>
          <w:p w14:paraId="27058B8E">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（http://www.cninfo.com.cn）</w:t>
            </w:r>
          </w:p>
        </w:tc>
      </w:tr>
      <w:tr w14:paraId="4387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3D06A03E">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股东会议事规则</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7F192B7F">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637C1A48">
            <w:pPr>
              <w:rPr>
                <w:rFonts w:hint="default" w:ascii="Times New Roman" w:hAnsi="Times New Roman" w:cs="Times New Roman"/>
                <w:sz w:val="24"/>
                <w:szCs w:val="24"/>
              </w:rPr>
            </w:pPr>
          </w:p>
        </w:tc>
      </w:tr>
      <w:tr w14:paraId="6AC8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5CDC1636">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股东会网络投票管理制度</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74D8EA0D">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2AB6EDAC">
            <w:pPr>
              <w:rPr>
                <w:rFonts w:hint="default" w:ascii="Times New Roman" w:hAnsi="Times New Roman" w:cs="Times New Roman"/>
                <w:sz w:val="24"/>
                <w:szCs w:val="24"/>
              </w:rPr>
            </w:pPr>
          </w:p>
        </w:tc>
      </w:tr>
      <w:tr w14:paraId="40E7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657DC633">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累积投票制实施细则</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54523668">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D78B65D">
            <w:pPr>
              <w:rPr>
                <w:rFonts w:hint="default" w:ascii="Times New Roman" w:hAnsi="Times New Roman" w:cs="Times New Roman"/>
                <w:sz w:val="24"/>
                <w:szCs w:val="24"/>
              </w:rPr>
            </w:pPr>
          </w:p>
        </w:tc>
      </w:tr>
      <w:tr w14:paraId="65BC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55271018">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董事会议事规则</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F0E7A0E">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3E643CC">
            <w:pPr>
              <w:rPr>
                <w:rFonts w:hint="default" w:ascii="Times New Roman" w:hAnsi="Times New Roman" w:cs="Times New Roman"/>
                <w:sz w:val="24"/>
                <w:szCs w:val="24"/>
              </w:rPr>
            </w:pPr>
          </w:p>
        </w:tc>
      </w:tr>
      <w:tr w14:paraId="51E4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344432EC">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独立董事工作细则</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3D8378EA">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386C627C">
            <w:pPr>
              <w:rPr>
                <w:rFonts w:hint="default" w:ascii="Times New Roman" w:hAnsi="Times New Roman" w:cs="Times New Roman"/>
                <w:sz w:val="24"/>
                <w:szCs w:val="24"/>
              </w:rPr>
            </w:pPr>
          </w:p>
        </w:tc>
      </w:tr>
      <w:tr w14:paraId="3955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783FC385">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董事会战略委员会实施细则</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5B0CE903">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0EA63957">
            <w:pPr>
              <w:rPr>
                <w:rFonts w:hint="default" w:ascii="Times New Roman" w:hAnsi="Times New Roman" w:cs="Times New Roman"/>
                <w:sz w:val="24"/>
                <w:szCs w:val="24"/>
              </w:rPr>
            </w:pPr>
          </w:p>
        </w:tc>
      </w:tr>
      <w:tr w14:paraId="52A3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6E8A6440">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董事会审计委员会实施细则</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57D104C1">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A59D1F2">
            <w:pPr>
              <w:rPr>
                <w:rFonts w:hint="default" w:ascii="Times New Roman" w:hAnsi="Times New Roman" w:cs="Times New Roman"/>
                <w:sz w:val="24"/>
                <w:szCs w:val="24"/>
              </w:rPr>
            </w:pPr>
          </w:p>
        </w:tc>
      </w:tr>
      <w:tr w14:paraId="3683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480B9358">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董事会审计委员会年度报告审计工作制度</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0F707A08">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F34740D">
            <w:pPr>
              <w:rPr>
                <w:rFonts w:hint="default" w:ascii="Times New Roman" w:hAnsi="Times New Roman" w:cs="Times New Roman"/>
                <w:sz w:val="24"/>
                <w:szCs w:val="24"/>
              </w:rPr>
            </w:pPr>
          </w:p>
        </w:tc>
      </w:tr>
      <w:tr w14:paraId="64D0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0A270694">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董事会提名委员会实施细则</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1F900ADB">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1D0942DB">
            <w:pPr>
              <w:rPr>
                <w:rFonts w:hint="default" w:ascii="Times New Roman" w:hAnsi="Times New Roman" w:cs="Times New Roman"/>
                <w:sz w:val="24"/>
                <w:szCs w:val="24"/>
              </w:rPr>
            </w:pPr>
          </w:p>
        </w:tc>
      </w:tr>
      <w:tr w14:paraId="749B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19A08527">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董事会薪酬与考核委员会实施细则</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76AF50F6">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7BA50DE">
            <w:pPr>
              <w:rPr>
                <w:rFonts w:hint="default" w:ascii="Times New Roman" w:hAnsi="Times New Roman" w:cs="Times New Roman"/>
                <w:sz w:val="24"/>
                <w:szCs w:val="24"/>
              </w:rPr>
            </w:pPr>
          </w:p>
        </w:tc>
      </w:tr>
      <w:tr w14:paraId="14C6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1D9BAB2B">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募集资金使用管理制度</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664104E3">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0FB62ED9">
            <w:pPr>
              <w:rPr>
                <w:rFonts w:hint="default" w:ascii="Times New Roman" w:hAnsi="Times New Roman" w:cs="Times New Roman"/>
                <w:sz w:val="24"/>
                <w:szCs w:val="24"/>
              </w:rPr>
            </w:pPr>
          </w:p>
        </w:tc>
      </w:tr>
      <w:tr w14:paraId="6298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4650A4DA">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对外投资管理制度</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51D9A5E9">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14531FE2">
            <w:pPr>
              <w:rPr>
                <w:rFonts w:hint="default" w:ascii="Times New Roman" w:hAnsi="Times New Roman" w:cs="Times New Roman"/>
                <w:sz w:val="24"/>
                <w:szCs w:val="24"/>
              </w:rPr>
            </w:pPr>
          </w:p>
        </w:tc>
      </w:tr>
      <w:tr w14:paraId="0AB5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667BF661">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利润分配管理制度</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50389E5D">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2BE5A149">
            <w:pPr>
              <w:rPr>
                <w:rFonts w:hint="default" w:ascii="Times New Roman" w:hAnsi="Times New Roman" w:cs="Times New Roman"/>
                <w:sz w:val="24"/>
                <w:szCs w:val="24"/>
              </w:rPr>
            </w:pPr>
          </w:p>
        </w:tc>
      </w:tr>
      <w:tr w14:paraId="6834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4" w:hRule="atLeast"/>
        </w:trPr>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733B2E29">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关联交易管理办法</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6A998E96">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02DD60E">
            <w:pPr>
              <w:rPr>
                <w:rFonts w:hint="default" w:ascii="Times New Roman" w:hAnsi="Times New Roman" w:cs="Times New Roman"/>
                <w:sz w:val="24"/>
                <w:szCs w:val="24"/>
              </w:rPr>
            </w:pPr>
          </w:p>
        </w:tc>
      </w:tr>
      <w:tr w14:paraId="3D93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2A47C29C">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对外担保管理制度</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265FE0DB">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0422EA68">
            <w:pPr>
              <w:rPr>
                <w:rFonts w:hint="default" w:ascii="Times New Roman" w:hAnsi="Times New Roman" w:cs="Times New Roman"/>
                <w:sz w:val="24"/>
                <w:szCs w:val="24"/>
              </w:rPr>
            </w:pPr>
          </w:p>
        </w:tc>
      </w:tr>
      <w:tr w14:paraId="35C0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271F51C7">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董事、高级管理人员离职管理制度</w:t>
            </w:r>
          </w:p>
        </w:tc>
        <w:tc>
          <w:tcPr>
            <w:tcW w:w="2063" w:type="dxa"/>
            <w:tcBorders>
              <w:top w:val="nil"/>
              <w:left w:val="nil"/>
              <w:bottom w:val="single" w:color="auto" w:sz="8" w:space="0"/>
              <w:right w:val="single" w:color="auto" w:sz="8" w:space="0"/>
            </w:tcBorders>
            <w:shd w:val="clear" w:color="auto" w:fill="FFFFFF"/>
            <w:tcMar>
              <w:left w:w="108" w:type="dxa"/>
              <w:right w:w="108" w:type="dxa"/>
            </w:tcMar>
            <w:vAlign w:val="center"/>
          </w:tcPr>
          <w:p w14:paraId="738D3274">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2025年6月24日</w:t>
            </w: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12E97B7E">
            <w:pPr>
              <w:rPr>
                <w:rFonts w:hint="default" w:ascii="Times New Roman" w:hAnsi="Times New Roman" w:cs="Times New Roman"/>
                <w:sz w:val="24"/>
                <w:szCs w:val="24"/>
              </w:rPr>
            </w:pPr>
          </w:p>
        </w:tc>
      </w:tr>
      <w:tr w14:paraId="356B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5746804A">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董事、高级管理人员所持公司股份及其变动管理制度</w:t>
            </w:r>
          </w:p>
        </w:tc>
        <w:tc>
          <w:tcPr>
            <w:tcW w:w="206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34C9333E">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2025年8月28日</w:t>
            </w: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1C600657">
            <w:pPr>
              <w:rPr>
                <w:rFonts w:hint="default" w:ascii="Times New Roman" w:hAnsi="Times New Roman" w:cs="Times New Roman"/>
                <w:sz w:val="24"/>
                <w:szCs w:val="24"/>
              </w:rPr>
            </w:pPr>
          </w:p>
        </w:tc>
      </w:tr>
      <w:tr w14:paraId="134B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7F2BDC6C">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总经理工作细则</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205C99EC">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67278C17">
            <w:pPr>
              <w:rPr>
                <w:rFonts w:hint="default" w:ascii="Times New Roman" w:hAnsi="Times New Roman" w:cs="Times New Roman"/>
                <w:sz w:val="24"/>
                <w:szCs w:val="24"/>
              </w:rPr>
            </w:pPr>
          </w:p>
        </w:tc>
      </w:tr>
      <w:tr w14:paraId="02F4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5C8C1A4A">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董事会秘书工作制度</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33C59472">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220B590B">
            <w:pPr>
              <w:rPr>
                <w:rFonts w:hint="default" w:ascii="Times New Roman" w:hAnsi="Times New Roman" w:cs="Times New Roman"/>
                <w:sz w:val="24"/>
                <w:szCs w:val="24"/>
              </w:rPr>
            </w:pPr>
          </w:p>
        </w:tc>
      </w:tr>
      <w:tr w14:paraId="101C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026F2795">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内幕信息知情人登记管理制度</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109A7ACB">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790B87C4">
            <w:pPr>
              <w:rPr>
                <w:rFonts w:hint="default" w:ascii="Times New Roman" w:hAnsi="Times New Roman" w:cs="Times New Roman"/>
                <w:sz w:val="24"/>
                <w:szCs w:val="24"/>
              </w:rPr>
            </w:pPr>
          </w:p>
        </w:tc>
      </w:tr>
      <w:tr w14:paraId="35BB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38644BD4">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重大信息内部报告制度</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11613301">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6B347B9C">
            <w:pPr>
              <w:rPr>
                <w:rFonts w:hint="default" w:ascii="Times New Roman" w:hAnsi="Times New Roman" w:cs="Times New Roman"/>
                <w:sz w:val="24"/>
                <w:szCs w:val="24"/>
              </w:rPr>
            </w:pPr>
          </w:p>
        </w:tc>
      </w:tr>
      <w:tr w14:paraId="2F03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602F6377">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对外报送信息管理制度</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3335E283">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54AAE8C3">
            <w:pPr>
              <w:rPr>
                <w:rFonts w:hint="default" w:ascii="Times New Roman" w:hAnsi="Times New Roman" w:cs="Times New Roman"/>
                <w:sz w:val="24"/>
                <w:szCs w:val="24"/>
              </w:rPr>
            </w:pPr>
          </w:p>
        </w:tc>
      </w:tr>
      <w:tr w14:paraId="42A58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01D26536">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突发事件处理制度</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714046D">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780107C7">
            <w:pPr>
              <w:rPr>
                <w:rFonts w:hint="default" w:ascii="Times New Roman" w:hAnsi="Times New Roman" w:cs="Times New Roman"/>
                <w:sz w:val="24"/>
                <w:szCs w:val="24"/>
              </w:rPr>
            </w:pPr>
          </w:p>
        </w:tc>
      </w:tr>
      <w:tr w14:paraId="7817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7189EC9A">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投资者关系管理制度</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36F1A700">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53C27771">
            <w:pPr>
              <w:rPr>
                <w:rFonts w:hint="default" w:ascii="Times New Roman" w:hAnsi="Times New Roman" w:cs="Times New Roman"/>
                <w:sz w:val="24"/>
                <w:szCs w:val="24"/>
              </w:rPr>
            </w:pPr>
          </w:p>
        </w:tc>
      </w:tr>
      <w:tr w14:paraId="6CE9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46E1D5D8">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防范控股股东、实际控制人及其他关联方占用公司资金制度</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16EA8FB">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6B068724">
            <w:pPr>
              <w:rPr>
                <w:rFonts w:hint="default" w:ascii="Times New Roman" w:hAnsi="Times New Roman" w:cs="Times New Roman"/>
                <w:sz w:val="24"/>
                <w:szCs w:val="24"/>
              </w:rPr>
            </w:pPr>
          </w:p>
        </w:tc>
      </w:tr>
      <w:tr w14:paraId="7BEE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1C512194">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信息披露管理办法</w:t>
            </w:r>
          </w:p>
        </w:tc>
        <w:tc>
          <w:tcPr>
            <w:tcW w:w="206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7B3B6327">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2025年10月29日</w:t>
            </w: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01B4D2D2">
            <w:pPr>
              <w:rPr>
                <w:rFonts w:hint="default" w:ascii="Times New Roman" w:hAnsi="Times New Roman" w:cs="Times New Roman"/>
                <w:sz w:val="24"/>
                <w:szCs w:val="24"/>
              </w:rPr>
            </w:pPr>
          </w:p>
        </w:tc>
      </w:tr>
      <w:tr w14:paraId="2EAD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704D823C">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独立董事年报工作制度</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518EFE3F">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1EAE4DB1">
            <w:pPr>
              <w:rPr>
                <w:rFonts w:hint="default" w:ascii="Times New Roman" w:hAnsi="Times New Roman" w:cs="Times New Roman"/>
                <w:sz w:val="24"/>
                <w:szCs w:val="24"/>
              </w:rPr>
            </w:pPr>
          </w:p>
        </w:tc>
      </w:tr>
      <w:tr w14:paraId="5DD35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4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772E9A8D">
            <w:pPr>
              <w:pStyle w:val="6"/>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4"/>
                <w:szCs w:val="24"/>
              </w:rPr>
            </w:pPr>
            <w:r>
              <w:rPr>
                <w:rFonts w:hint="default" w:ascii="Times New Roman" w:hAnsi="Times New Roman" w:eastAsia="宋体" w:cs="Times New Roman"/>
                <w:color w:val="000000"/>
                <w:sz w:val="18"/>
                <w:szCs w:val="18"/>
              </w:rPr>
              <w:t>年报信息披露重大差错责任追究制度</w:t>
            </w:r>
          </w:p>
        </w:tc>
        <w:tc>
          <w:tcPr>
            <w:tcW w:w="206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04D593B9">
            <w:pPr>
              <w:rPr>
                <w:rFonts w:hint="default" w:ascii="Times New Roman" w:hAnsi="Times New Roman" w:cs="Times New Roman"/>
                <w:sz w:val="24"/>
                <w:szCs w:val="24"/>
              </w:rPr>
            </w:pPr>
          </w:p>
        </w:tc>
        <w:tc>
          <w:tcPr>
            <w:tcW w:w="353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056349E">
            <w:pPr>
              <w:rPr>
                <w:rFonts w:hint="default" w:ascii="Times New Roman" w:hAnsi="Times New Roman" w:cs="Times New Roman"/>
                <w:sz w:val="24"/>
                <w:szCs w:val="24"/>
              </w:rPr>
            </w:pPr>
          </w:p>
        </w:tc>
      </w:tr>
    </w:tbl>
    <w:p w14:paraId="4ACA568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360" w:firstLineChars="200"/>
        <w:textAlignment w:val="auto"/>
        <w:rPr>
          <w:rFonts w:hint="default" w:ascii="Times New Roman" w:hAnsi="Times New Roman" w:cs="Times New Roman"/>
        </w:rPr>
      </w:pPr>
      <w:r>
        <w:rPr>
          <w:rFonts w:hint="default" w:ascii="Times New Roman" w:hAnsi="Times New Roman" w:eastAsia="宋体" w:cs="Times New Roman"/>
          <w:sz w:val="18"/>
          <w:szCs w:val="18"/>
        </w:rPr>
        <w:t>截至报告期末，公司治理主要情况如下：</w:t>
      </w:r>
    </w:p>
    <w:p w14:paraId="6A62317F">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ind w:firstLine="360" w:firstLineChars="200"/>
        <w:textAlignment w:val="auto"/>
        <w:rPr>
          <w:rFonts w:hint="default" w:ascii="Times New Roman" w:hAnsi="Times New Roman" w:eastAsia="宋体" w:cs="Times New Roman"/>
          <w:sz w:val="18"/>
          <w:szCs w:val="18"/>
        </w:rPr>
      </w:pPr>
      <w:r>
        <w:rPr>
          <w:rStyle w:val="9"/>
          <w:rFonts w:hint="default" w:ascii="Times New Roman" w:hAnsi="Times New Roman" w:eastAsia="宋体" w:cs="Times New Roman"/>
          <w:sz w:val="18"/>
          <w:szCs w:val="18"/>
        </w:rPr>
        <w:t>关于股东与股东会</w:t>
      </w:r>
    </w:p>
    <w:p w14:paraId="4FE3455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right="0" w:rightChars="0"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报告期内，公司严格按照《公司法》《创业板</w:t>
      </w:r>
      <w:r>
        <w:rPr>
          <w:rFonts w:hint="eastAsia" w:cs="Times New Roman"/>
          <w:sz w:val="18"/>
          <w:szCs w:val="18"/>
          <w:lang w:val="en-US" w:eastAsia="zh-CN"/>
        </w:rPr>
        <w:t>上市公司</w:t>
      </w:r>
      <w:r>
        <w:rPr>
          <w:rFonts w:hint="default" w:ascii="Times New Roman" w:hAnsi="Times New Roman" w:eastAsia="宋体" w:cs="Times New Roman"/>
          <w:sz w:val="18"/>
          <w:szCs w:val="18"/>
        </w:rPr>
        <w:t>规范运作指引》《公司章程》《股东会议事规则》等法律法规、规范性文件的要求，规范股东会的召集、召开及表决程序，会议均聘请专业律师全程见证，确保合法合规。在会议形式上，公司采用现场与网络投票相结合的方式，积极拓宽股东参会渠道，为股东参加会议行使决策权创造便利条件，平等对待所有股东；在议案表决上，部分议案对中小投资者表决情况进行单独计票，重视其意见与诉求，切实维护中小投资者合法权益；在股东发言上，公司充分保障每位股东的发言权，并积极认真地回复股东提问，保障股东对公司重大事项的知情权、参与权、表决权。</w:t>
      </w:r>
    </w:p>
    <w:p w14:paraId="076E8617">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ind w:left="0" w:leftChars="0" w:right="0" w:rightChars="0" w:firstLine="360" w:firstLineChars="200"/>
        <w:textAlignment w:val="auto"/>
        <w:rPr>
          <w:rStyle w:val="9"/>
          <w:rFonts w:hint="default" w:ascii="Times New Roman" w:hAnsi="Times New Roman" w:eastAsia="宋体" w:cs="Times New Roman"/>
          <w:sz w:val="18"/>
          <w:szCs w:val="18"/>
        </w:rPr>
      </w:pPr>
      <w:r>
        <w:rPr>
          <w:rStyle w:val="9"/>
          <w:rFonts w:hint="default" w:ascii="Times New Roman" w:hAnsi="Times New Roman" w:eastAsia="宋体" w:cs="Times New Roman"/>
          <w:sz w:val="18"/>
          <w:szCs w:val="18"/>
        </w:rPr>
        <w:t>关于公司与控股股东</w:t>
      </w:r>
    </w:p>
    <w:p w14:paraId="30FD8FC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right="0" w:rightChars="0"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内，公司控股股东能够按照《公司法》等相关法律法规及《公司章程》的要求，严格规范自身行为，不存在超越公司股东会直接或间接干预公司的决策和经营活动的行为，未损害公司及其他股东的利益，在业务、资产、人员、机构、财务上与公司明确分开，不存在占用公司资金的现象，没有要求公司为其担保或为他人担保。公司始终高度重视维护中小股东权益，制定并严格执行关联交易管理制度，公司与控股股东的关联交易严格遵循相关法律法规要求，保证关联交易公平、公正和公允。在股东会等决策中，针对涉及控股股东利益的相关事项，严格执行回避表决制度。</w:t>
      </w:r>
    </w:p>
    <w:p w14:paraId="20E5100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right="0" w:rightChars="0" w:firstLine="360" w:firstLineChars="200"/>
        <w:textAlignment w:val="auto"/>
        <w:rPr>
          <w:rStyle w:val="9"/>
          <w:rFonts w:hint="default" w:ascii="Times New Roman" w:hAnsi="Times New Roman" w:eastAsia="宋体" w:cs="Times New Roman"/>
          <w:sz w:val="18"/>
          <w:szCs w:val="18"/>
        </w:rPr>
      </w:pPr>
      <w:r>
        <w:rPr>
          <w:rStyle w:val="9"/>
          <w:rFonts w:hint="default" w:ascii="Times New Roman" w:hAnsi="Times New Roman" w:eastAsia="宋体" w:cs="Times New Roman"/>
          <w:sz w:val="18"/>
          <w:szCs w:val="18"/>
        </w:rPr>
        <w:t>（三）关于董事与董事会</w:t>
      </w:r>
    </w:p>
    <w:p w14:paraId="4EB59E0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right="0" w:rightChars="0"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内，公司严格按照《公司法》《上市公司治理准则》《公司章程》等相关规定程序召集、召开了7次董事会会议，所有董事均能按要求勤勉尽责地履行职责，切实维护公司和全体股东的合法权益。公司董事会设有战略委员会、审计委员会、提名委员会和薪酬与考核委员会等四个专门委员会。专门委员会成员全部由董事组成，除战略委员会由公司董事长担任主任委员外，其他专门委员会均由独立董事担任主任委员，且独立董事人数占其他专门委员会委员的比例均超过半数，2名独立董事现场工作时间均超过了15天，为董事会的决策提供了科学和专业的意见和参考。各专门委员会依据《公司章程》和各专门委员会实施细则的规定履行职权，不受公司任何其他部门和个人的干预。</w:t>
      </w:r>
    </w:p>
    <w:p w14:paraId="3E932AF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right="0" w:rightChars="0" w:firstLine="360" w:firstLineChars="200"/>
        <w:textAlignment w:val="auto"/>
        <w:rPr>
          <w:rStyle w:val="9"/>
          <w:rFonts w:hint="default" w:ascii="Times New Roman" w:hAnsi="Times New Roman" w:eastAsia="宋体" w:cs="Times New Roman"/>
          <w:sz w:val="18"/>
          <w:szCs w:val="18"/>
        </w:rPr>
      </w:pPr>
      <w:r>
        <w:rPr>
          <w:rStyle w:val="9"/>
          <w:rFonts w:hint="default" w:ascii="Times New Roman" w:hAnsi="Times New Roman" w:eastAsia="宋体" w:cs="Times New Roman"/>
          <w:sz w:val="18"/>
          <w:szCs w:val="18"/>
        </w:rPr>
        <w:t>（四）关于公司与投资者</w:t>
      </w:r>
    </w:p>
    <w:p w14:paraId="5E42B0C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right="0" w:rightChars="0"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高度重视信息披露与投资者关系管理工作，严格按照《上市公司信息披露管理办法》等法律法规规定和公司《投资者关系管理制度》《重大信息内部报告制度》等操作文件的要求，真实、准确、完整、公平、及时地披露公司定期报告和其他各类重大信息，切实提升公司透明度。公司指定《证券时报》《中国证券报》《上海证券报》《证券日报》为信息披露报纸，巨潮资讯网为信息披露网站，确保公司所有股东能够平等获取公司相关信息。报告期内，公司持续深入有效开展投资者关系管理工作，热情接待投资者来访调研，耐心回复投资者来电咨询，通过举办业绩说明会、投资者网上集体接待日活动、互动易平台、投资者热线与专门邮箱等多种方式，与投资者进行深入互动交流。</w:t>
      </w:r>
    </w:p>
    <w:p w14:paraId="543CC60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right="0" w:rightChars="0" w:firstLine="360" w:firstLineChars="200"/>
        <w:textAlignment w:val="auto"/>
        <w:rPr>
          <w:rStyle w:val="9"/>
          <w:rFonts w:hint="default" w:ascii="Times New Roman" w:hAnsi="Times New Roman" w:eastAsia="宋体" w:cs="Times New Roman"/>
          <w:sz w:val="18"/>
          <w:szCs w:val="18"/>
        </w:rPr>
      </w:pPr>
      <w:r>
        <w:rPr>
          <w:rStyle w:val="9"/>
          <w:rFonts w:hint="default" w:ascii="Times New Roman" w:hAnsi="Times New Roman" w:eastAsia="宋体" w:cs="Times New Roman"/>
          <w:sz w:val="18"/>
          <w:szCs w:val="18"/>
        </w:rPr>
        <w:t>（五）关于相关利益者</w:t>
      </w:r>
    </w:p>
    <w:p w14:paraId="5FAA872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right="0" w:rightChars="0" w:firstLine="360" w:firstLineChars="200"/>
        <w:textAlignment w:val="auto"/>
        <w:rPr>
          <w:rFonts w:hint="default" w:ascii="Times New Roman" w:hAnsi="Times New Roman" w:cs="Times New Roman"/>
        </w:rPr>
      </w:pPr>
      <w:r>
        <w:rPr>
          <w:rFonts w:hint="default" w:ascii="Times New Roman" w:hAnsi="Times New Roman" w:eastAsia="宋体" w:cs="Times New Roman"/>
          <w:sz w:val="18"/>
          <w:szCs w:val="18"/>
        </w:rPr>
        <w:t>公司充分尊重和维护相关利益者的合法权益，积极践行社会责任，全方位加强与相关利益者的沟通协作，致力于实现股东、员工、社会等各方利益的协同共进，诚信对待供应商和客户等各类合作伙伴，坚持与利益相关者互利共赢的原则，共同推动公司健康、持续的发展。对员工，公司通过建立科学公正的绩效评价标准，激发员工潜能，提升管理效能，助力员工与公司共同成长；对伙伴，公司以良好的运营体系持续提供稳健的产品与服务，携手实现互利共赢；对社会，公司严格遵循相关法律法规的要求，从安全生产到绿色发展，切实保证企业责任的正向传递与积极履行。</w:t>
      </w:r>
    </w:p>
    <w:p w14:paraId="22862039">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公司治理的实际状况与法律、行政法规和中国证监会发布的关于上市公司治理的规定是否存在重大差异</w:t>
      </w:r>
    </w:p>
    <w:p w14:paraId="5CD04D89">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□是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否</w:t>
      </w:r>
    </w:p>
    <w:p w14:paraId="1EB525F7">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公司治理的实际状况与法律、行政法规和中国证监会发布的关于上市公司治理的规定不存在重大差异。</w:t>
      </w:r>
    </w:p>
    <w:p w14:paraId="0D920BFA">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81" w:name="_Toc22664"/>
      <w:bookmarkStart w:id="82" w:name="_Toc988942"/>
      <w:r>
        <w:rPr>
          <w:rFonts w:hint="default" w:ascii="Times New Roman" w:hAnsi="Times New Roman" w:eastAsia="宋体" w:cs="Times New Roman"/>
          <w:b/>
          <w:bCs/>
          <w:sz w:val="24"/>
          <w:szCs w:val="24"/>
        </w:rPr>
        <w:t>二、公司相对于控股股东、实际控制人在保证公司资产、人员、财务、机构、业务等方面的独立情况</w:t>
      </w:r>
      <w:bookmarkEnd w:id="81"/>
      <w:bookmarkEnd w:id="82"/>
    </w:p>
    <w:p w14:paraId="62A059C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报告期内，公司严格按照《公司法》《证券法》等有关法律法规和《公司章程》的要求规范运作，与控股股东在资产、人员、财务、机构、业务等方面完全独立，具有独立完整的业务及自主经营能力。</w:t>
      </w:r>
    </w:p>
    <w:p w14:paraId="4FCF4CB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（一）资产独立情况</w:t>
      </w:r>
    </w:p>
    <w:p w14:paraId="685309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资产权属清晰完整，不存在对控股股东、实际控制人及其控制的其他企业的依赖情形，不存在资金或其他资产被控股股东、实际控制人及其控制的其他企业占用而损害公司利益的情形；控股股东、实际控制人及其控制的其他企业不存在与公司共用主要机器设备、厂房、专利、非专利技术等的情形，不存在与公司共用原材料采购和产品销售系统的情形等。</w:t>
      </w:r>
    </w:p>
    <w:p w14:paraId="1C16061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（二）人员独立情况</w:t>
      </w:r>
    </w:p>
    <w:p w14:paraId="3AB946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人员独立，人事工资管理与股东单位严格分开，控股股东、实际控制人不存在通过行使提案权、表决权等法律法规规定的股东权利以外的方式影响公司人事任免或限制公司董事、高级管理人员以及其他在公司任职的人员履行职责的情形。报告期内，公司总经理、副总经理、财务负责人和董事会秘书等高级管理人员不存在在控股股东、实际控制人及其控制的其他企业担任除董事、监事以外的其他职务或提供服务、领取薪酬的情形。</w:t>
      </w:r>
    </w:p>
    <w:p w14:paraId="105CD5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（三）财务独立情况</w:t>
      </w:r>
    </w:p>
    <w:p w14:paraId="617DBED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财务部门人员独立，具有独立的财务核算系统和完善的财务管理制度体系，不存在与控股股东、实际控制人及其控制的其他企业共用银行账户或者借用公司银行账户的情形，不存在为控股股东、实际控制人及其控制的其他企业违法违规提供担保的情形，不存在财务人员在控股股东、实际控制人及其控制的其他企业兼职的情形；控股股东、实际控制人及其控制的其他企业不存在非经营性占用公司资金的情形等。</w:t>
      </w:r>
    </w:p>
    <w:p w14:paraId="7A66EE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（四）机构独立情况</w:t>
      </w:r>
    </w:p>
    <w:p w14:paraId="555449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具备完善的法人治理结构，股东会、董事会以及经营管理层职责明确，高效运行；公司拥有独立完整高效的组织架构，业务部门与职能部门、公司总部与各分子公司相互协调、有序经营；公司的生产经营和办公场所与控股股东、实际控制人及其控制的其他企业严格分开，不存在与控股股东、实际控制人及其控制的其他企业混合经营、合署办公的情形。</w:t>
      </w:r>
    </w:p>
    <w:p w14:paraId="6927D2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24"/>
          <w:szCs w:val="24"/>
        </w:rPr>
      </w:pPr>
      <w:r>
        <w:rPr>
          <w:rStyle w:val="9"/>
          <w:rFonts w:hint="default" w:ascii="Times New Roman" w:hAnsi="Times New Roman" w:eastAsia="宋体" w:cs="Times New Roman"/>
          <w:sz w:val="18"/>
          <w:szCs w:val="18"/>
        </w:rPr>
        <w:t>（五）业务独立情况</w:t>
      </w:r>
    </w:p>
    <w:p w14:paraId="26FA5D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拥有独立完整的研发、供应、生产和销售业务体系，各项业务资质及经营许可文件齐备，具有直接面向市场独立经营的能力；公司不存在需要依赖控股股东、实际控制人及其控制的其他企业进行生产经营活动的情形，与控股股东、实际控制人及其控制的其他企业不存在不正当的关联交易；控股股东、实际控制人及其控制的其他企业不存在开展对公司构成重大不利影响的同业竞争的情形等。</w:t>
      </w:r>
    </w:p>
    <w:p w14:paraId="709ACD6D">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83" w:name="_Toc16695"/>
      <w:bookmarkStart w:id="84" w:name="_Toc988943"/>
      <w:r>
        <w:rPr>
          <w:rFonts w:hint="default" w:ascii="Times New Roman" w:hAnsi="Times New Roman" w:eastAsia="宋体" w:cs="Times New Roman"/>
          <w:b/>
          <w:bCs/>
          <w:sz w:val="24"/>
          <w:szCs w:val="24"/>
        </w:rPr>
        <w:t>三、同业竞争情况</w:t>
      </w:r>
      <w:bookmarkEnd w:id="83"/>
      <w:bookmarkEnd w:id="84"/>
    </w:p>
    <w:p w14:paraId="147C88A1">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0378497E">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85" w:name="_Toc25670"/>
      <w:bookmarkStart w:id="86" w:name="_Toc988944"/>
      <w:r>
        <w:rPr>
          <w:rFonts w:hint="default" w:ascii="Times New Roman" w:hAnsi="Times New Roman" w:eastAsia="宋体" w:cs="Times New Roman"/>
          <w:b/>
          <w:bCs/>
          <w:sz w:val="24"/>
          <w:szCs w:val="24"/>
        </w:rPr>
        <w:t>四、公司具有表决权差异安排</w:t>
      </w:r>
      <w:bookmarkEnd w:id="85"/>
      <w:bookmarkEnd w:id="86"/>
    </w:p>
    <w:p w14:paraId="5A9B193F">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7E9754BB">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87" w:name="_Toc26804"/>
      <w:bookmarkStart w:id="88" w:name="_Toc988945"/>
      <w:r>
        <w:rPr>
          <w:rFonts w:hint="default" w:ascii="Times New Roman" w:hAnsi="Times New Roman" w:eastAsia="宋体" w:cs="Times New Roman"/>
          <w:b/>
          <w:bCs/>
          <w:sz w:val="24"/>
          <w:szCs w:val="24"/>
        </w:rPr>
        <w:t>五、红筹架构公司治理情况</w:t>
      </w:r>
      <w:bookmarkEnd w:id="87"/>
      <w:bookmarkEnd w:id="88"/>
    </w:p>
    <w:p w14:paraId="794E06D7">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290B064A">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89" w:name="_Toc17353"/>
      <w:bookmarkStart w:id="90" w:name="_Toc988946"/>
      <w:r>
        <w:rPr>
          <w:rFonts w:hint="default" w:ascii="Times New Roman" w:hAnsi="Times New Roman" w:eastAsia="宋体" w:cs="Times New Roman"/>
          <w:b/>
          <w:bCs/>
          <w:sz w:val="24"/>
          <w:szCs w:val="24"/>
        </w:rPr>
        <w:t>六、董事和高级管理人员情况</w:t>
      </w:r>
      <w:bookmarkEnd w:id="89"/>
      <w:bookmarkEnd w:id="90"/>
    </w:p>
    <w:p w14:paraId="70D972BC">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91" w:name="_Toc988947"/>
      <w:r>
        <w:rPr>
          <w:rFonts w:hint="default" w:ascii="Times New Roman" w:hAnsi="Times New Roman" w:eastAsia="宋体" w:cs="Times New Roman"/>
          <w:b/>
          <w:bCs/>
          <w:sz w:val="21"/>
          <w:szCs w:val="21"/>
        </w:rPr>
        <w:t>1、基本情况</w:t>
      </w:r>
      <w:bookmarkEnd w:id="91"/>
    </w:p>
    <w:tbl>
      <w:tblPr>
        <w:tblStyle w:val="7"/>
        <w:tblW w:w="1078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6"/>
        <w:gridCol w:w="434"/>
        <w:gridCol w:w="636"/>
        <w:gridCol w:w="884"/>
        <w:gridCol w:w="816"/>
        <w:gridCol w:w="834"/>
        <w:gridCol w:w="588"/>
        <w:gridCol w:w="829"/>
        <w:gridCol w:w="1062"/>
        <w:gridCol w:w="1050"/>
        <w:gridCol w:w="900"/>
        <w:gridCol w:w="763"/>
        <w:gridCol w:w="1113"/>
      </w:tblGrid>
      <w:tr w14:paraId="0DCAF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blHeader/>
          <w:jc w:val="center"/>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4CEC453">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姓名</w:t>
            </w:r>
          </w:p>
        </w:tc>
        <w:tc>
          <w:tcPr>
            <w:tcW w:w="0" w:type="auto"/>
            <w:tcBorders>
              <w:top w:val="single" w:color="auto" w:sz="2" w:space="0"/>
              <w:left w:val="single" w:color="auto" w:sz="2" w:space="0"/>
              <w:bottom w:val="single" w:color="auto" w:sz="2" w:space="0"/>
              <w:right w:val="single" w:color="auto" w:sz="2" w:space="0"/>
            </w:tcBorders>
            <w:shd w:val="clear" w:color="auto" w:fill="D3D3D3"/>
            <w:vAlign w:val="center"/>
          </w:tcPr>
          <w:p w14:paraId="4D8056BC">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性别</w:t>
            </w:r>
          </w:p>
        </w:tc>
        <w:tc>
          <w:tcPr>
            <w:tcW w:w="0" w:type="auto"/>
            <w:tcBorders>
              <w:top w:val="single" w:color="auto" w:sz="2" w:space="0"/>
              <w:left w:val="single" w:color="auto" w:sz="2" w:space="0"/>
              <w:bottom w:val="single" w:color="auto" w:sz="2" w:space="0"/>
              <w:right w:val="single" w:color="auto" w:sz="2" w:space="0"/>
            </w:tcBorders>
            <w:shd w:val="clear" w:color="auto" w:fill="D3D3D3"/>
            <w:vAlign w:val="center"/>
          </w:tcPr>
          <w:p w14:paraId="34581DE2">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年龄</w:t>
            </w:r>
          </w:p>
        </w:tc>
        <w:tc>
          <w:tcPr>
            <w:tcW w:w="0" w:type="auto"/>
            <w:tcBorders>
              <w:top w:val="single" w:color="auto" w:sz="2" w:space="0"/>
              <w:left w:val="single" w:color="auto" w:sz="2" w:space="0"/>
              <w:bottom w:val="single" w:color="auto" w:sz="2" w:space="0"/>
              <w:right w:val="single" w:color="auto" w:sz="2" w:space="0"/>
            </w:tcBorders>
            <w:shd w:val="clear" w:color="auto" w:fill="D3D3D3"/>
            <w:vAlign w:val="center"/>
          </w:tcPr>
          <w:p w14:paraId="2135AAA5">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职务</w:t>
            </w:r>
          </w:p>
        </w:tc>
        <w:tc>
          <w:tcPr>
            <w:tcW w:w="0" w:type="auto"/>
            <w:tcBorders>
              <w:top w:val="single" w:color="auto" w:sz="2" w:space="0"/>
              <w:left w:val="single" w:color="auto" w:sz="2" w:space="0"/>
              <w:bottom w:val="single" w:color="auto" w:sz="2" w:space="0"/>
              <w:right w:val="single" w:color="auto" w:sz="2" w:space="0"/>
            </w:tcBorders>
            <w:shd w:val="clear" w:color="auto" w:fill="D3D3D3"/>
            <w:vAlign w:val="center"/>
          </w:tcPr>
          <w:p w14:paraId="2FB0122B">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任职状态</w:t>
            </w:r>
          </w:p>
        </w:tc>
        <w:tc>
          <w:tcPr>
            <w:tcW w:w="0" w:type="auto"/>
            <w:tcBorders>
              <w:top w:val="single" w:color="auto" w:sz="2" w:space="0"/>
              <w:left w:val="single" w:color="auto" w:sz="2" w:space="0"/>
              <w:bottom w:val="single" w:color="auto" w:sz="2" w:space="0"/>
              <w:right w:val="single" w:color="auto" w:sz="2" w:space="0"/>
            </w:tcBorders>
            <w:shd w:val="clear" w:color="auto" w:fill="D3D3D3"/>
            <w:vAlign w:val="center"/>
          </w:tcPr>
          <w:p w14:paraId="5214A8BF">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任期起始日期</w:t>
            </w:r>
          </w:p>
        </w:tc>
        <w:tc>
          <w:tcPr>
            <w:tcW w:w="0" w:type="auto"/>
            <w:tcBorders>
              <w:top w:val="single" w:color="auto" w:sz="2" w:space="0"/>
              <w:left w:val="single" w:color="auto" w:sz="2" w:space="0"/>
              <w:bottom w:val="single" w:color="auto" w:sz="2" w:space="0"/>
              <w:right w:val="single" w:color="auto" w:sz="2" w:space="0"/>
            </w:tcBorders>
            <w:shd w:val="clear" w:color="auto" w:fill="D3D3D3"/>
            <w:vAlign w:val="center"/>
          </w:tcPr>
          <w:p w14:paraId="257108D2">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任期终止日期</w:t>
            </w:r>
          </w:p>
        </w:tc>
        <w:tc>
          <w:tcPr>
            <w:tcW w:w="829" w:type="dxa"/>
            <w:tcBorders>
              <w:top w:val="single" w:color="auto" w:sz="2" w:space="0"/>
              <w:left w:val="single" w:color="auto" w:sz="2" w:space="0"/>
              <w:bottom w:val="single" w:color="auto" w:sz="2" w:space="0"/>
              <w:right w:val="single" w:color="auto" w:sz="2" w:space="0"/>
            </w:tcBorders>
            <w:shd w:val="clear" w:color="auto" w:fill="D3D3D3"/>
            <w:vAlign w:val="center"/>
          </w:tcPr>
          <w:p w14:paraId="1D0DF000">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期初持股数</w:t>
            </w:r>
          </w:p>
          <w:p w14:paraId="2A37ED3C">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（股）</w:t>
            </w:r>
          </w:p>
        </w:tc>
        <w:tc>
          <w:tcPr>
            <w:tcW w:w="1062" w:type="dxa"/>
            <w:tcBorders>
              <w:top w:val="single" w:color="auto" w:sz="2" w:space="0"/>
              <w:left w:val="single" w:color="auto" w:sz="2" w:space="0"/>
              <w:bottom w:val="single" w:color="auto" w:sz="2" w:space="0"/>
              <w:right w:val="single" w:color="auto" w:sz="2" w:space="0"/>
            </w:tcBorders>
            <w:shd w:val="clear" w:color="auto" w:fill="D3D3D3"/>
            <w:vAlign w:val="center"/>
          </w:tcPr>
          <w:p w14:paraId="72A5EFBB">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本期增持股份数量</w:t>
            </w:r>
          </w:p>
          <w:p w14:paraId="241C14AC">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（股）</w:t>
            </w:r>
          </w:p>
        </w:tc>
        <w:tc>
          <w:tcPr>
            <w:tcW w:w="1050" w:type="dxa"/>
            <w:tcBorders>
              <w:top w:val="single" w:color="auto" w:sz="2" w:space="0"/>
              <w:left w:val="single" w:color="auto" w:sz="2" w:space="0"/>
              <w:bottom w:val="single" w:color="auto" w:sz="2" w:space="0"/>
              <w:right w:val="single" w:color="auto" w:sz="2" w:space="0"/>
            </w:tcBorders>
            <w:shd w:val="clear" w:color="auto" w:fill="D3D3D3"/>
            <w:vAlign w:val="center"/>
          </w:tcPr>
          <w:p w14:paraId="105AB692">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本期减持股份数量</w:t>
            </w:r>
          </w:p>
          <w:p w14:paraId="12E7B43E">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（股）</w:t>
            </w:r>
          </w:p>
        </w:tc>
        <w:tc>
          <w:tcPr>
            <w:tcW w:w="900" w:type="dxa"/>
            <w:tcBorders>
              <w:top w:val="single" w:color="auto" w:sz="2" w:space="0"/>
              <w:left w:val="single" w:color="auto" w:sz="2" w:space="0"/>
              <w:bottom w:val="single" w:color="auto" w:sz="2" w:space="0"/>
              <w:right w:val="single" w:color="auto" w:sz="2" w:space="0"/>
            </w:tcBorders>
            <w:shd w:val="clear" w:color="auto" w:fill="D3D3D3"/>
            <w:vAlign w:val="center"/>
          </w:tcPr>
          <w:p w14:paraId="54E442FC">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其他增减变动</w:t>
            </w:r>
          </w:p>
          <w:p w14:paraId="635BF5CD">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（股）</w:t>
            </w:r>
          </w:p>
        </w:tc>
        <w:tc>
          <w:tcPr>
            <w:tcW w:w="763" w:type="dxa"/>
            <w:tcBorders>
              <w:top w:val="single" w:color="auto" w:sz="2" w:space="0"/>
              <w:left w:val="single" w:color="auto" w:sz="2" w:space="0"/>
              <w:bottom w:val="single" w:color="auto" w:sz="2" w:space="0"/>
              <w:right w:val="single" w:color="auto" w:sz="2" w:space="0"/>
            </w:tcBorders>
            <w:shd w:val="clear" w:color="auto" w:fill="D3D3D3"/>
            <w:vAlign w:val="center"/>
          </w:tcPr>
          <w:p w14:paraId="64A6B195">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期末持股数</w:t>
            </w:r>
          </w:p>
          <w:p w14:paraId="1D29D93C">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（股）</w:t>
            </w:r>
          </w:p>
        </w:tc>
        <w:tc>
          <w:tcPr>
            <w:tcW w:w="1113" w:type="dxa"/>
            <w:tcBorders>
              <w:top w:val="single" w:color="auto" w:sz="2" w:space="0"/>
              <w:left w:val="single" w:color="auto" w:sz="2" w:space="0"/>
              <w:bottom w:val="single" w:color="auto" w:sz="2" w:space="0"/>
              <w:right w:val="single" w:color="auto" w:sz="2" w:space="0"/>
            </w:tcBorders>
            <w:shd w:val="clear" w:color="auto" w:fill="D3D3D3"/>
            <w:vAlign w:val="center"/>
          </w:tcPr>
          <w:p w14:paraId="644C3E46">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股份增减变动的原因</w:t>
            </w:r>
          </w:p>
        </w:tc>
      </w:tr>
      <w:tr w14:paraId="3E6BA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76" w:type="dxa"/>
            <w:tcBorders>
              <w:top w:val="single" w:color="auto" w:sz="2" w:space="0"/>
              <w:left w:val="single" w:color="auto" w:sz="2" w:space="0"/>
              <w:bottom w:val="single" w:color="auto" w:sz="2" w:space="0"/>
              <w:right w:val="single" w:color="auto" w:sz="2" w:space="0"/>
            </w:tcBorders>
            <w:vAlign w:val="center"/>
          </w:tcPr>
          <w:p w14:paraId="5DE21049">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张永明</w:t>
            </w:r>
          </w:p>
        </w:tc>
        <w:tc>
          <w:tcPr>
            <w:tcW w:w="0" w:type="auto"/>
            <w:tcBorders>
              <w:top w:val="single" w:color="auto" w:sz="2" w:space="0"/>
              <w:left w:val="single" w:color="auto" w:sz="2" w:space="0"/>
              <w:bottom w:val="single" w:color="auto" w:sz="2" w:space="0"/>
              <w:right w:val="single" w:color="auto" w:sz="2" w:space="0"/>
            </w:tcBorders>
            <w:vAlign w:val="center"/>
          </w:tcPr>
          <w:p w14:paraId="2225CF53">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0" w:type="auto"/>
            <w:tcBorders>
              <w:top w:val="single" w:color="auto" w:sz="2" w:space="0"/>
              <w:left w:val="single" w:color="auto" w:sz="2" w:space="0"/>
              <w:bottom w:val="single" w:color="auto" w:sz="2" w:space="0"/>
              <w:right w:val="single" w:color="auto" w:sz="2" w:space="0"/>
            </w:tcBorders>
            <w:vAlign w:val="center"/>
          </w:tcPr>
          <w:p w14:paraId="0F4B43CD">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w:t>
            </w:r>
          </w:p>
        </w:tc>
        <w:tc>
          <w:tcPr>
            <w:tcW w:w="0" w:type="auto"/>
            <w:tcBorders>
              <w:top w:val="single" w:color="auto" w:sz="2" w:space="0"/>
              <w:left w:val="single" w:color="auto" w:sz="2" w:space="0"/>
              <w:bottom w:val="single" w:color="auto" w:sz="2" w:space="0"/>
              <w:right w:val="single" w:color="auto" w:sz="2" w:space="0"/>
            </w:tcBorders>
            <w:vAlign w:val="center"/>
          </w:tcPr>
          <w:p w14:paraId="5455AA26">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董事长</w:t>
            </w:r>
          </w:p>
        </w:tc>
        <w:tc>
          <w:tcPr>
            <w:tcW w:w="0" w:type="auto"/>
            <w:tcBorders>
              <w:top w:val="single" w:color="auto" w:sz="2" w:space="0"/>
              <w:left w:val="single" w:color="auto" w:sz="2" w:space="0"/>
              <w:bottom w:val="single" w:color="auto" w:sz="2" w:space="0"/>
              <w:right w:val="single" w:color="auto" w:sz="2" w:space="0"/>
            </w:tcBorders>
            <w:vAlign w:val="center"/>
          </w:tcPr>
          <w:p w14:paraId="5D39D90B">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0" w:type="auto"/>
            <w:tcBorders>
              <w:top w:val="single" w:color="auto" w:sz="2" w:space="0"/>
              <w:left w:val="single" w:color="auto" w:sz="2" w:space="0"/>
              <w:bottom w:val="single" w:color="auto" w:sz="2" w:space="0"/>
              <w:right w:val="single" w:color="auto" w:sz="2" w:space="0"/>
            </w:tcBorders>
            <w:vAlign w:val="center"/>
          </w:tcPr>
          <w:p w14:paraId="051AA2FE">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2018年04月27日</w:t>
            </w:r>
          </w:p>
        </w:tc>
        <w:tc>
          <w:tcPr>
            <w:tcW w:w="0" w:type="auto"/>
            <w:tcBorders>
              <w:top w:val="single" w:color="auto" w:sz="2" w:space="0"/>
              <w:left w:val="single" w:color="auto" w:sz="2" w:space="0"/>
              <w:bottom w:val="single" w:color="auto" w:sz="2" w:space="0"/>
              <w:right w:val="single" w:color="auto" w:sz="2" w:space="0"/>
            </w:tcBorders>
            <w:vAlign w:val="center"/>
          </w:tcPr>
          <w:p w14:paraId="103077D7">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p>
        </w:tc>
        <w:tc>
          <w:tcPr>
            <w:tcW w:w="829" w:type="dxa"/>
            <w:tcBorders>
              <w:top w:val="single" w:color="auto" w:sz="2" w:space="0"/>
              <w:left w:val="single" w:color="auto" w:sz="2" w:space="0"/>
              <w:bottom w:val="single" w:color="auto" w:sz="2" w:space="0"/>
              <w:right w:val="single" w:color="auto" w:sz="2" w:space="0"/>
            </w:tcBorders>
            <w:vAlign w:val="center"/>
          </w:tcPr>
          <w:p w14:paraId="7E59B3BC">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62" w:type="dxa"/>
            <w:tcBorders>
              <w:top w:val="single" w:color="auto" w:sz="2" w:space="0"/>
              <w:left w:val="single" w:color="auto" w:sz="2" w:space="0"/>
              <w:bottom w:val="single" w:color="auto" w:sz="2" w:space="0"/>
              <w:right w:val="single" w:color="auto" w:sz="2" w:space="0"/>
            </w:tcBorders>
            <w:vAlign w:val="center"/>
          </w:tcPr>
          <w:p w14:paraId="3AC2E0FF">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50" w:type="dxa"/>
            <w:tcBorders>
              <w:top w:val="single" w:color="auto" w:sz="2" w:space="0"/>
              <w:left w:val="single" w:color="auto" w:sz="2" w:space="0"/>
              <w:bottom w:val="single" w:color="auto" w:sz="2" w:space="0"/>
              <w:right w:val="single" w:color="auto" w:sz="2" w:space="0"/>
            </w:tcBorders>
            <w:vAlign w:val="center"/>
          </w:tcPr>
          <w:p w14:paraId="35DBBBAC">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00" w:type="dxa"/>
            <w:tcBorders>
              <w:top w:val="single" w:color="auto" w:sz="2" w:space="0"/>
              <w:left w:val="single" w:color="auto" w:sz="2" w:space="0"/>
              <w:bottom w:val="single" w:color="auto" w:sz="2" w:space="0"/>
              <w:right w:val="single" w:color="auto" w:sz="2" w:space="0"/>
            </w:tcBorders>
            <w:vAlign w:val="center"/>
          </w:tcPr>
          <w:p w14:paraId="7C72B8DA">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763" w:type="dxa"/>
            <w:tcBorders>
              <w:top w:val="single" w:color="auto" w:sz="2" w:space="0"/>
              <w:left w:val="single" w:color="auto" w:sz="2" w:space="0"/>
              <w:bottom w:val="single" w:color="auto" w:sz="2" w:space="0"/>
              <w:right w:val="single" w:color="auto" w:sz="2" w:space="0"/>
            </w:tcBorders>
            <w:vAlign w:val="center"/>
          </w:tcPr>
          <w:p w14:paraId="75A6AC3E">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113" w:type="dxa"/>
            <w:tcBorders>
              <w:top w:val="single" w:color="auto" w:sz="2" w:space="0"/>
              <w:left w:val="single" w:color="auto" w:sz="2" w:space="0"/>
              <w:bottom w:val="single" w:color="auto" w:sz="2" w:space="0"/>
              <w:right w:val="single" w:color="auto" w:sz="2" w:space="0"/>
            </w:tcBorders>
            <w:vAlign w:val="center"/>
          </w:tcPr>
          <w:p w14:paraId="265C5159">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p>
        </w:tc>
      </w:tr>
      <w:tr w14:paraId="6D587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76" w:type="dxa"/>
            <w:tcBorders>
              <w:top w:val="single" w:color="auto" w:sz="2" w:space="0"/>
              <w:left w:val="single" w:color="auto" w:sz="2" w:space="0"/>
              <w:bottom w:val="single" w:color="auto" w:sz="2" w:space="0"/>
              <w:right w:val="single" w:color="auto" w:sz="2" w:space="0"/>
            </w:tcBorders>
            <w:vAlign w:val="center"/>
          </w:tcPr>
          <w:p w14:paraId="2198E46E">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王新志</w:t>
            </w:r>
          </w:p>
        </w:tc>
        <w:tc>
          <w:tcPr>
            <w:tcW w:w="0" w:type="auto"/>
            <w:tcBorders>
              <w:top w:val="single" w:color="auto" w:sz="2" w:space="0"/>
              <w:left w:val="single" w:color="auto" w:sz="2" w:space="0"/>
              <w:bottom w:val="single" w:color="auto" w:sz="2" w:space="0"/>
              <w:right w:val="single" w:color="auto" w:sz="2" w:space="0"/>
            </w:tcBorders>
            <w:vAlign w:val="center"/>
          </w:tcPr>
          <w:p w14:paraId="50DC34BA">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0" w:type="auto"/>
            <w:tcBorders>
              <w:top w:val="single" w:color="auto" w:sz="2" w:space="0"/>
              <w:left w:val="single" w:color="auto" w:sz="2" w:space="0"/>
              <w:bottom w:val="single" w:color="auto" w:sz="2" w:space="0"/>
              <w:right w:val="single" w:color="auto" w:sz="2" w:space="0"/>
            </w:tcBorders>
            <w:vAlign w:val="center"/>
          </w:tcPr>
          <w:p w14:paraId="1F2CBCCA">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w:t>
            </w:r>
          </w:p>
        </w:tc>
        <w:tc>
          <w:tcPr>
            <w:tcW w:w="0" w:type="auto"/>
            <w:tcBorders>
              <w:top w:val="single" w:color="auto" w:sz="2" w:space="0"/>
              <w:left w:val="single" w:color="auto" w:sz="2" w:space="0"/>
              <w:bottom w:val="single" w:color="auto" w:sz="2" w:space="0"/>
              <w:right w:val="single" w:color="auto" w:sz="2" w:space="0"/>
            </w:tcBorders>
            <w:vAlign w:val="center"/>
          </w:tcPr>
          <w:p w14:paraId="0719A8A2">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副董事长</w:t>
            </w:r>
          </w:p>
        </w:tc>
        <w:tc>
          <w:tcPr>
            <w:tcW w:w="0" w:type="auto"/>
            <w:tcBorders>
              <w:top w:val="single" w:color="auto" w:sz="2" w:space="0"/>
              <w:left w:val="single" w:color="auto" w:sz="2" w:space="0"/>
              <w:bottom w:val="single" w:color="auto" w:sz="2" w:space="0"/>
              <w:right w:val="single" w:color="auto" w:sz="2" w:space="0"/>
            </w:tcBorders>
            <w:vAlign w:val="center"/>
          </w:tcPr>
          <w:p w14:paraId="7CDFC58E">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0" w:type="auto"/>
            <w:tcBorders>
              <w:top w:val="single" w:color="auto" w:sz="2" w:space="0"/>
              <w:left w:val="single" w:color="auto" w:sz="2" w:space="0"/>
              <w:bottom w:val="single" w:color="auto" w:sz="2" w:space="0"/>
              <w:right w:val="single" w:color="auto" w:sz="2" w:space="0"/>
            </w:tcBorders>
            <w:vAlign w:val="center"/>
          </w:tcPr>
          <w:p w14:paraId="0EF756D1">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2020年07月01日</w:t>
            </w:r>
          </w:p>
        </w:tc>
        <w:tc>
          <w:tcPr>
            <w:tcW w:w="0" w:type="auto"/>
            <w:tcBorders>
              <w:top w:val="single" w:color="auto" w:sz="2" w:space="0"/>
              <w:left w:val="single" w:color="auto" w:sz="2" w:space="0"/>
              <w:bottom w:val="single" w:color="auto" w:sz="2" w:space="0"/>
              <w:right w:val="single" w:color="auto" w:sz="2" w:space="0"/>
            </w:tcBorders>
            <w:vAlign w:val="center"/>
          </w:tcPr>
          <w:p w14:paraId="632AA3D9">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p>
        </w:tc>
        <w:tc>
          <w:tcPr>
            <w:tcW w:w="829" w:type="dxa"/>
            <w:tcBorders>
              <w:top w:val="single" w:color="auto" w:sz="2" w:space="0"/>
              <w:left w:val="single" w:color="auto" w:sz="2" w:space="0"/>
              <w:bottom w:val="single" w:color="auto" w:sz="2" w:space="0"/>
              <w:right w:val="single" w:color="auto" w:sz="2" w:space="0"/>
            </w:tcBorders>
            <w:vAlign w:val="center"/>
          </w:tcPr>
          <w:p w14:paraId="2EEC4FC8">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62" w:type="dxa"/>
            <w:tcBorders>
              <w:top w:val="single" w:color="auto" w:sz="2" w:space="0"/>
              <w:left w:val="single" w:color="auto" w:sz="2" w:space="0"/>
              <w:bottom w:val="single" w:color="auto" w:sz="2" w:space="0"/>
              <w:right w:val="single" w:color="auto" w:sz="2" w:space="0"/>
            </w:tcBorders>
            <w:vAlign w:val="center"/>
          </w:tcPr>
          <w:p w14:paraId="4A5243CF">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50" w:type="dxa"/>
            <w:tcBorders>
              <w:top w:val="single" w:color="auto" w:sz="2" w:space="0"/>
              <w:left w:val="single" w:color="auto" w:sz="2" w:space="0"/>
              <w:bottom w:val="single" w:color="auto" w:sz="2" w:space="0"/>
              <w:right w:val="single" w:color="auto" w:sz="2" w:space="0"/>
            </w:tcBorders>
            <w:vAlign w:val="center"/>
          </w:tcPr>
          <w:p w14:paraId="0C297DBE">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00" w:type="dxa"/>
            <w:tcBorders>
              <w:top w:val="single" w:color="auto" w:sz="2" w:space="0"/>
              <w:left w:val="single" w:color="auto" w:sz="2" w:space="0"/>
              <w:bottom w:val="single" w:color="auto" w:sz="2" w:space="0"/>
              <w:right w:val="single" w:color="auto" w:sz="2" w:space="0"/>
            </w:tcBorders>
            <w:vAlign w:val="center"/>
          </w:tcPr>
          <w:p w14:paraId="61040921">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763" w:type="dxa"/>
            <w:tcBorders>
              <w:top w:val="single" w:color="auto" w:sz="2" w:space="0"/>
              <w:left w:val="single" w:color="auto" w:sz="2" w:space="0"/>
              <w:bottom w:val="single" w:color="auto" w:sz="2" w:space="0"/>
              <w:right w:val="single" w:color="auto" w:sz="2" w:space="0"/>
            </w:tcBorders>
            <w:vAlign w:val="center"/>
          </w:tcPr>
          <w:p w14:paraId="036CF3C4">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113" w:type="dxa"/>
            <w:tcBorders>
              <w:top w:val="single" w:color="auto" w:sz="2" w:space="0"/>
              <w:left w:val="single" w:color="auto" w:sz="2" w:space="0"/>
              <w:bottom w:val="single" w:color="auto" w:sz="2" w:space="0"/>
              <w:right w:val="single" w:color="auto" w:sz="2" w:space="0"/>
            </w:tcBorders>
            <w:vAlign w:val="center"/>
          </w:tcPr>
          <w:p w14:paraId="4D3EF3E8">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p>
        </w:tc>
      </w:tr>
      <w:tr w14:paraId="36CA1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76" w:type="dxa"/>
            <w:tcBorders>
              <w:top w:val="single" w:color="auto" w:sz="2" w:space="0"/>
              <w:left w:val="single" w:color="auto" w:sz="2" w:space="0"/>
              <w:bottom w:val="single" w:color="auto" w:sz="2" w:space="0"/>
              <w:right w:val="single" w:color="auto" w:sz="2" w:space="0"/>
            </w:tcBorders>
            <w:vAlign w:val="center"/>
          </w:tcPr>
          <w:p w14:paraId="2517C7B2">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孙峰</w:t>
            </w:r>
          </w:p>
        </w:tc>
        <w:tc>
          <w:tcPr>
            <w:tcW w:w="0" w:type="auto"/>
            <w:tcBorders>
              <w:top w:val="single" w:color="auto" w:sz="2" w:space="0"/>
              <w:left w:val="single" w:color="auto" w:sz="2" w:space="0"/>
              <w:bottom w:val="single" w:color="auto" w:sz="2" w:space="0"/>
              <w:right w:val="single" w:color="auto" w:sz="2" w:space="0"/>
            </w:tcBorders>
            <w:vAlign w:val="center"/>
          </w:tcPr>
          <w:p w14:paraId="5934BFF1">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女</w:t>
            </w:r>
          </w:p>
        </w:tc>
        <w:tc>
          <w:tcPr>
            <w:tcW w:w="0" w:type="auto"/>
            <w:tcBorders>
              <w:top w:val="single" w:color="auto" w:sz="2" w:space="0"/>
              <w:left w:val="single" w:color="auto" w:sz="2" w:space="0"/>
              <w:bottom w:val="single" w:color="auto" w:sz="2" w:space="0"/>
              <w:right w:val="single" w:color="auto" w:sz="2" w:space="0"/>
            </w:tcBorders>
            <w:vAlign w:val="center"/>
          </w:tcPr>
          <w:p w14:paraId="1AD34220">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w:t>
            </w:r>
          </w:p>
        </w:tc>
        <w:tc>
          <w:tcPr>
            <w:tcW w:w="0" w:type="auto"/>
            <w:tcBorders>
              <w:top w:val="single" w:color="auto" w:sz="2" w:space="0"/>
              <w:left w:val="single" w:color="auto" w:sz="2" w:space="0"/>
              <w:bottom w:val="single" w:color="auto" w:sz="2" w:space="0"/>
              <w:right w:val="single" w:color="auto" w:sz="2" w:space="0"/>
            </w:tcBorders>
            <w:vAlign w:val="center"/>
          </w:tcPr>
          <w:p w14:paraId="098773CB">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董事</w:t>
            </w:r>
          </w:p>
        </w:tc>
        <w:tc>
          <w:tcPr>
            <w:tcW w:w="0" w:type="auto"/>
            <w:tcBorders>
              <w:top w:val="single" w:color="auto" w:sz="2" w:space="0"/>
              <w:left w:val="single" w:color="auto" w:sz="2" w:space="0"/>
              <w:bottom w:val="single" w:color="auto" w:sz="2" w:space="0"/>
              <w:right w:val="single" w:color="auto" w:sz="2" w:space="0"/>
            </w:tcBorders>
            <w:vAlign w:val="center"/>
          </w:tcPr>
          <w:p w14:paraId="64C55652">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0" w:type="auto"/>
            <w:tcBorders>
              <w:top w:val="single" w:color="auto" w:sz="2" w:space="0"/>
              <w:left w:val="single" w:color="auto" w:sz="2" w:space="0"/>
              <w:bottom w:val="single" w:color="auto" w:sz="2" w:space="0"/>
              <w:right w:val="single" w:color="auto" w:sz="2" w:space="0"/>
            </w:tcBorders>
            <w:vAlign w:val="center"/>
          </w:tcPr>
          <w:p w14:paraId="5D954B22">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2020年03月13日</w:t>
            </w:r>
          </w:p>
        </w:tc>
        <w:tc>
          <w:tcPr>
            <w:tcW w:w="0" w:type="auto"/>
            <w:tcBorders>
              <w:top w:val="single" w:color="auto" w:sz="2" w:space="0"/>
              <w:left w:val="single" w:color="auto" w:sz="2" w:space="0"/>
              <w:bottom w:val="single" w:color="auto" w:sz="2" w:space="0"/>
              <w:right w:val="single" w:color="auto" w:sz="2" w:space="0"/>
            </w:tcBorders>
            <w:vAlign w:val="center"/>
          </w:tcPr>
          <w:p w14:paraId="65187B2F">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p>
        </w:tc>
        <w:tc>
          <w:tcPr>
            <w:tcW w:w="829" w:type="dxa"/>
            <w:tcBorders>
              <w:top w:val="single" w:color="auto" w:sz="2" w:space="0"/>
              <w:left w:val="single" w:color="auto" w:sz="2" w:space="0"/>
              <w:bottom w:val="single" w:color="auto" w:sz="2" w:space="0"/>
              <w:right w:val="single" w:color="auto" w:sz="2" w:space="0"/>
            </w:tcBorders>
            <w:vAlign w:val="center"/>
          </w:tcPr>
          <w:p w14:paraId="6049A914">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62" w:type="dxa"/>
            <w:tcBorders>
              <w:top w:val="single" w:color="auto" w:sz="2" w:space="0"/>
              <w:left w:val="single" w:color="auto" w:sz="2" w:space="0"/>
              <w:bottom w:val="single" w:color="auto" w:sz="2" w:space="0"/>
              <w:right w:val="single" w:color="auto" w:sz="2" w:space="0"/>
            </w:tcBorders>
            <w:vAlign w:val="center"/>
          </w:tcPr>
          <w:p w14:paraId="24EE59E1">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50" w:type="dxa"/>
            <w:tcBorders>
              <w:top w:val="single" w:color="auto" w:sz="2" w:space="0"/>
              <w:left w:val="single" w:color="auto" w:sz="2" w:space="0"/>
              <w:bottom w:val="single" w:color="auto" w:sz="2" w:space="0"/>
              <w:right w:val="single" w:color="auto" w:sz="2" w:space="0"/>
            </w:tcBorders>
            <w:vAlign w:val="center"/>
          </w:tcPr>
          <w:p w14:paraId="32798E69">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00" w:type="dxa"/>
            <w:tcBorders>
              <w:top w:val="single" w:color="auto" w:sz="2" w:space="0"/>
              <w:left w:val="single" w:color="auto" w:sz="2" w:space="0"/>
              <w:bottom w:val="single" w:color="auto" w:sz="2" w:space="0"/>
              <w:right w:val="single" w:color="auto" w:sz="2" w:space="0"/>
            </w:tcBorders>
            <w:vAlign w:val="center"/>
          </w:tcPr>
          <w:p w14:paraId="0A01CA21">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763" w:type="dxa"/>
            <w:tcBorders>
              <w:top w:val="single" w:color="auto" w:sz="2" w:space="0"/>
              <w:left w:val="single" w:color="auto" w:sz="2" w:space="0"/>
              <w:bottom w:val="single" w:color="auto" w:sz="2" w:space="0"/>
              <w:right w:val="single" w:color="auto" w:sz="2" w:space="0"/>
            </w:tcBorders>
            <w:vAlign w:val="center"/>
          </w:tcPr>
          <w:p w14:paraId="7438E23D">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113" w:type="dxa"/>
            <w:tcBorders>
              <w:top w:val="single" w:color="auto" w:sz="2" w:space="0"/>
              <w:left w:val="single" w:color="auto" w:sz="2" w:space="0"/>
              <w:bottom w:val="single" w:color="auto" w:sz="2" w:space="0"/>
              <w:right w:val="single" w:color="auto" w:sz="2" w:space="0"/>
            </w:tcBorders>
            <w:vAlign w:val="center"/>
          </w:tcPr>
          <w:p w14:paraId="0729DC1C">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p>
        </w:tc>
      </w:tr>
      <w:tr w14:paraId="743A2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76" w:type="dxa"/>
            <w:tcBorders>
              <w:top w:val="single" w:color="auto" w:sz="2" w:space="0"/>
              <w:left w:val="single" w:color="auto" w:sz="2" w:space="0"/>
              <w:bottom w:val="single" w:color="auto" w:sz="2" w:space="0"/>
              <w:right w:val="single" w:color="auto" w:sz="2" w:space="0"/>
            </w:tcBorders>
            <w:vAlign w:val="center"/>
          </w:tcPr>
          <w:p w14:paraId="09D7C0FB">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韩俊梅</w:t>
            </w:r>
          </w:p>
        </w:tc>
        <w:tc>
          <w:tcPr>
            <w:tcW w:w="0" w:type="auto"/>
            <w:tcBorders>
              <w:top w:val="single" w:color="auto" w:sz="2" w:space="0"/>
              <w:left w:val="single" w:color="auto" w:sz="2" w:space="0"/>
              <w:bottom w:val="single" w:color="auto" w:sz="2" w:space="0"/>
              <w:right w:val="single" w:color="auto" w:sz="2" w:space="0"/>
            </w:tcBorders>
            <w:vAlign w:val="center"/>
          </w:tcPr>
          <w:p w14:paraId="74315900">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女</w:t>
            </w:r>
          </w:p>
        </w:tc>
        <w:tc>
          <w:tcPr>
            <w:tcW w:w="0" w:type="auto"/>
            <w:tcBorders>
              <w:top w:val="single" w:color="auto" w:sz="2" w:space="0"/>
              <w:left w:val="single" w:color="auto" w:sz="2" w:space="0"/>
              <w:bottom w:val="single" w:color="auto" w:sz="2" w:space="0"/>
              <w:right w:val="single" w:color="auto" w:sz="2" w:space="0"/>
            </w:tcBorders>
            <w:vAlign w:val="center"/>
          </w:tcPr>
          <w:p w14:paraId="5FC8278E">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w:t>
            </w:r>
          </w:p>
        </w:tc>
        <w:tc>
          <w:tcPr>
            <w:tcW w:w="0" w:type="auto"/>
            <w:tcBorders>
              <w:top w:val="single" w:color="auto" w:sz="2" w:space="0"/>
              <w:left w:val="single" w:color="auto" w:sz="2" w:space="0"/>
              <w:bottom w:val="single" w:color="auto" w:sz="2" w:space="0"/>
              <w:right w:val="single" w:color="auto" w:sz="2" w:space="0"/>
            </w:tcBorders>
            <w:vAlign w:val="center"/>
          </w:tcPr>
          <w:p w14:paraId="50A243A6">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独立董事</w:t>
            </w:r>
          </w:p>
        </w:tc>
        <w:tc>
          <w:tcPr>
            <w:tcW w:w="0" w:type="auto"/>
            <w:tcBorders>
              <w:top w:val="single" w:color="auto" w:sz="2" w:space="0"/>
              <w:left w:val="single" w:color="auto" w:sz="2" w:space="0"/>
              <w:bottom w:val="single" w:color="auto" w:sz="2" w:space="0"/>
              <w:right w:val="single" w:color="auto" w:sz="2" w:space="0"/>
            </w:tcBorders>
            <w:vAlign w:val="center"/>
          </w:tcPr>
          <w:p w14:paraId="1234B6E7">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0" w:type="auto"/>
            <w:tcBorders>
              <w:top w:val="single" w:color="auto" w:sz="2" w:space="0"/>
              <w:left w:val="single" w:color="auto" w:sz="2" w:space="0"/>
              <w:bottom w:val="single" w:color="auto" w:sz="2" w:space="0"/>
              <w:right w:val="single" w:color="auto" w:sz="2" w:space="0"/>
            </w:tcBorders>
            <w:vAlign w:val="center"/>
          </w:tcPr>
          <w:p w14:paraId="1553D7DE">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2020年03月13日</w:t>
            </w:r>
          </w:p>
        </w:tc>
        <w:tc>
          <w:tcPr>
            <w:tcW w:w="0" w:type="auto"/>
            <w:tcBorders>
              <w:top w:val="single" w:color="auto" w:sz="2" w:space="0"/>
              <w:left w:val="single" w:color="auto" w:sz="2" w:space="0"/>
              <w:bottom w:val="single" w:color="auto" w:sz="2" w:space="0"/>
              <w:right w:val="single" w:color="auto" w:sz="2" w:space="0"/>
            </w:tcBorders>
            <w:vAlign w:val="center"/>
          </w:tcPr>
          <w:p w14:paraId="001F7942">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p>
        </w:tc>
        <w:tc>
          <w:tcPr>
            <w:tcW w:w="829" w:type="dxa"/>
            <w:tcBorders>
              <w:top w:val="single" w:color="auto" w:sz="2" w:space="0"/>
              <w:left w:val="single" w:color="auto" w:sz="2" w:space="0"/>
              <w:bottom w:val="single" w:color="auto" w:sz="2" w:space="0"/>
              <w:right w:val="single" w:color="auto" w:sz="2" w:space="0"/>
            </w:tcBorders>
            <w:vAlign w:val="center"/>
          </w:tcPr>
          <w:p w14:paraId="0073872E">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62" w:type="dxa"/>
            <w:tcBorders>
              <w:top w:val="single" w:color="auto" w:sz="2" w:space="0"/>
              <w:left w:val="single" w:color="auto" w:sz="2" w:space="0"/>
              <w:bottom w:val="single" w:color="auto" w:sz="2" w:space="0"/>
              <w:right w:val="single" w:color="auto" w:sz="2" w:space="0"/>
            </w:tcBorders>
            <w:vAlign w:val="center"/>
          </w:tcPr>
          <w:p w14:paraId="026F29D0">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50" w:type="dxa"/>
            <w:tcBorders>
              <w:top w:val="single" w:color="auto" w:sz="2" w:space="0"/>
              <w:left w:val="single" w:color="auto" w:sz="2" w:space="0"/>
              <w:bottom w:val="single" w:color="auto" w:sz="2" w:space="0"/>
              <w:right w:val="single" w:color="auto" w:sz="2" w:space="0"/>
            </w:tcBorders>
            <w:vAlign w:val="center"/>
          </w:tcPr>
          <w:p w14:paraId="52EE44D0">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00" w:type="dxa"/>
            <w:tcBorders>
              <w:top w:val="single" w:color="auto" w:sz="2" w:space="0"/>
              <w:left w:val="single" w:color="auto" w:sz="2" w:space="0"/>
              <w:bottom w:val="single" w:color="auto" w:sz="2" w:space="0"/>
              <w:right w:val="single" w:color="auto" w:sz="2" w:space="0"/>
            </w:tcBorders>
            <w:vAlign w:val="center"/>
          </w:tcPr>
          <w:p w14:paraId="7973C0EE">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763" w:type="dxa"/>
            <w:tcBorders>
              <w:top w:val="single" w:color="auto" w:sz="2" w:space="0"/>
              <w:left w:val="single" w:color="auto" w:sz="2" w:space="0"/>
              <w:bottom w:val="single" w:color="auto" w:sz="2" w:space="0"/>
              <w:right w:val="single" w:color="auto" w:sz="2" w:space="0"/>
            </w:tcBorders>
            <w:vAlign w:val="center"/>
          </w:tcPr>
          <w:p w14:paraId="6CEF1A85">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113" w:type="dxa"/>
            <w:tcBorders>
              <w:top w:val="single" w:color="auto" w:sz="2" w:space="0"/>
              <w:left w:val="single" w:color="auto" w:sz="2" w:space="0"/>
              <w:bottom w:val="single" w:color="auto" w:sz="2" w:space="0"/>
              <w:right w:val="single" w:color="auto" w:sz="2" w:space="0"/>
            </w:tcBorders>
            <w:vAlign w:val="center"/>
          </w:tcPr>
          <w:p w14:paraId="6AD02973">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p>
        </w:tc>
      </w:tr>
      <w:tr w14:paraId="7C333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76" w:type="dxa"/>
            <w:tcBorders>
              <w:top w:val="single" w:color="auto" w:sz="2" w:space="0"/>
              <w:left w:val="single" w:color="auto" w:sz="2" w:space="0"/>
              <w:bottom w:val="single" w:color="auto" w:sz="2" w:space="0"/>
              <w:right w:val="single" w:color="auto" w:sz="2" w:space="0"/>
            </w:tcBorders>
            <w:vAlign w:val="center"/>
          </w:tcPr>
          <w:p w14:paraId="0E292439">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邓超</w:t>
            </w:r>
          </w:p>
        </w:tc>
        <w:tc>
          <w:tcPr>
            <w:tcW w:w="0" w:type="auto"/>
            <w:tcBorders>
              <w:top w:val="single" w:color="auto" w:sz="2" w:space="0"/>
              <w:left w:val="single" w:color="auto" w:sz="2" w:space="0"/>
              <w:bottom w:val="single" w:color="auto" w:sz="2" w:space="0"/>
              <w:right w:val="single" w:color="auto" w:sz="2" w:space="0"/>
            </w:tcBorders>
            <w:vAlign w:val="center"/>
          </w:tcPr>
          <w:p w14:paraId="47844B9D">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0" w:type="auto"/>
            <w:tcBorders>
              <w:top w:val="single" w:color="auto" w:sz="2" w:space="0"/>
              <w:left w:val="single" w:color="auto" w:sz="2" w:space="0"/>
              <w:bottom w:val="single" w:color="auto" w:sz="2" w:space="0"/>
              <w:right w:val="single" w:color="auto" w:sz="2" w:space="0"/>
            </w:tcBorders>
            <w:vAlign w:val="center"/>
          </w:tcPr>
          <w:p w14:paraId="644390D4">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w:t>
            </w:r>
          </w:p>
        </w:tc>
        <w:tc>
          <w:tcPr>
            <w:tcW w:w="0" w:type="auto"/>
            <w:tcBorders>
              <w:top w:val="single" w:color="auto" w:sz="2" w:space="0"/>
              <w:left w:val="single" w:color="auto" w:sz="2" w:space="0"/>
              <w:bottom w:val="single" w:color="auto" w:sz="2" w:space="0"/>
              <w:right w:val="single" w:color="auto" w:sz="2" w:space="0"/>
            </w:tcBorders>
            <w:vAlign w:val="center"/>
          </w:tcPr>
          <w:p w14:paraId="61B82665">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独立董事</w:t>
            </w:r>
          </w:p>
        </w:tc>
        <w:tc>
          <w:tcPr>
            <w:tcW w:w="0" w:type="auto"/>
            <w:tcBorders>
              <w:top w:val="single" w:color="auto" w:sz="2" w:space="0"/>
              <w:left w:val="single" w:color="auto" w:sz="2" w:space="0"/>
              <w:bottom w:val="single" w:color="auto" w:sz="2" w:space="0"/>
              <w:right w:val="single" w:color="auto" w:sz="2" w:space="0"/>
            </w:tcBorders>
            <w:vAlign w:val="center"/>
          </w:tcPr>
          <w:p w14:paraId="2DA0E887">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0" w:type="auto"/>
            <w:tcBorders>
              <w:top w:val="single" w:color="auto" w:sz="2" w:space="0"/>
              <w:left w:val="single" w:color="auto" w:sz="2" w:space="0"/>
              <w:bottom w:val="single" w:color="auto" w:sz="2" w:space="0"/>
              <w:right w:val="single" w:color="auto" w:sz="2" w:space="0"/>
            </w:tcBorders>
            <w:vAlign w:val="center"/>
          </w:tcPr>
          <w:p w14:paraId="621E9006">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2023年06月21日</w:t>
            </w:r>
          </w:p>
        </w:tc>
        <w:tc>
          <w:tcPr>
            <w:tcW w:w="0" w:type="auto"/>
            <w:tcBorders>
              <w:top w:val="single" w:color="auto" w:sz="2" w:space="0"/>
              <w:left w:val="single" w:color="auto" w:sz="2" w:space="0"/>
              <w:bottom w:val="single" w:color="auto" w:sz="2" w:space="0"/>
              <w:right w:val="single" w:color="auto" w:sz="2" w:space="0"/>
            </w:tcBorders>
            <w:vAlign w:val="center"/>
          </w:tcPr>
          <w:p w14:paraId="56CA1823">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p>
        </w:tc>
        <w:tc>
          <w:tcPr>
            <w:tcW w:w="829" w:type="dxa"/>
            <w:tcBorders>
              <w:top w:val="single" w:color="auto" w:sz="2" w:space="0"/>
              <w:left w:val="single" w:color="auto" w:sz="2" w:space="0"/>
              <w:bottom w:val="single" w:color="auto" w:sz="2" w:space="0"/>
              <w:right w:val="single" w:color="auto" w:sz="2" w:space="0"/>
            </w:tcBorders>
            <w:vAlign w:val="center"/>
          </w:tcPr>
          <w:p w14:paraId="4A357BF5">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62" w:type="dxa"/>
            <w:tcBorders>
              <w:top w:val="single" w:color="auto" w:sz="2" w:space="0"/>
              <w:left w:val="single" w:color="auto" w:sz="2" w:space="0"/>
              <w:bottom w:val="single" w:color="auto" w:sz="2" w:space="0"/>
              <w:right w:val="single" w:color="auto" w:sz="2" w:space="0"/>
            </w:tcBorders>
            <w:vAlign w:val="center"/>
          </w:tcPr>
          <w:p w14:paraId="4F79C64D">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50" w:type="dxa"/>
            <w:tcBorders>
              <w:top w:val="single" w:color="auto" w:sz="2" w:space="0"/>
              <w:left w:val="single" w:color="auto" w:sz="2" w:space="0"/>
              <w:bottom w:val="single" w:color="auto" w:sz="2" w:space="0"/>
              <w:right w:val="single" w:color="auto" w:sz="2" w:space="0"/>
            </w:tcBorders>
            <w:vAlign w:val="center"/>
          </w:tcPr>
          <w:p w14:paraId="2670AB9B">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00" w:type="dxa"/>
            <w:tcBorders>
              <w:top w:val="single" w:color="auto" w:sz="2" w:space="0"/>
              <w:left w:val="single" w:color="auto" w:sz="2" w:space="0"/>
              <w:bottom w:val="single" w:color="auto" w:sz="2" w:space="0"/>
              <w:right w:val="single" w:color="auto" w:sz="2" w:space="0"/>
            </w:tcBorders>
            <w:vAlign w:val="center"/>
          </w:tcPr>
          <w:p w14:paraId="2EF45B54">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763" w:type="dxa"/>
            <w:tcBorders>
              <w:top w:val="single" w:color="auto" w:sz="2" w:space="0"/>
              <w:left w:val="single" w:color="auto" w:sz="2" w:space="0"/>
              <w:bottom w:val="single" w:color="auto" w:sz="2" w:space="0"/>
              <w:right w:val="single" w:color="auto" w:sz="2" w:space="0"/>
            </w:tcBorders>
            <w:vAlign w:val="center"/>
          </w:tcPr>
          <w:p w14:paraId="5F0F5F9D">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113" w:type="dxa"/>
            <w:tcBorders>
              <w:top w:val="single" w:color="auto" w:sz="2" w:space="0"/>
              <w:left w:val="single" w:color="auto" w:sz="2" w:space="0"/>
              <w:bottom w:val="single" w:color="auto" w:sz="2" w:space="0"/>
              <w:right w:val="single" w:color="auto" w:sz="2" w:space="0"/>
            </w:tcBorders>
            <w:vAlign w:val="center"/>
          </w:tcPr>
          <w:p w14:paraId="0EF393F2">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p>
        </w:tc>
      </w:tr>
      <w:tr w14:paraId="725D4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76" w:type="dxa"/>
            <w:tcBorders>
              <w:top w:val="single" w:color="auto" w:sz="2" w:space="0"/>
              <w:left w:val="single" w:color="auto" w:sz="2" w:space="0"/>
              <w:bottom w:val="single" w:color="auto" w:sz="2" w:space="0"/>
              <w:right w:val="single" w:color="auto" w:sz="2" w:space="0"/>
            </w:tcBorders>
            <w:vAlign w:val="center"/>
          </w:tcPr>
          <w:p w14:paraId="19B108A1">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赵峰</w:t>
            </w:r>
          </w:p>
        </w:tc>
        <w:tc>
          <w:tcPr>
            <w:tcW w:w="0" w:type="auto"/>
            <w:tcBorders>
              <w:top w:val="single" w:color="auto" w:sz="2" w:space="0"/>
              <w:left w:val="single" w:color="auto" w:sz="2" w:space="0"/>
              <w:bottom w:val="single" w:color="auto" w:sz="2" w:space="0"/>
              <w:right w:val="single" w:color="auto" w:sz="2" w:space="0"/>
            </w:tcBorders>
            <w:vAlign w:val="center"/>
          </w:tcPr>
          <w:p w14:paraId="2300C432">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0" w:type="auto"/>
            <w:tcBorders>
              <w:top w:val="single" w:color="auto" w:sz="2" w:space="0"/>
              <w:left w:val="single" w:color="auto" w:sz="2" w:space="0"/>
              <w:bottom w:val="single" w:color="auto" w:sz="2" w:space="0"/>
              <w:right w:val="single" w:color="auto" w:sz="2" w:space="0"/>
            </w:tcBorders>
            <w:vAlign w:val="center"/>
          </w:tcPr>
          <w:p w14:paraId="0F029950">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w:t>
            </w:r>
          </w:p>
        </w:tc>
        <w:tc>
          <w:tcPr>
            <w:tcW w:w="0" w:type="auto"/>
            <w:tcBorders>
              <w:top w:val="single" w:color="auto" w:sz="2" w:space="0"/>
              <w:left w:val="single" w:color="auto" w:sz="2" w:space="0"/>
              <w:bottom w:val="single" w:color="auto" w:sz="2" w:space="0"/>
              <w:right w:val="single" w:color="auto" w:sz="2" w:space="0"/>
            </w:tcBorders>
            <w:vAlign w:val="center"/>
          </w:tcPr>
          <w:p w14:paraId="61EBAFC8">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总经理</w:t>
            </w:r>
          </w:p>
        </w:tc>
        <w:tc>
          <w:tcPr>
            <w:tcW w:w="0" w:type="auto"/>
            <w:tcBorders>
              <w:top w:val="single" w:color="auto" w:sz="2" w:space="0"/>
              <w:left w:val="single" w:color="auto" w:sz="2" w:space="0"/>
              <w:bottom w:val="single" w:color="auto" w:sz="2" w:space="0"/>
              <w:right w:val="single" w:color="auto" w:sz="2" w:space="0"/>
            </w:tcBorders>
            <w:vAlign w:val="center"/>
          </w:tcPr>
          <w:p w14:paraId="3DA71777">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0" w:type="auto"/>
            <w:tcBorders>
              <w:top w:val="single" w:color="auto" w:sz="2" w:space="0"/>
              <w:left w:val="single" w:color="auto" w:sz="2" w:space="0"/>
              <w:bottom w:val="single" w:color="auto" w:sz="2" w:space="0"/>
              <w:right w:val="single" w:color="auto" w:sz="2" w:space="0"/>
            </w:tcBorders>
            <w:vAlign w:val="center"/>
          </w:tcPr>
          <w:p w14:paraId="1C3BD062">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2025年01月10日</w:t>
            </w:r>
          </w:p>
        </w:tc>
        <w:tc>
          <w:tcPr>
            <w:tcW w:w="0" w:type="auto"/>
            <w:tcBorders>
              <w:top w:val="single" w:color="auto" w:sz="2" w:space="0"/>
              <w:left w:val="single" w:color="auto" w:sz="2" w:space="0"/>
              <w:bottom w:val="single" w:color="auto" w:sz="2" w:space="0"/>
              <w:right w:val="single" w:color="auto" w:sz="2" w:space="0"/>
            </w:tcBorders>
            <w:vAlign w:val="center"/>
          </w:tcPr>
          <w:p w14:paraId="0D6FD6E1">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p>
        </w:tc>
        <w:tc>
          <w:tcPr>
            <w:tcW w:w="829" w:type="dxa"/>
            <w:tcBorders>
              <w:top w:val="single" w:color="auto" w:sz="2" w:space="0"/>
              <w:left w:val="single" w:color="auto" w:sz="2" w:space="0"/>
              <w:bottom w:val="single" w:color="auto" w:sz="2" w:space="0"/>
              <w:right w:val="single" w:color="auto" w:sz="2" w:space="0"/>
            </w:tcBorders>
            <w:vAlign w:val="center"/>
          </w:tcPr>
          <w:p w14:paraId="1417E653">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13,825</w:t>
            </w:r>
          </w:p>
        </w:tc>
        <w:tc>
          <w:tcPr>
            <w:tcW w:w="1062" w:type="dxa"/>
            <w:tcBorders>
              <w:top w:val="single" w:color="auto" w:sz="2" w:space="0"/>
              <w:left w:val="single" w:color="auto" w:sz="2" w:space="0"/>
              <w:bottom w:val="single" w:color="auto" w:sz="2" w:space="0"/>
              <w:right w:val="single" w:color="auto" w:sz="2" w:space="0"/>
            </w:tcBorders>
            <w:vAlign w:val="center"/>
          </w:tcPr>
          <w:p w14:paraId="090A0623">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50" w:type="dxa"/>
            <w:tcBorders>
              <w:top w:val="single" w:color="auto" w:sz="2" w:space="0"/>
              <w:left w:val="single" w:color="auto" w:sz="2" w:space="0"/>
              <w:bottom w:val="single" w:color="auto" w:sz="2" w:space="0"/>
              <w:right w:val="single" w:color="auto" w:sz="2" w:space="0"/>
            </w:tcBorders>
            <w:vAlign w:val="center"/>
          </w:tcPr>
          <w:p w14:paraId="684709AD">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00" w:type="dxa"/>
            <w:tcBorders>
              <w:top w:val="single" w:color="auto" w:sz="2" w:space="0"/>
              <w:left w:val="single" w:color="auto" w:sz="2" w:space="0"/>
              <w:bottom w:val="single" w:color="auto" w:sz="2" w:space="0"/>
              <w:right w:val="single" w:color="auto" w:sz="2" w:space="0"/>
            </w:tcBorders>
            <w:vAlign w:val="center"/>
          </w:tcPr>
          <w:p w14:paraId="6E175BA5">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763" w:type="dxa"/>
            <w:tcBorders>
              <w:top w:val="single" w:color="auto" w:sz="2" w:space="0"/>
              <w:left w:val="single" w:color="auto" w:sz="2" w:space="0"/>
              <w:bottom w:val="single" w:color="auto" w:sz="2" w:space="0"/>
              <w:right w:val="single" w:color="auto" w:sz="2" w:space="0"/>
            </w:tcBorders>
            <w:vAlign w:val="center"/>
          </w:tcPr>
          <w:p w14:paraId="617A769C">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13,825</w:t>
            </w:r>
          </w:p>
        </w:tc>
        <w:tc>
          <w:tcPr>
            <w:tcW w:w="1113" w:type="dxa"/>
            <w:tcBorders>
              <w:top w:val="single" w:color="auto" w:sz="2" w:space="0"/>
              <w:left w:val="single" w:color="auto" w:sz="2" w:space="0"/>
              <w:bottom w:val="single" w:color="auto" w:sz="2" w:space="0"/>
              <w:right w:val="single" w:color="auto" w:sz="2" w:space="0"/>
            </w:tcBorders>
            <w:vAlign w:val="center"/>
          </w:tcPr>
          <w:p w14:paraId="4EBAB3F7">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p>
        </w:tc>
      </w:tr>
      <w:tr w14:paraId="71AC5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76" w:type="dxa"/>
            <w:tcBorders>
              <w:top w:val="single" w:color="auto" w:sz="2" w:space="0"/>
              <w:left w:val="single" w:color="auto" w:sz="2" w:space="0"/>
              <w:bottom w:val="single" w:color="auto" w:sz="2" w:space="0"/>
              <w:right w:val="single" w:color="auto" w:sz="2" w:space="0"/>
            </w:tcBorders>
            <w:vAlign w:val="center"/>
          </w:tcPr>
          <w:p w14:paraId="782BA7FE">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赵军会</w:t>
            </w:r>
          </w:p>
        </w:tc>
        <w:tc>
          <w:tcPr>
            <w:tcW w:w="0" w:type="auto"/>
            <w:tcBorders>
              <w:top w:val="single" w:color="auto" w:sz="2" w:space="0"/>
              <w:left w:val="single" w:color="auto" w:sz="2" w:space="0"/>
              <w:bottom w:val="single" w:color="auto" w:sz="2" w:space="0"/>
              <w:right w:val="single" w:color="auto" w:sz="2" w:space="0"/>
            </w:tcBorders>
            <w:vAlign w:val="center"/>
          </w:tcPr>
          <w:p w14:paraId="1A32D040">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女</w:t>
            </w:r>
          </w:p>
        </w:tc>
        <w:tc>
          <w:tcPr>
            <w:tcW w:w="0" w:type="auto"/>
            <w:tcBorders>
              <w:top w:val="single" w:color="auto" w:sz="2" w:space="0"/>
              <w:left w:val="single" w:color="auto" w:sz="2" w:space="0"/>
              <w:bottom w:val="single" w:color="auto" w:sz="2" w:space="0"/>
              <w:right w:val="single" w:color="auto" w:sz="2" w:space="0"/>
            </w:tcBorders>
            <w:vAlign w:val="center"/>
          </w:tcPr>
          <w:p w14:paraId="0A49F948">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w:t>
            </w:r>
          </w:p>
        </w:tc>
        <w:tc>
          <w:tcPr>
            <w:tcW w:w="0" w:type="auto"/>
            <w:tcBorders>
              <w:top w:val="single" w:color="auto" w:sz="2" w:space="0"/>
              <w:left w:val="single" w:color="auto" w:sz="2" w:space="0"/>
              <w:bottom w:val="single" w:color="auto" w:sz="2" w:space="0"/>
              <w:right w:val="single" w:color="auto" w:sz="2" w:space="0"/>
            </w:tcBorders>
            <w:vAlign w:val="center"/>
          </w:tcPr>
          <w:p w14:paraId="302AFB37">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常务副总经理</w:t>
            </w:r>
          </w:p>
        </w:tc>
        <w:tc>
          <w:tcPr>
            <w:tcW w:w="0" w:type="auto"/>
            <w:tcBorders>
              <w:top w:val="single" w:color="auto" w:sz="2" w:space="0"/>
              <w:left w:val="single" w:color="auto" w:sz="2" w:space="0"/>
              <w:bottom w:val="single" w:color="auto" w:sz="2" w:space="0"/>
              <w:right w:val="single" w:color="auto" w:sz="2" w:space="0"/>
            </w:tcBorders>
            <w:vAlign w:val="center"/>
          </w:tcPr>
          <w:p w14:paraId="28339AA9">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0" w:type="auto"/>
            <w:tcBorders>
              <w:top w:val="single" w:color="auto" w:sz="2" w:space="0"/>
              <w:left w:val="single" w:color="auto" w:sz="2" w:space="0"/>
              <w:bottom w:val="single" w:color="auto" w:sz="2" w:space="0"/>
              <w:right w:val="single" w:color="auto" w:sz="2" w:space="0"/>
            </w:tcBorders>
            <w:vAlign w:val="center"/>
          </w:tcPr>
          <w:p w14:paraId="6B26C463">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2023年06月21日</w:t>
            </w:r>
          </w:p>
        </w:tc>
        <w:tc>
          <w:tcPr>
            <w:tcW w:w="0" w:type="auto"/>
            <w:tcBorders>
              <w:top w:val="single" w:color="auto" w:sz="2" w:space="0"/>
              <w:left w:val="single" w:color="auto" w:sz="2" w:space="0"/>
              <w:bottom w:val="single" w:color="auto" w:sz="2" w:space="0"/>
              <w:right w:val="single" w:color="auto" w:sz="2" w:space="0"/>
            </w:tcBorders>
            <w:vAlign w:val="center"/>
          </w:tcPr>
          <w:p w14:paraId="5EEAA369">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p>
        </w:tc>
        <w:tc>
          <w:tcPr>
            <w:tcW w:w="829" w:type="dxa"/>
            <w:tcBorders>
              <w:top w:val="single" w:color="auto" w:sz="2" w:space="0"/>
              <w:left w:val="single" w:color="auto" w:sz="2" w:space="0"/>
              <w:bottom w:val="single" w:color="auto" w:sz="2" w:space="0"/>
              <w:right w:val="single" w:color="auto" w:sz="2" w:space="0"/>
            </w:tcBorders>
            <w:vAlign w:val="center"/>
          </w:tcPr>
          <w:p w14:paraId="670B92C9">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w:t>
            </w:r>
          </w:p>
        </w:tc>
        <w:tc>
          <w:tcPr>
            <w:tcW w:w="1062" w:type="dxa"/>
            <w:tcBorders>
              <w:top w:val="single" w:color="auto" w:sz="2" w:space="0"/>
              <w:left w:val="single" w:color="auto" w:sz="2" w:space="0"/>
              <w:bottom w:val="single" w:color="auto" w:sz="2" w:space="0"/>
              <w:right w:val="single" w:color="auto" w:sz="2" w:space="0"/>
            </w:tcBorders>
            <w:vAlign w:val="center"/>
          </w:tcPr>
          <w:p w14:paraId="4C24F621">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50" w:type="dxa"/>
            <w:tcBorders>
              <w:top w:val="single" w:color="auto" w:sz="2" w:space="0"/>
              <w:left w:val="single" w:color="auto" w:sz="2" w:space="0"/>
              <w:bottom w:val="single" w:color="auto" w:sz="2" w:space="0"/>
              <w:right w:val="single" w:color="auto" w:sz="2" w:space="0"/>
            </w:tcBorders>
            <w:vAlign w:val="center"/>
          </w:tcPr>
          <w:p w14:paraId="0B7EE603">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00" w:type="dxa"/>
            <w:tcBorders>
              <w:top w:val="single" w:color="auto" w:sz="2" w:space="0"/>
              <w:left w:val="single" w:color="auto" w:sz="2" w:space="0"/>
              <w:bottom w:val="single" w:color="auto" w:sz="2" w:space="0"/>
              <w:right w:val="single" w:color="auto" w:sz="2" w:space="0"/>
            </w:tcBorders>
            <w:vAlign w:val="center"/>
          </w:tcPr>
          <w:p w14:paraId="073E6E66">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763" w:type="dxa"/>
            <w:tcBorders>
              <w:top w:val="single" w:color="auto" w:sz="2" w:space="0"/>
              <w:left w:val="single" w:color="auto" w:sz="2" w:space="0"/>
              <w:bottom w:val="single" w:color="auto" w:sz="2" w:space="0"/>
              <w:right w:val="single" w:color="auto" w:sz="2" w:space="0"/>
            </w:tcBorders>
            <w:vAlign w:val="center"/>
          </w:tcPr>
          <w:p w14:paraId="66260111">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w:t>
            </w:r>
          </w:p>
        </w:tc>
        <w:tc>
          <w:tcPr>
            <w:tcW w:w="1113" w:type="dxa"/>
            <w:tcBorders>
              <w:top w:val="single" w:color="auto" w:sz="2" w:space="0"/>
              <w:left w:val="single" w:color="auto" w:sz="2" w:space="0"/>
              <w:bottom w:val="single" w:color="auto" w:sz="2" w:space="0"/>
              <w:right w:val="single" w:color="auto" w:sz="2" w:space="0"/>
            </w:tcBorders>
            <w:vAlign w:val="center"/>
          </w:tcPr>
          <w:p w14:paraId="4CFBF1EE">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p>
        </w:tc>
      </w:tr>
      <w:tr w14:paraId="0BDF4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76" w:type="dxa"/>
            <w:tcBorders>
              <w:top w:val="single" w:color="auto" w:sz="2" w:space="0"/>
              <w:left w:val="single" w:color="auto" w:sz="2" w:space="0"/>
              <w:bottom w:val="single" w:color="auto" w:sz="2" w:space="0"/>
              <w:right w:val="single" w:color="auto" w:sz="2" w:space="0"/>
            </w:tcBorders>
            <w:vAlign w:val="center"/>
          </w:tcPr>
          <w:p w14:paraId="40F673AF">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徐庆荣</w:t>
            </w:r>
          </w:p>
        </w:tc>
        <w:tc>
          <w:tcPr>
            <w:tcW w:w="0" w:type="auto"/>
            <w:tcBorders>
              <w:top w:val="single" w:color="auto" w:sz="2" w:space="0"/>
              <w:left w:val="single" w:color="auto" w:sz="2" w:space="0"/>
              <w:bottom w:val="single" w:color="auto" w:sz="2" w:space="0"/>
              <w:right w:val="single" w:color="auto" w:sz="2" w:space="0"/>
            </w:tcBorders>
            <w:vAlign w:val="center"/>
          </w:tcPr>
          <w:p w14:paraId="398DFDB4">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0" w:type="auto"/>
            <w:tcBorders>
              <w:top w:val="single" w:color="auto" w:sz="2" w:space="0"/>
              <w:left w:val="single" w:color="auto" w:sz="2" w:space="0"/>
              <w:bottom w:val="single" w:color="auto" w:sz="2" w:space="0"/>
              <w:right w:val="single" w:color="auto" w:sz="2" w:space="0"/>
            </w:tcBorders>
            <w:vAlign w:val="center"/>
          </w:tcPr>
          <w:p w14:paraId="02A043BF">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w:t>
            </w:r>
          </w:p>
        </w:tc>
        <w:tc>
          <w:tcPr>
            <w:tcW w:w="0" w:type="auto"/>
            <w:tcBorders>
              <w:top w:val="single" w:color="auto" w:sz="2" w:space="0"/>
              <w:left w:val="single" w:color="auto" w:sz="2" w:space="0"/>
              <w:bottom w:val="single" w:color="auto" w:sz="2" w:space="0"/>
              <w:right w:val="single" w:color="auto" w:sz="2" w:space="0"/>
            </w:tcBorders>
            <w:vAlign w:val="center"/>
          </w:tcPr>
          <w:p w14:paraId="05E7E957">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副总经理、董事会秘书</w:t>
            </w:r>
          </w:p>
        </w:tc>
        <w:tc>
          <w:tcPr>
            <w:tcW w:w="0" w:type="auto"/>
            <w:tcBorders>
              <w:top w:val="single" w:color="auto" w:sz="2" w:space="0"/>
              <w:left w:val="single" w:color="auto" w:sz="2" w:space="0"/>
              <w:bottom w:val="single" w:color="auto" w:sz="2" w:space="0"/>
              <w:right w:val="single" w:color="auto" w:sz="2" w:space="0"/>
            </w:tcBorders>
            <w:vAlign w:val="center"/>
          </w:tcPr>
          <w:p w14:paraId="106E2A2B">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0" w:type="auto"/>
            <w:tcBorders>
              <w:top w:val="single" w:color="auto" w:sz="2" w:space="0"/>
              <w:left w:val="single" w:color="auto" w:sz="2" w:space="0"/>
              <w:bottom w:val="single" w:color="auto" w:sz="2" w:space="0"/>
              <w:right w:val="single" w:color="auto" w:sz="2" w:space="0"/>
            </w:tcBorders>
            <w:vAlign w:val="center"/>
          </w:tcPr>
          <w:p w14:paraId="60930CD4">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2023年06月21日</w:t>
            </w:r>
          </w:p>
        </w:tc>
        <w:tc>
          <w:tcPr>
            <w:tcW w:w="0" w:type="auto"/>
            <w:tcBorders>
              <w:top w:val="single" w:color="auto" w:sz="2" w:space="0"/>
              <w:left w:val="single" w:color="auto" w:sz="2" w:space="0"/>
              <w:bottom w:val="single" w:color="auto" w:sz="2" w:space="0"/>
              <w:right w:val="single" w:color="auto" w:sz="2" w:space="0"/>
            </w:tcBorders>
            <w:vAlign w:val="center"/>
          </w:tcPr>
          <w:p w14:paraId="2D78A8F8">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p>
        </w:tc>
        <w:tc>
          <w:tcPr>
            <w:tcW w:w="829" w:type="dxa"/>
            <w:tcBorders>
              <w:top w:val="single" w:color="auto" w:sz="2" w:space="0"/>
              <w:left w:val="single" w:color="auto" w:sz="2" w:space="0"/>
              <w:bottom w:val="single" w:color="auto" w:sz="2" w:space="0"/>
              <w:right w:val="single" w:color="auto" w:sz="2" w:space="0"/>
            </w:tcBorders>
            <w:vAlign w:val="center"/>
          </w:tcPr>
          <w:p w14:paraId="58EBEAB3">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62" w:type="dxa"/>
            <w:tcBorders>
              <w:top w:val="single" w:color="auto" w:sz="2" w:space="0"/>
              <w:left w:val="single" w:color="auto" w:sz="2" w:space="0"/>
              <w:bottom w:val="single" w:color="auto" w:sz="2" w:space="0"/>
              <w:right w:val="single" w:color="auto" w:sz="2" w:space="0"/>
            </w:tcBorders>
            <w:vAlign w:val="center"/>
          </w:tcPr>
          <w:p w14:paraId="10CDDBA3">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50" w:type="dxa"/>
            <w:tcBorders>
              <w:top w:val="single" w:color="auto" w:sz="2" w:space="0"/>
              <w:left w:val="single" w:color="auto" w:sz="2" w:space="0"/>
              <w:bottom w:val="single" w:color="auto" w:sz="2" w:space="0"/>
              <w:right w:val="single" w:color="auto" w:sz="2" w:space="0"/>
            </w:tcBorders>
            <w:vAlign w:val="center"/>
          </w:tcPr>
          <w:p w14:paraId="18A4AE7C">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00" w:type="dxa"/>
            <w:tcBorders>
              <w:top w:val="single" w:color="auto" w:sz="2" w:space="0"/>
              <w:left w:val="single" w:color="auto" w:sz="2" w:space="0"/>
              <w:bottom w:val="single" w:color="auto" w:sz="2" w:space="0"/>
              <w:right w:val="single" w:color="auto" w:sz="2" w:space="0"/>
            </w:tcBorders>
            <w:vAlign w:val="center"/>
          </w:tcPr>
          <w:p w14:paraId="36FF6474">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763" w:type="dxa"/>
            <w:tcBorders>
              <w:top w:val="single" w:color="auto" w:sz="2" w:space="0"/>
              <w:left w:val="single" w:color="auto" w:sz="2" w:space="0"/>
              <w:bottom w:val="single" w:color="auto" w:sz="2" w:space="0"/>
              <w:right w:val="single" w:color="auto" w:sz="2" w:space="0"/>
            </w:tcBorders>
            <w:vAlign w:val="center"/>
          </w:tcPr>
          <w:p w14:paraId="7DF92634">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113" w:type="dxa"/>
            <w:tcBorders>
              <w:top w:val="single" w:color="auto" w:sz="2" w:space="0"/>
              <w:left w:val="single" w:color="auto" w:sz="2" w:space="0"/>
              <w:bottom w:val="single" w:color="auto" w:sz="2" w:space="0"/>
              <w:right w:val="single" w:color="auto" w:sz="2" w:space="0"/>
            </w:tcBorders>
            <w:vAlign w:val="center"/>
          </w:tcPr>
          <w:p w14:paraId="591019F1">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p>
        </w:tc>
      </w:tr>
      <w:tr w14:paraId="5F61E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76" w:type="dxa"/>
            <w:tcBorders>
              <w:top w:val="single" w:color="auto" w:sz="2" w:space="0"/>
              <w:left w:val="single" w:color="auto" w:sz="2" w:space="0"/>
              <w:bottom w:val="single" w:color="auto" w:sz="2" w:space="0"/>
              <w:right w:val="single" w:color="auto" w:sz="2" w:space="0"/>
            </w:tcBorders>
            <w:vAlign w:val="center"/>
          </w:tcPr>
          <w:p w14:paraId="4C52C113">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尤臻</w:t>
            </w:r>
          </w:p>
        </w:tc>
        <w:tc>
          <w:tcPr>
            <w:tcW w:w="0" w:type="auto"/>
            <w:tcBorders>
              <w:top w:val="single" w:color="auto" w:sz="2" w:space="0"/>
              <w:left w:val="single" w:color="auto" w:sz="2" w:space="0"/>
              <w:bottom w:val="single" w:color="auto" w:sz="2" w:space="0"/>
              <w:right w:val="single" w:color="auto" w:sz="2" w:space="0"/>
            </w:tcBorders>
            <w:vAlign w:val="center"/>
          </w:tcPr>
          <w:p w14:paraId="4A91B0FC">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0" w:type="auto"/>
            <w:tcBorders>
              <w:top w:val="single" w:color="auto" w:sz="2" w:space="0"/>
              <w:left w:val="single" w:color="auto" w:sz="2" w:space="0"/>
              <w:bottom w:val="single" w:color="auto" w:sz="2" w:space="0"/>
              <w:right w:val="single" w:color="auto" w:sz="2" w:space="0"/>
            </w:tcBorders>
            <w:vAlign w:val="center"/>
          </w:tcPr>
          <w:p w14:paraId="388EBB04">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w:t>
            </w:r>
          </w:p>
        </w:tc>
        <w:tc>
          <w:tcPr>
            <w:tcW w:w="0" w:type="auto"/>
            <w:tcBorders>
              <w:top w:val="single" w:color="auto" w:sz="2" w:space="0"/>
              <w:left w:val="single" w:color="auto" w:sz="2" w:space="0"/>
              <w:bottom w:val="single" w:color="auto" w:sz="2" w:space="0"/>
              <w:right w:val="single" w:color="auto" w:sz="2" w:space="0"/>
            </w:tcBorders>
            <w:vAlign w:val="center"/>
          </w:tcPr>
          <w:p w14:paraId="2BD2467E">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副总经理</w:t>
            </w:r>
          </w:p>
        </w:tc>
        <w:tc>
          <w:tcPr>
            <w:tcW w:w="0" w:type="auto"/>
            <w:tcBorders>
              <w:top w:val="single" w:color="auto" w:sz="2" w:space="0"/>
              <w:left w:val="single" w:color="auto" w:sz="2" w:space="0"/>
              <w:bottom w:val="single" w:color="auto" w:sz="2" w:space="0"/>
              <w:right w:val="single" w:color="auto" w:sz="2" w:space="0"/>
            </w:tcBorders>
            <w:vAlign w:val="center"/>
          </w:tcPr>
          <w:p w14:paraId="354DA92F">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0" w:type="auto"/>
            <w:tcBorders>
              <w:top w:val="single" w:color="auto" w:sz="2" w:space="0"/>
              <w:left w:val="single" w:color="auto" w:sz="2" w:space="0"/>
              <w:bottom w:val="single" w:color="auto" w:sz="2" w:space="0"/>
              <w:right w:val="single" w:color="auto" w:sz="2" w:space="0"/>
            </w:tcBorders>
            <w:vAlign w:val="center"/>
          </w:tcPr>
          <w:p w14:paraId="745001A7">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2021年04月09日</w:t>
            </w:r>
          </w:p>
        </w:tc>
        <w:tc>
          <w:tcPr>
            <w:tcW w:w="0" w:type="auto"/>
            <w:tcBorders>
              <w:top w:val="single" w:color="auto" w:sz="2" w:space="0"/>
              <w:left w:val="single" w:color="auto" w:sz="2" w:space="0"/>
              <w:bottom w:val="single" w:color="auto" w:sz="2" w:space="0"/>
              <w:right w:val="single" w:color="auto" w:sz="2" w:space="0"/>
            </w:tcBorders>
            <w:vAlign w:val="center"/>
          </w:tcPr>
          <w:p w14:paraId="731A6B17">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p>
        </w:tc>
        <w:tc>
          <w:tcPr>
            <w:tcW w:w="829" w:type="dxa"/>
            <w:tcBorders>
              <w:top w:val="single" w:color="auto" w:sz="2" w:space="0"/>
              <w:left w:val="single" w:color="auto" w:sz="2" w:space="0"/>
              <w:bottom w:val="single" w:color="auto" w:sz="2" w:space="0"/>
              <w:right w:val="single" w:color="auto" w:sz="2" w:space="0"/>
            </w:tcBorders>
            <w:vAlign w:val="center"/>
          </w:tcPr>
          <w:p w14:paraId="38A0C42D">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62" w:type="dxa"/>
            <w:tcBorders>
              <w:top w:val="single" w:color="auto" w:sz="2" w:space="0"/>
              <w:left w:val="single" w:color="auto" w:sz="2" w:space="0"/>
              <w:bottom w:val="single" w:color="auto" w:sz="2" w:space="0"/>
              <w:right w:val="single" w:color="auto" w:sz="2" w:space="0"/>
            </w:tcBorders>
            <w:vAlign w:val="center"/>
          </w:tcPr>
          <w:p w14:paraId="54B24030">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50" w:type="dxa"/>
            <w:tcBorders>
              <w:top w:val="single" w:color="auto" w:sz="2" w:space="0"/>
              <w:left w:val="single" w:color="auto" w:sz="2" w:space="0"/>
              <w:bottom w:val="single" w:color="auto" w:sz="2" w:space="0"/>
              <w:right w:val="single" w:color="auto" w:sz="2" w:space="0"/>
            </w:tcBorders>
            <w:vAlign w:val="center"/>
          </w:tcPr>
          <w:p w14:paraId="628355EB">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00" w:type="dxa"/>
            <w:tcBorders>
              <w:top w:val="single" w:color="auto" w:sz="2" w:space="0"/>
              <w:left w:val="single" w:color="auto" w:sz="2" w:space="0"/>
              <w:bottom w:val="single" w:color="auto" w:sz="2" w:space="0"/>
              <w:right w:val="single" w:color="auto" w:sz="2" w:space="0"/>
            </w:tcBorders>
            <w:vAlign w:val="center"/>
          </w:tcPr>
          <w:p w14:paraId="462C2208">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763" w:type="dxa"/>
            <w:tcBorders>
              <w:top w:val="single" w:color="auto" w:sz="2" w:space="0"/>
              <w:left w:val="single" w:color="auto" w:sz="2" w:space="0"/>
              <w:bottom w:val="single" w:color="auto" w:sz="2" w:space="0"/>
              <w:right w:val="single" w:color="auto" w:sz="2" w:space="0"/>
            </w:tcBorders>
            <w:vAlign w:val="center"/>
          </w:tcPr>
          <w:p w14:paraId="6ABFA0B1">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113" w:type="dxa"/>
            <w:tcBorders>
              <w:top w:val="single" w:color="auto" w:sz="2" w:space="0"/>
              <w:left w:val="single" w:color="auto" w:sz="2" w:space="0"/>
              <w:bottom w:val="single" w:color="auto" w:sz="2" w:space="0"/>
              <w:right w:val="single" w:color="auto" w:sz="2" w:space="0"/>
            </w:tcBorders>
            <w:vAlign w:val="center"/>
          </w:tcPr>
          <w:p w14:paraId="1D869C2C">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p>
        </w:tc>
      </w:tr>
      <w:tr w14:paraId="22C4E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76" w:type="dxa"/>
            <w:tcBorders>
              <w:top w:val="single" w:color="auto" w:sz="2" w:space="0"/>
              <w:left w:val="single" w:color="auto" w:sz="2" w:space="0"/>
              <w:bottom w:val="single" w:color="auto" w:sz="2" w:space="0"/>
              <w:right w:val="single" w:color="auto" w:sz="2" w:space="0"/>
            </w:tcBorders>
            <w:vAlign w:val="center"/>
          </w:tcPr>
          <w:p w14:paraId="3304DD59">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侯怀信</w:t>
            </w:r>
          </w:p>
        </w:tc>
        <w:tc>
          <w:tcPr>
            <w:tcW w:w="0" w:type="auto"/>
            <w:tcBorders>
              <w:top w:val="single" w:color="auto" w:sz="2" w:space="0"/>
              <w:left w:val="single" w:color="auto" w:sz="2" w:space="0"/>
              <w:bottom w:val="single" w:color="auto" w:sz="2" w:space="0"/>
              <w:right w:val="single" w:color="auto" w:sz="2" w:space="0"/>
            </w:tcBorders>
            <w:vAlign w:val="center"/>
          </w:tcPr>
          <w:p w14:paraId="771BF678">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0" w:type="auto"/>
            <w:tcBorders>
              <w:top w:val="single" w:color="auto" w:sz="2" w:space="0"/>
              <w:left w:val="single" w:color="auto" w:sz="2" w:space="0"/>
              <w:bottom w:val="single" w:color="auto" w:sz="2" w:space="0"/>
              <w:right w:val="single" w:color="auto" w:sz="2" w:space="0"/>
            </w:tcBorders>
            <w:vAlign w:val="center"/>
          </w:tcPr>
          <w:p w14:paraId="020E67B4">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w:t>
            </w:r>
          </w:p>
        </w:tc>
        <w:tc>
          <w:tcPr>
            <w:tcW w:w="0" w:type="auto"/>
            <w:tcBorders>
              <w:top w:val="single" w:color="auto" w:sz="2" w:space="0"/>
              <w:left w:val="single" w:color="auto" w:sz="2" w:space="0"/>
              <w:bottom w:val="single" w:color="auto" w:sz="2" w:space="0"/>
              <w:right w:val="single" w:color="auto" w:sz="2" w:space="0"/>
            </w:tcBorders>
            <w:vAlign w:val="center"/>
          </w:tcPr>
          <w:p w14:paraId="260789E0">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副总经理</w:t>
            </w:r>
          </w:p>
        </w:tc>
        <w:tc>
          <w:tcPr>
            <w:tcW w:w="0" w:type="auto"/>
            <w:tcBorders>
              <w:top w:val="single" w:color="auto" w:sz="2" w:space="0"/>
              <w:left w:val="single" w:color="auto" w:sz="2" w:space="0"/>
              <w:bottom w:val="single" w:color="auto" w:sz="2" w:space="0"/>
              <w:right w:val="single" w:color="auto" w:sz="2" w:space="0"/>
            </w:tcBorders>
            <w:vAlign w:val="center"/>
          </w:tcPr>
          <w:p w14:paraId="74D95DD1">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0" w:type="auto"/>
            <w:tcBorders>
              <w:top w:val="single" w:color="auto" w:sz="2" w:space="0"/>
              <w:left w:val="single" w:color="auto" w:sz="2" w:space="0"/>
              <w:bottom w:val="single" w:color="auto" w:sz="2" w:space="0"/>
              <w:right w:val="single" w:color="auto" w:sz="2" w:space="0"/>
            </w:tcBorders>
            <w:vAlign w:val="center"/>
          </w:tcPr>
          <w:p w14:paraId="2D5D6A75">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2023年06月21日</w:t>
            </w:r>
          </w:p>
        </w:tc>
        <w:tc>
          <w:tcPr>
            <w:tcW w:w="0" w:type="auto"/>
            <w:tcBorders>
              <w:top w:val="single" w:color="auto" w:sz="2" w:space="0"/>
              <w:left w:val="single" w:color="auto" w:sz="2" w:space="0"/>
              <w:bottom w:val="single" w:color="auto" w:sz="2" w:space="0"/>
              <w:right w:val="single" w:color="auto" w:sz="2" w:space="0"/>
            </w:tcBorders>
            <w:vAlign w:val="center"/>
          </w:tcPr>
          <w:p w14:paraId="7EA28FAE">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p>
        </w:tc>
        <w:tc>
          <w:tcPr>
            <w:tcW w:w="829" w:type="dxa"/>
            <w:tcBorders>
              <w:top w:val="single" w:color="auto" w:sz="2" w:space="0"/>
              <w:left w:val="single" w:color="auto" w:sz="2" w:space="0"/>
              <w:bottom w:val="single" w:color="auto" w:sz="2" w:space="0"/>
              <w:right w:val="single" w:color="auto" w:sz="2" w:space="0"/>
            </w:tcBorders>
            <w:vAlign w:val="center"/>
          </w:tcPr>
          <w:p w14:paraId="04F2F74E">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62" w:type="dxa"/>
            <w:tcBorders>
              <w:top w:val="single" w:color="auto" w:sz="2" w:space="0"/>
              <w:left w:val="single" w:color="auto" w:sz="2" w:space="0"/>
              <w:bottom w:val="single" w:color="auto" w:sz="2" w:space="0"/>
              <w:right w:val="single" w:color="auto" w:sz="2" w:space="0"/>
            </w:tcBorders>
            <w:vAlign w:val="center"/>
          </w:tcPr>
          <w:p w14:paraId="68F43122">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50" w:type="dxa"/>
            <w:tcBorders>
              <w:top w:val="single" w:color="auto" w:sz="2" w:space="0"/>
              <w:left w:val="single" w:color="auto" w:sz="2" w:space="0"/>
              <w:bottom w:val="single" w:color="auto" w:sz="2" w:space="0"/>
              <w:right w:val="single" w:color="auto" w:sz="2" w:space="0"/>
            </w:tcBorders>
            <w:vAlign w:val="center"/>
          </w:tcPr>
          <w:p w14:paraId="0E896CC0">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00" w:type="dxa"/>
            <w:tcBorders>
              <w:top w:val="single" w:color="auto" w:sz="2" w:space="0"/>
              <w:left w:val="single" w:color="auto" w:sz="2" w:space="0"/>
              <w:bottom w:val="single" w:color="auto" w:sz="2" w:space="0"/>
              <w:right w:val="single" w:color="auto" w:sz="2" w:space="0"/>
            </w:tcBorders>
            <w:vAlign w:val="center"/>
          </w:tcPr>
          <w:p w14:paraId="6B80C7AA">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763" w:type="dxa"/>
            <w:tcBorders>
              <w:top w:val="single" w:color="auto" w:sz="2" w:space="0"/>
              <w:left w:val="single" w:color="auto" w:sz="2" w:space="0"/>
              <w:bottom w:val="single" w:color="auto" w:sz="2" w:space="0"/>
              <w:right w:val="single" w:color="auto" w:sz="2" w:space="0"/>
            </w:tcBorders>
            <w:vAlign w:val="center"/>
          </w:tcPr>
          <w:p w14:paraId="574F5240">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113" w:type="dxa"/>
            <w:tcBorders>
              <w:top w:val="single" w:color="auto" w:sz="2" w:space="0"/>
              <w:left w:val="single" w:color="auto" w:sz="2" w:space="0"/>
              <w:bottom w:val="single" w:color="auto" w:sz="2" w:space="0"/>
              <w:right w:val="single" w:color="auto" w:sz="2" w:space="0"/>
            </w:tcBorders>
            <w:vAlign w:val="center"/>
          </w:tcPr>
          <w:p w14:paraId="7F967F37">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p>
        </w:tc>
      </w:tr>
      <w:tr w14:paraId="438ED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76" w:type="dxa"/>
            <w:tcBorders>
              <w:top w:val="single" w:color="auto" w:sz="2" w:space="0"/>
              <w:left w:val="single" w:color="auto" w:sz="2" w:space="0"/>
              <w:bottom w:val="single" w:color="auto" w:sz="2" w:space="0"/>
              <w:right w:val="single" w:color="auto" w:sz="2" w:space="0"/>
            </w:tcBorders>
            <w:vAlign w:val="center"/>
          </w:tcPr>
          <w:p w14:paraId="106BCC16">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林祥贵</w:t>
            </w:r>
          </w:p>
        </w:tc>
        <w:tc>
          <w:tcPr>
            <w:tcW w:w="0" w:type="auto"/>
            <w:tcBorders>
              <w:top w:val="single" w:color="auto" w:sz="2" w:space="0"/>
              <w:left w:val="single" w:color="auto" w:sz="2" w:space="0"/>
              <w:bottom w:val="single" w:color="auto" w:sz="2" w:space="0"/>
              <w:right w:val="single" w:color="auto" w:sz="2" w:space="0"/>
            </w:tcBorders>
            <w:vAlign w:val="center"/>
          </w:tcPr>
          <w:p w14:paraId="70D0E7D8">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0" w:type="auto"/>
            <w:tcBorders>
              <w:top w:val="single" w:color="auto" w:sz="2" w:space="0"/>
              <w:left w:val="single" w:color="auto" w:sz="2" w:space="0"/>
              <w:bottom w:val="single" w:color="auto" w:sz="2" w:space="0"/>
              <w:right w:val="single" w:color="auto" w:sz="2" w:space="0"/>
            </w:tcBorders>
            <w:vAlign w:val="center"/>
          </w:tcPr>
          <w:p w14:paraId="171FE60A">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w:t>
            </w:r>
          </w:p>
        </w:tc>
        <w:tc>
          <w:tcPr>
            <w:tcW w:w="0" w:type="auto"/>
            <w:tcBorders>
              <w:top w:val="single" w:color="auto" w:sz="2" w:space="0"/>
              <w:left w:val="single" w:color="auto" w:sz="2" w:space="0"/>
              <w:bottom w:val="single" w:color="auto" w:sz="2" w:space="0"/>
              <w:right w:val="single" w:color="auto" w:sz="2" w:space="0"/>
            </w:tcBorders>
            <w:vAlign w:val="center"/>
          </w:tcPr>
          <w:p w14:paraId="58F2C7A7">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副总经理</w:t>
            </w:r>
          </w:p>
        </w:tc>
        <w:tc>
          <w:tcPr>
            <w:tcW w:w="0" w:type="auto"/>
            <w:tcBorders>
              <w:top w:val="single" w:color="auto" w:sz="2" w:space="0"/>
              <w:left w:val="single" w:color="auto" w:sz="2" w:space="0"/>
              <w:bottom w:val="single" w:color="auto" w:sz="2" w:space="0"/>
              <w:right w:val="single" w:color="auto" w:sz="2" w:space="0"/>
            </w:tcBorders>
            <w:vAlign w:val="center"/>
          </w:tcPr>
          <w:p w14:paraId="1C8A6DD9">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0" w:type="auto"/>
            <w:tcBorders>
              <w:top w:val="single" w:color="auto" w:sz="2" w:space="0"/>
              <w:left w:val="single" w:color="auto" w:sz="2" w:space="0"/>
              <w:bottom w:val="single" w:color="auto" w:sz="2" w:space="0"/>
              <w:right w:val="single" w:color="auto" w:sz="2" w:space="0"/>
            </w:tcBorders>
            <w:vAlign w:val="center"/>
          </w:tcPr>
          <w:p w14:paraId="1E92F511">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2023年06月21日</w:t>
            </w:r>
          </w:p>
        </w:tc>
        <w:tc>
          <w:tcPr>
            <w:tcW w:w="0" w:type="auto"/>
            <w:tcBorders>
              <w:top w:val="single" w:color="auto" w:sz="2" w:space="0"/>
              <w:left w:val="single" w:color="auto" w:sz="2" w:space="0"/>
              <w:bottom w:val="single" w:color="auto" w:sz="2" w:space="0"/>
              <w:right w:val="single" w:color="auto" w:sz="2" w:space="0"/>
            </w:tcBorders>
            <w:vAlign w:val="center"/>
          </w:tcPr>
          <w:p w14:paraId="34CBA3A1">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p>
        </w:tc>
        <w:tc>
          <w:tcPr>
            <w:tcW w:w="829" w:type="dxa"/>
            <w:tcBorders>
              <w:top w:val="single" w:color="auto" w:sz="2" w:space="0"/>
              <w:left w:val="single" w:color="auto" w:sz="2" w:space="0"/>
              <w:bottom w:val="single" w:color="auto" w:sz="2" w:space="0"/>
              <w:right w:val="single" w:color="auto" w:sz="2" w:space="0"/>
            </w:tcBorders>
            <w:vAlign w:val="center"/>
          </w:tcPr>
          <w:p w14:paraId="6996C62D">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62" w:type="dxa"/>
            <w:tcBorders>
              <w:top w:val="single" w:color="auto" w:sz="2" w:space="0"/>
              <w:left w:val="single" w:color="auto" w:sz="2" w:space="0"/>
              <w:bottom w:val="single" w:color="auto" w:sz="2" w:space="0"/>
              <w:right w:val="single" w:color="auto" w:sz="2" w:space="0"/>
            </w:tcBorders>
            <w:vAlign w:val="center"/>
          </w:tcPr>
          <w:p w14:paraId="1A5380BB">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50" w:type="dxa"/>
            <w:tcBorders>
              <w:top w:val="single" w:color="auto" w:sz="2" w:space="0"/>
              <w:left w:val="single" w:color="auto" w:sz="2" w:space="0"/>
              <w:bottom w:val="single" w:color="auto" w:sz="2" w:space="0"/>
              <w:right w:val="single" w:color="auto" w:sz="2" w:space="0"/>
            </w:tcBorders>
            <w:vAlign w:val="center"/>
          </w:tcPr>
          <w:p w14:paraId="33CB7909">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00" w:type="dxa"/>
            <w:tcBorders>
              <w:top w:val="single" w:color="auto" w:sz="2" w:space="0"/>
              <w:left w:val="single" w:color="auto" w:sz="2" w:space="0"/>
              <w:bottom w:val="single" w:color="auto" w:sz="2" w:space="0"/>
              <w:right w:val="single" w:color="auto" w:sz="2" w:space="0"/>
            </w:tcBorders>
            <w:vAlign w:val="center"/>
          </w:tcPr>
          <w:p w14:paraId="2E174599">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763" w:type="dxa"/>
            <w:tcBorders>
              <w:top w:val="single" w:color="auto" w:sz="2" w:space="0"/>
              <w:left w:val="single" w:color="auto" w:sz="2" w:space="0"/>
              <w:bottom w:val="single" w:color="auto" w:sz="2" w:space="0"/>
              <w:right w:val="single" w:color="auto" w:sz="2" w:space="0"/>
            </w:tcBorders>
            <w:vAlign w:val="center"/>
          </w:tcPr>
          <w:p w14:paraId="2A79F747">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113" w:type="dxa"/>
            <w:tcBorders>
              <w:top w:val="single" w:color="auto" w:sz="2" w:space="0"/>
              <w:left w:val="single" w:color="auto" w:sz="2" w:space="0"/>
              <w:bottom w:val="single" w:color="auto" w:sz="2" w:space="0"/>
              <w:right w:val="single" w:color="auto" w:sz="2" w:space="0"/>
            </w:tcBorders>
            <w:vAlign w:val="center"/>
          </w:tcPr>
          <w:p w14:paraId="353B9591">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p>
        </w:tc>
      </w:tr>
      <w:tr w14:paraId="2FE5B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76" w:type="dxa"/>
            <w:tcBorders>
              <w:top w:val="single" w:color="auto" w:sz="2" w:space="0"/>
              <w:left w:val="single" w:color="auto" w:sz="2" w:space="0"/>
              <w:bottom w:val="single" w:color="auto" w:sz="2" w:space="0"/>
              <w:right w:val="single" w:color="auto" w:sz="2" w:space="0"/>
            </w:tcBorders>
            <w:vAlign w:val="center"/>
          </w:tcPr>
          <w:p w14:paraId="6A3286B6">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张伟坤</w:t>
            </w:r>
          </w:p>
        </w:tc>
        <w:tc>
          <w:tcPr>
            <w:tcW w:w="0" w:type="auto"/>
            <w:tcBorders>
              <w:top w:val="single" w:color="auto" w:sz="2" w:space="0"/>
              <w:left w:val="single" w:color="auto" w:sz="2" w:space="0"/>
              <w:bottom w:val="single" w:color="auto" w:sz="2" w:space="0"/>
              <w:right w:val="single" w:color="auto" w:sz="2" w:space="0"/>
            </w:tcBorders>
            <w:vAlign w:val="center"/>
          </w:tcPr>
          <w:p w14:paraId="38AB00B3">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0" w:type="auto"/>
            <w:tcBorders>
              <w:top w:val="single" w:color="auto" w:sz="2" w:space="0"/>
              <w:left w:val="single" w:color="auto" w:sz="2" w:space="0"/>
              <w:bottom w:val="single" w:color="auto" w:sz="2" w:space="0"/>
              <w:right w:val="single" w:color="auto" w:sz="2" w:space="0"/>
            </w:tcBorders>
            <w:vAlign w:val="center"/>
          </w:tcPr>
          <w:p w14:paraId="792BF6E0">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w:t>
            </w:r>
          </w:p>
        </w:tc>
        <w:tc>
          <w:tcPr>
            <w:tcW w:w="0" w:type="auto"/>
            <w:tcBorders>
              <w:top w:val="single" w:color="auto" w:sz="2" w:space="0"/>
              <w:left w:val="single" w:color="auto" w:sz="2" w:space="0"/>
              <w:bottom w:val="single" w:color="auto" w:sz="2" w:space="0"/>
              <w:right w:val="single" w:color="auto" w:sz="2" w:space="0"/>
            </w:tcBorders>
            <w:vAlign w:val="center"/>
          </w:tcPr>
          <w:p w14:paraId="228E02A4">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副总经理</w:t>
            </w:r>
          </w:p>
        </w:tc>
        <w:tc>
          <w:tcPr>
            <w:tcW w:w="0" w:type="auto"/>
            <w:tcBorders>
              <w:top w:val="single" w:color="auto" w:sz="2" w:space="0"/>
              <w:left w:val="single" w:color="auto" w:sz="2" w:space="0"/>
              <w:bottom w:val="single" w:color="auto" w:sz="2" w:space="0"/>
              <w:right w:val="single" w:color="auto" w:sz="2" w:space="0"/>
            </w:tcBorders>
            <w:vAlign w:val="center"/>
          </w:tcPr>
          <w:p w14:paraId="6B6F8740">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0" w:type="auto"/>
            <w:tcBorders>
              <w:top w:val="single" w:color="auto" w:sz="2" w:space="0"/>
              <w:left w:val="single" w:color="auto" w:sz="2" w:space="0"/>
              <w:bottom w:val="single" w:color="auto" w:sz="2" w:space="0"/>
              <w:right w:val="single" w:color="auto" w:sz="2" w:space="0"/>
            </w:tcBorders>
            <w:vAlign w:val="center"/>
          </w:tcPr>
          <w:p w14:paraId="4DFA963F">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2024年07月30日</w:t>
            </w:r>
          </w:p>
        </w:tc>
        <w:tc>
          <w:tcPr>
            <w:tcW w:w="0" w:type="auto"/>
            <w:tcBorders>
              <w:top w:val="single" w:color="auto" w:sz="2" w:space="0"/>
              <w:left w:val="single" w:color="auto" w:sz="2" w:space="0"/>
              <w:bottom w:val="single" w:color="auto" w:sz="2" w:space="0"/>
              <w:right w:val="single" w:color="auto" w:sz="2" w:space="0"/>
            </w:tcBorders>
            <w:vAlign w:val="center"/>
          </w:tcPr>
          <w:p w14:paraId="27716A3E">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p>
        </w:tc>
        <w:tc>
          <w:tcPr>
            <w:tcW w:w="829" w:type="dxa"/>
            <w:tcBorders>
              <w:top w:val="single" w:color="auto" w:sz="2" w:space="0"/>
              <w:left w:val="single" w:color="auto" w:sz="2" w:space="0"/>
              <w:bottom w:val="single" w:color="auto" w:sz="2" w:space="0"/>
              <w:right w:val="single" w:color="auto" w:sz="2" w:space="0"/>
            </w:tcBorders>
            <w:vAlign w:val="center"/>
          </w:tcPr>
          <w:p w14:paraId="7A18EAA8">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62" w:type="dxa"/>
            <w:tcBorders>
              <w:top w:val="single" w:color="auto" w:sz="2" w:space="0"/>
              <w:left w:val="single" w:color="auto" w:sz="2" w:space="0"/>
              <w:bottom w:val="single" w:color="auto" w:sz="2" w:space="0"/>
              <w:right w:val="single" w:color="auto" w:sz="2" w:space="0"/>
            </w:tcBorders>
            <w:vAlign w:val="center"/>
          </w:tcPr>
          <w:p w14:paraId="19EDFA74">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50" w:type="dxa"/>
            <w:tcBorders>
              <w:top w:val="single" w:color="auto" w:sz="2" w:space="0"/>
              <w:left w:val="single" w:color="auto" w:sz="2" w:space="0"/>
              <w:bottom w:val="single" w:color="auto" w:sz="2" w:space="0"/>
              <w:right w:val="single" w:color="auto" w:sz="2" w:space="0"/>
            </w:tcBorders>
            <w:vAlign w:val="center"/>
          </w:tcPr>
          <w:p w14:paraId="782A18CF">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00" w:type="dxa"/>
            <w:tcBorders>
              <w:top w:val="single" w:color="auto" w:sz="2" w:space="0"/>
              <w:left w:val="single" w:color="auto" w:sz="2" w:space="0"/>
              <w:bottom w:val="single" w:color="auto" w:sz="2" w:space="0"/>
              <w:right w:val="single" w:color="auto" w:sz="2" w:space="0"/>
            </w:tcBorders>
            <w:vAlign w:val="center"/>
          </w:tcPr>
          <w:p w14:paraId="7E85D40C">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763" w:type="dxa"/>
            <w:tcBorders>
              <w:top w:val="single" w:color="auto" w:sz="2" w:space="0"/>
              <w:left w:val="single" w:color="auto" w:sz="2" w:space="0"/>
              <w:bottom w:val="single" w:color="auto" w:sz="2" w:space="0"/>
              <w:right w:val="single" w:color="auto" w:sz="2" w:space="0"/>
            </w:tcBorders>
            <w:vAlign w:val="center"/>
          </w:tcPr>
          <w:p w14:paraId="44536D11">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113" w:type="dxa"/>
            <w:tcBorders>
              <w:top w:val="single" w:color="auto" w:sz="2" w:space="0"/>
              <w:left w:val="single" w:color="auto" w:sz="2" w:space="0"/>
              <w:bottom w:val="single" w:color="auto" w:sz="2" w:space="0"/>
              <w:right w:val="single" w:color="auto" w:sz="2" w:space="0"/>
            </w:tcBorders>
            <w:vAlign w:val="center"/>
          </w:tcPr>
          <w:p w14:paraId="67B11C88">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p>
        </w:tc>
      </w:tr>
      <w:tr w14:paraId="05988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76" w:type="dxa"/>
            <w:tcBorders>
              <w:top w:val="single" w:color="auto" w:sz="2" w:space="0"/>
              <w:left w:val="single" w:color="auto" w:sz="2" w:space="0"/>
              <w:bottom w:val="single" w:color="auto" w:sz="2" w:space="0"/>
              <w:right w:val="single" w:color="auto" w:sz="2" w:space="0"/>
            </w:tcBorders>
            <w:vAlign w:val="center"/>
          </w:tcPr>
          <w:p w14:paraId="5951534A">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易若峰</w:t>
            </w:r>
          </w:p>
        </w:tc>
        <w:tc>
          <w:tcPr>
            <w:tcW w:w="0" w:type="auto"/>
            <w:tcBorders>
              <w:top w:val="single" w:color="auto" w:sz="2" w:space="0"/>
              <w:left w:val="single" w:color="auto" w:sz="2" w:space="0"/>
              <w:bottom w:val="single" w:color="auto" w:sz="2" w:space="0"/>
              <w:right w:val="single" w:color="auto" w:sz="2" w:space="0"/>
            </w:tcBorders>
            <w:vAlign w:val="center"/>
          </w:tcPr>
          <w:p w14:paraId="7F270393">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0" w:type="auto"/>
            <w:tcBorders>
              <w:top w:val="single" w:color="auto" w:sz="2" w:space="0"/>
              <w:left w:val="single" w:color="auto" w:sz="2" w:space="0"/>
              <w:bottom w:val="single" w:color="auto" w:sz="2" w:space="0"/>
              <w:right w:val="single" w:color="auto" w:sz="2" w:space="0"/>
            </w:tcBorders>
            <w:vAlign w:val="center"/>
          </w:tcPr>
          <w:p w14:paraId="5763FA3B">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w:t>
            </w:r>
          </w:p>
        </w:tc>
        <w:tc>
          <w:tcPr>
            <w:tcW w:w="0" w:type="auto"/>
            <w:tcBorders>
              <w:top w:val="single" w:color="auto" w:sz="2" w:space="0"/>
              <w:left w:val="single" w:color="auto" w:sz="2" w:space="0"/>
              <w:bottom w:val="single" w:color="auto" w:sz="2" w:space="0"/>
              <w:right w:val="single" w:color="auto" w:sz="2" w:space="0"/>
            </w:tcBorders>
            <w:vAlign w:val="center"/>
          </w:tcPr>
          <w:p w14:paraId="67392AD6">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财务负责人</w:t>
            </w:r>
          </w:p>
        </w:tc>
        <w:tc>
          <w:tcPr>
            <w:tcW w:w="0" w:type="auto"/>
            <w:tcBorders>
              <w:top w:val="single" w:color="auto" w:sz="2" w:space="0"/>
              <w:left w:val="single" w:color="auto" w:sz="2" w:space="0"/>
              <w:bottom w:val="single" w:color="auto" w:sz="2" w:space="0"/>
              <w:right w:val="single" w:color="auto" w:sz="2" w:space="0"/>
            </w:tcBorders>
            <w:vAlign w:val="center"/>
          </w:tcPr>
          <w:p w14:paraId="5BD0123D">
            <w:pPr>
              <w:keepNext/>
              <w:snapToGrid w:val="0"/>
              <w:spacing w:before="0" w:after="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0" w:type="auto"/>
            <w:tcBorders>
              <w:top w:val="single" w:color="auto" w:sz="2" w:space="0"/>
              <w:left w:val="single" w:color="auto" w:sz="2" w:space="0"/>
              <w:bottom w:val="single" w:color="auto" w:sz="2" w:space="0"/>
              <w:right w:val="single" w:color="auto" w:sz="2" w:space="0"/>
            </w:tcBorders>
            <w:vAlign w:val="center"/>
          </w:tcPr>
          <w:p w14:paraId="73044571">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2024年07月30日</w:t>
            </w:r>
          </w:p>
        </w:tc>
        <w:tc>
          <w:tcPr>
            <w:tcW w:w="0" w:type="auto"/>
            <w:tcBorders>
              <w:top w:val="single" w:color="auto" w:sz="2" w:space="0"/>
              <w:left w:val="single" w:color="auto" w:sz="2" w:space="0"/>
              <w:bottom w:val="single" w:color="auto" w:sz="2" w:space="0"/>
              <w:right w:val="single" w:color="auto" w:sz="2" w:space="0"/>
            </w:tcBorders>
            <w:vAlign w:val="center"/>
          </w:tcPr>
          <w:p w14:paraId="15F415D2">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p>
        </w:tc>
        <w:tc>
          <w:tcPr>
            <w:tcW w:w="829" w:type="dxa"/>
            <w:tcBorders>
              <w:top w:val="single" w:color="auto" w:sz="2" w:space="0"/>
              <w:left w:val="single" w:color="auto" w:sz="2" w:space="0"/>
              <w:bottom w:val="single" w:color="auto" w:sz="2" w:space="0"/>
              <w:right w:val="single" w:color="auto" w:sz="2" w:space="0"/>
            </w:tcBorders>
            <w:vAlign w:val="center"/>
          </w:tcPr>
          <w:p w14:paraId="48FD944B">
            <w:pPr>
              <w:keepNext/>
              <w:snapToGrid w:val="0"/>
              <w:spacing w:before="0" w:after="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62" w:type="dxa"/>
            <w:tcBorders>
              <w:top w:val="single" w:color="auto" w:sz="2" w:space="0"/>
              <w:left w:val="single" w:color="auto" w:sz="2" w:space="0"/>
              <w:bottom w:val="single" w:color="auto" w:sz="2" w:space="0"/>
              <w:right w:val="single" w:color="auto" w:sz="2" w:space="0"/>
            </w:tcBorders>
            <w:vAlign w:val="center"/>
          </w:tcPr>
          <w:p w14:paraId="51F96749">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50" w:type="dxa"/>
            <w:tcBorders>
              <w:top w:val="single" w:color="auto" w:sz="2" w:space="0"/>
              <w:left w:val="single" w:color="auto" w:sz="2" w:space="0"/>
              <w:bottom w:val="single" w:color="auto" w:sz="2" w:space="0"/>
              <w:right w:val="single" w:color="auto" w:sz="2" w:space="0"/>
            </w:tcBorders>
            <w:vAlign w:val="center"/>
          </w:tcPr>
          <w:p w14:paraId="14A5EF30">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00" w:type="dxa"/>
            <w:tcBorders>
              <w:top w:val="single" w:color="auto" w:sz="2" w:space="0"/>
              <w:left w:val="single" w:color="auto" w:sz="2" w:space="0"/>
              <w:bottom w:val="single" w:color="auto" w:sz="2" w:space="0"/>
              <w:right w:val="single" w:color="auto" w:sz="2" w:space="0"/>
            </w:tcBorders>
            <w:vAlign w:val="center"/>
          </w:tcPr>
          <w:p w14:paraId="5F630FF8">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763" w:type="dxa"/>
            <w:tcBorders>
              <w:top w:val="single" w:color="auto" w:sz="2" w:space="0"/>
              <w:left w:val="single" w:color="auto" w:sz="2" w:space="0"/>
              <w:bottom w:val="single" w:color="auto" w:sz="2" w:space="0"/>
              <w:right w:val="single" w:color="auto" w:sz="2" w:space="0"/>
            </w:tcBorders>
            <w:vAlign w:val="center"/>
          </w:tcPr>
          <w:p w14:paraId="55099113">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113" w:type="dxa"/>
            <w:tcBorders>
              <w:top w:val="single" w:color="auto" w:sz="2" w:space="0"/>
              <w:left w:val="single" w:color="auto" w:sz="2" w:space="0"/>
              <w:bottom w:val="single" w:color="auto" w:sz="2" w:space="0"/>
              <w:right w:val="single" w:color="auto" w:sz="2" w:space="0"/>
            </w:tcBorders>
            <w:vAlign w:val="center"/>
          </w:tcPr>
          <w:p w14:paraId="06A8FDB6">
            <w:pPr>
              <w:keepNext/>
              <w:snapToGrid w:val="0"/>
              <w:spacing w:before="0" w:after="0" w:line="240" w:lineRule="auto"/>
              <w:ind w:left="0" w:leftChars="0" w:right="0" w:rightChars="0" w:firstLine="0" w:firstLineChars="0"/>
              <w:jc w:val="right"/>
              <w:rPr>
                <w:rFonts w:hint="default" w:ascii="Times New Roman" w:hAnsi="Times New Roman" w:eastAsia="宋体" w:cs="Times New Roman"/>
                <w:sz w:val="18"/>
                <w:szCs w:val="18"/>
              </w:rPr>
            </w:pPr>
          </w:p>
        </w:tc>
      </w:tr>
      <w:tr w14:paraId="3F1EB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8DD4881">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合计</w:t>
            </w:r>
          </w:p>
        </w:tc>
        <w:tc>
          <w:tcPr>
            <w:tcW w:w="434" w:type="dxa"/>
            <w:tcBorders>
              <w:top w:val="single" w:color="auto" w:sz="2" w:space="0"/>
              <w:left w:val="single" w:color="auto" w:sz="2" w:space="0"/>
              <w:bottom w:val="single" w:color="auto" w:sz="2" w:space="0"/>
              <w:right w:val="single" w:color="auto" w:sz="2" w:space="0"/>
            </w:tcBorders>
            <w:shd w:val="clear" w:color="auto" w:fill="D3D3D3"/>
            <w:vAlign w:val="center"/>
          </w:tcPr>
          <w:p w14:paraId="10D97A25">
            <w:pPr>
              <w:keepNext/>
              <w:snapToGrid w:val="0"/>
              <w:spacing w:before="40" w:after="40" w:line="240" w:lineRule="auto"/>
              <w:ind w:left="0" w:leftChars="0" w:right="0" w:rightChars="0" w:firstLine="0" w:firstLineChars="0"/>
              <w:jc w:val="left"/>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w:t>
            </w:r>
          </w:p>
        </w:tc>
        <w:tc>
          <w:tcPr>
            <w:tcW w:w="636" w:type="dxa"/>
            <w:tcBorders>
              <w:top w:val="single" w:color="auto" w:sz="2" w:space="0"/>
              <w:left w:val="single" w:color="auto" w:sz="2" w:space="0"/>
              <w:bottom w:val="single" w:color="auto" w:sz="2" w:space="0"/>
              <w:right w:val="single" w:color="auto" w:sz="2" w:space="0"/>
            </w:tcBorders>
            <w:shd w:val="clear" w:color="auto" w:fill="D3D3D3"/>
            <w:vAlign w:val="center"/>
          </w:tcPr>
          <w:p w14:paraId="5E46D104">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w:t>
            </w:r>
          </w:p>
        </w:tc>
        <w:tc>
          <w:tcPr>
            <w:tcW w:w="884" w:type="dxa"/>
            <w:tcBorders>
              <w:top w:val="single" w:color="auto" w:sz="2" w:space="0"/>
              <w:left w:val="single" w:color="auto" w:sz="2" w:space="0"/>
              <w:bottom w:val="single" w:color="auto" w:sz="2" w:space="0"/>
              <w:right w:val="single" w:color="auto" w:sz="2" w:space="0"/>
            </w:tcBorders>
            <w:shd w:val="clear" w:color="auto" w:fill="D3D3D3"/>
            <w:vAlign w:val="center"/>
          </w:tcPr>
          <w:p w14:paraId="43634E3A">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w:t>
            </w:r>
          </w:p>
        </w:tc>
        <w:tc>
          <w:tcPr>
            <w:tcW w:w="816" w:type="dxa"/>
            <w:tcBorders>
              <w:top w:val="single" w:color="auto" w:sz="2" w:space="0"/>
              <w:left w:val="single" w:color="auto" w:sz="2" w:space="0"/>
              <w:bottom w:val="single" w:color="auto" w:sz="2" w:space="0"/>
              <w:right w:val="single" w:color="auto" w:sz="2" w:space="0"/>
            </w:tcBorders>
            <w:shd w:val="clear" w:color="auto" w:fill="D3D3D3"/>
            <w:vAlign w:val="center"/>
          </w:tcPr>
          <w:p w14:paraId="0DDDD3B6">
            <w:pPr>
              <w:keepNext/>
              <w:snapToGrid w:val="0"/>
              <w:spacing w:before="40" w:after="40" w:line="240" w:lineRule="auto"/>
              <w:ind w:left="0" w:leftChars="0" w:right="0" w:rightChars="0" w:firstLine="0" w:firstLineChars="0"/>
              <w:jc w:val="left"/>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w:t>
            </w:r>
          </w:p>
        </w:tc>
        <w:tc>
          <w:tcPr>
            <w:tcW w:w="834" w:type="dxa"/>
            <w:tcBorders>
              <w:top w:val="single" w:color="auto" w:sz="2" w:space="0"/>
              <w:left w:val="single" w:color="auto" w:sz="2" w:space="0"/>
              <w:bottom w:val="single" w:color="auto" w:sz="2" w:space="0"/>
              <w:right w:val="single" w:color="auto" w:sz="2" w:space="0"/>
            </w:tcBorders>
            <w:shd w:val="clear" w:color="auto" w:fill="D3D3D3"/>
            <w:vAlign w:val="center"/>
          </w:tcPr>
          <w:p w14:paraId="0E97917E">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w:t>
            </w:r>
          </w:p>
        </w:tc>
        <w:tc>
          <w:tcPr>
            <w:tcW w:w="588" w:type="dxa"/>
            <w:tcBorders>
              <w:top w:val="single" w:color="auto" w:sz="2" w:space="0"/>
              <w:left w:val="single" w:color="auto" w:sz="2" w:space="0"/>
              <w:bottom w:val="single" w:color="auto" w:sz="2" w:space="0"/>
              <w:right w:val="single" w:color="auto" w:sz="2" w:space="0"/>
            </w:tcBorders>
            <w:shd w:val="clear" w:color="auto" w:fill="D3D3D3"/>
            <w:vAlign w:val="center"/>
          </w:tcPr>
          <w:p w14:paraId="28B71217">
            <w:pPr>
              <w:keepNext/>
              <w:snapToGrid w:val="0"/>
              <w:spacing w:before="40" w:after="4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w:t>
            </w:r>
          </w:p>
        </w:tc>
        <w:tc>
          <w:tcPr>
            <w:tcW w:w="829" w:type="dxa"/>
            <w:tcBorders>
              <w:top w:val="single" w:color="auto" w:sz="2" w:space="0"/>
              <w:left w:val="single" w:color="auto" w:sz="2" w:space="0"/>
              <w:bottom w:val="single" w:color="auto" w:sz="2" w:space="0"/>
              <w:right w:val="single" w:color="auto" w:sz="2" w:space="0"/>
            </w:tcBorders>
            <w:vAlign w:val="center"/>
          </w:tcPr>
          <w:p w14:paraId="2875E9A5">
            <w:pPr>
              <w:keepNext/>
              <w:snapToGrid w:val="0"/>
              <w:spacing w:before="0" w:after="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28,825</w:t>
            </w:r>
          </w:p>
        </w:tc>
        <w:tc>
          <w:tcPr>
            <w:tcW w:w="1062" w:type="dxa"/>
            <w:tcBorders>
              <w:top w:val="single" w:color="auto" w:sz="2" w:space="0"/>
              <w:left w:val="single" w:color="auto" w:sz="2" w:space="0"/>
              <w:bottom w:val="single" w:color="auto" w:sz="2" w:space="0"/>
              <w:right w:val="single" w:color="auto" w:sz="2" w:space="0"/>
            </w:tcBorders>
            <w:vAlign w:val="center"/>
          </w:tcPr>
          <w:p w14:paraId="1DDE0D0B">
            <w:pPr>
              <w:keepNext/>
              <w:snapToGrid w:val="0"/>
              <w:spacing w:before="0" w:after="0" w:line="240" w:lineRule="auto"/>
              <w:ind w:left="0" w:leftChars="0" w:right="0" w:rightChars="0" w:firstLine="0" w:firstLineChars="0"/>
              <w:jc w:val="right"/>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0</w:t>
            </w:r>
          </w:p>
        </w:tc>
        <w:tc>
          <w:tcPr>
            <w:tcW w:w="1050" w:type="dxa"/>
            <w:tcBorders>
              <w:top w:val="single" w:color="auto" w:sz="2" w:space="0"/>
              <w:left w:val="single" w:color="auto" w:sz="2" w:space="0"/>
              <w:bottom w:val="single" w:color="auto" w:sz="2" w:space="0"/>
              <w:right w:val="single" w:color="auto" w:sz="2" w:space="0"/>
            </w:tcBorders>
            <w:vAlign w:val="center"/>
          </w:tcPr>
          <w:p w14:paraId="7F718B16">
            <w:pPr>
              <w:keepNext/>
              <w:snapToGrid w:val="0"/>
              <w:spacing w:before="0" w:after="0" w:line="240" w:lineRule="auto"/>
              <w:ind w:left="0" w:leftChars="0" w:right="0" w:rightChars="0" w:firstLine="0" w:firstLineChars="0"/>
              <w:jc w:val="right"/>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0</w:t>
            </w:r>
          </w:p>
        </w:tc>
        <w:tc>
          <w:tcPr>
            <w:tcW w:w="900" w:type="dxa"/>
            <w:tcBorders>
              <w:top w:val="single" w:color="auto" w:sz="2" w:space="0"/>
              <w:left w:val="single" w:color="auto" w:sz="2" w:space="0"/>
              <w:bottom w:val="single" w:color="auto" w:sz="2" w:space="0"/>
              <w:right w:val="single" w:color="auto" w:sz="2" w:space="0"/>
            </w:tcBorders>
            <w:vAlign w:val="center"/>
          </w:tcPr>
          <w:p w14:paraId="6ED3F979">
            <w:pPr>
              <w:keepNext/>
              <w:snapToGrid w:val="0"/>
              <w:spacing w:before="0" w:after="0" w:line="240" w:lineRule="auto"/>
              <w:ind w:left="0" w:leftChars="0" w:right="0" w:rightChars="0" w:firstLine="0" w:firstLineChars="0"/>
              <w:jc w:val="right"/>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0</w:t>
            </w:r>
          </w:p>
        </w:tc>
        <w:tc>
          <w:tcPr>
            <w:tcW w:w="763" w:type="dxa"/>
            <w:tcBorders>
              <w:top w:val="single" w:color="auto" w:sz="2" w:space="0"/>
              <w:left w:val="single" w:color="auto" w:sz="2" w:space="0"/>
              <w:bottom w:val="single" w:color="auto" w:sz="2" w:space="0"/>
              <w:right w:val="single" w:color="auto" w:sz="2" w:space="0"/>
            </w:tcBorders>
            <w:vAlign w:val="center"/>
          </w:tcPr>
          <w:p w14:paraId="511F7B8E">
            <w:pPr>
              <w:keepNext/>
              <w:snapToGrid w:val="0"/>
              <w:spacing w:before="0" w:after="0" w:line="240" w:lineRule="auto"/>
              <w:ind w:left="0" w:leftChars="0" w:right="0" w:rightChars="0" w:firstLine="0" w:firstLineChars="0"/>
              <w:jc w:val="right"/>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28,825</w:t>
            </w:r>
          </w:p>
        </w:tc>
        <w:tc>
          <w:tcPr>
            <w:tcW w:w="1113" w:type="dxa"/>
            <w:tcBorders>
              <w:top w:val="single" w:color="auto" w:sz="2" w:space="0"/>
              <w:left w:val="single" w:color="auto" w:sz="2" w:space="0"/>
              <w:bottom w:val="single" w:color="auto" w:sz="2" w:space="0"/>
              <w:right w:val="single" w:color="auto" w:sz="2" w:space="0"/>
            </w:tcBorders>
            <w:shd w:val="clear" w:color="auto" w:fill="D3D3D3"/>
            <w:vAlign w:val="center"/>
          </w:tcPr>
          <w:p w14:paraId="0B45BE0F">
            <w:pPr>
              <w:keepNext/>
              <w:snapToGrid w:val="0"/>
              <w:spacing w:before="40" w:after="40" w:line="240" w:lineRule="auto"/>
              <w:ind w:left="0" w:leftChars="0" w:right="0" w:rightChars="0" w:firstLine="0" w:firstLineChars="0"/>
              <w:jc w:val="right"/>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w:t>
            </w:r>
          </w:p>
        </w:tc>
      </w:tr>
    </w:tbl>
    <w:p w14:paraId="3B98D755">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报告期是否存在任期内董事和高级管理人员离任的情况</w:t>
      </w:r>
    </w:p>
    <w:p w14:paraId="77CDF5FE">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是 □否</w:t>
      </w:r>
    </w:p>
    <w:p w14:paraId="742FFF33">
      <w:pPr>
        <w:pStyle w:val="6"/>
        <w:keepNext w:val="0"/>
        <w:keepLines w:val="0"/>
        <w:widowControl/>
        <w:suppressLineNumbers w:val="0"/>
        <w:rPr>
          <w:rFonts w:hint="default" w:ascii="Times New Roman" w:hAnsi="Times New Roman" w:cs="Times New Roman"/>
        </w:rPr>
      </w:pPr>
      <w:r>
        <w:rPr>
          <w:rFonts w:hint="default" w:ascii="Times New Roman" w:hAnsi="Times New Roman" w:eastAsia="宋体" w:cs="Times New Roman"/>
          <w:sz w:val="18"/>
          <w:szCs w:val="18"/>
        </w:rPr>
        <w:t>因工作调整，张永明先生不再担任公司总经理职务，仍担任公司董事长职务。</w:t>
      </w:r>
    </w:p>
    <w:p w14:paraId="7518E071">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公司董事、高级管理人员变动情况</w:t>
      </w:r>
    </w:p>
    <w:p w14:paraId="43EE1BFE">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3EC51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0D92AF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0F03D6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担任的职务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70F46E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6B5F33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E277A5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原因</w:t>
            </w:r>
          </w:p>
        </w:tc>
      </w:tr>
      <w:tr w14:paraId="761D3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18163F1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张永明</w:t>
            </w:r>
          </w:p>
        </w:tc>
        <w:tc>
          <w:tcPr>
            <w:tcW w:w="1928" w:type="dxa"/>
            <w:tcBorders>
              <w:top w:val="single" w:color="auto" w:sz="2" w:space="0"/>
              <w:left w:val="single" w:color="auto" w:sz="2" w:space="0"/>
              <w:bottom w:val="single" w:color="auto" w:sz="2" w:space="0"/>
              <w:right w:val="single" w:color="auto" w:sz="2" w:space="0"/>
            </w:tcBorders>
            <w:vAlign w:val="center"/>
          </w:tcPr>
          <w:p w14:paraId="1E7496D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总经理</w:t>
            </w:r>
          </w:p>
        </w:tc>
        <w:tc>
          <w:tcPr>
            <w:tcW w:w="1928" w:type="dxa"/>
            <w:tcBorders>
              <w:top w:val="single" w:color="auto" w:sz="2" w:space="0"/>
              <w:left w:val="single" w:color="auto" w:sz="2" w:space="0"/>
              <w:bottom w:val="single" w:color="auto" w:sz="2" w:space="0"/>
              <w:right w:val="single" w:color="auto" w:sz="2" w:space="0"/>
            </w:tcBorders>
            <w:vAlign w:val="center"/>
          </w:tcPr>
          <w:p w14:paraId="0C776AF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解聘</w:t>
            </w:r>
          </w:p>
        </w:tc>
        <w:tc>
          <w:tcPr>
            <w:tcW w:w="1928" w:type="dxa"/>
            <w:tcBorders>
              <w:top w:val="single" w:color="auto" w:sz="2" w:space="0"/>
              <w:left w:val="single" w:color="auto" w:sz="2" w:space="0"/>
              <w:bottom w:val="single" w:color="auto" w:sz="2" w:space="0"/>
              <w:right w:val="single" w:color="auto" w:sz="2" w:space="0"/>
            </w:tcBorders>
            <w:vAlign w:val="center"/>
          </w:tcPr>
          <w:p w14:paraId="6284BEB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2025年01月10日</w:t>
            </w:r>
          </w:p>
        </w:tc>
        <w:tc>
          <w:tcPr>
            <w:tcW w:w="1928" w:type="dxa"/>
            <w:tcBorders>
              <w:top w:val="single" w:color="auto" w:sz="2" w:space="0"/>
              <w:left w:val="single" w:color="auto" w:sz="2" w:space="0"/>
              <w:bottom w:val="single" w:color="auto" w:sz="2" w:space="0"/>
              <w:right w:val="single" w:color="auto" w:sz="2" w:space="0"/>
            </w:tcBorders>
            <w:vAlign w:val="center"/>
          </w:tcPr>
          <w:p w14:paraId="258BF3A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工作调动</w:t>
            </w:r>
          </w:p>
        </w:tc>
      </w:tr>
      <w:tr w14:paraId="6892A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8BCB2E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赵峰</w:t>
            </w:r>
          </w:p>
        </w:tc>
        <w:tc>
          <w:tcPr>
            <w:tcW w:w="1928" w:type="dxa"/>
            <w:tcBorders>
              <w:top w:val="single" w:color="auto" w:sz="2" w:space="0"/>
              <w:left w:val="single" w:color="auto" w:sz="2" w:space="0"/>
              <w:bottom w:val="single" w:color="auto" w:sz="2" w:space="0"/>
              <w:right w:val="single" w:color="auto" w:sz="2" w:space="0"/>
            </w:tcBorders>
            <w:vAlign w:val="center"/>
          </w:tcPr>
          <w:p w14:paraId="6FEF9DF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总经理</w:t>
            </w:r>
          </w:p>
        </w:tc>
        <w:tc>
          <w:tcPr>
            <w:tcW w:w="1928" w:type="dxa"/>
            <w:tcBorders>
              <w:top w:val="single" w:color="auto" w:sz="2" w:space="0"/>
              <w:left w:val="single" w:color="auto" w:sz="2" w:space="0"/>
              <w:bottom w:val="single" w:color="auto" w:sz="2" w:space="0"/>
              <w:right w:val="single" w:color="auto" w:sz="2" w:space="0"/>
            </w:tcBorders>
            <w:vAlign w:val="center"/>
          </w:tcPr>
          <w:p w14:paraId="73CDB08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聘任</w:t>
            </w:r>
          </w:p>
        </w:tc>
        <w:tc>
          <w:tcPr>
            <w:tcW w:w="1928" w:type="dxa"/>
            <w:tcBorders>
              <w:top w:val="single" w:color="auto" w:sz="2" w:space="0"/>
              <w:left w:val="single" w:color="auto" w:sz="2" w:space="0"/>
              <w:bottom w:val="single" w:color="auto" w:sz="2" w:space="0"/>
              <w:right w:val="single" w:color="auto" w:sz="2" w:space="0"/>
            </w:tcBorders>
            <w:vAlign w:val="center"/>
          </w:tcPr>
          <w:p w14:paraId="6EC51D9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2025年01月10日</w:t>
            </w:r>
          </w:p>
        </w:tc>
        <w:tc>
          <w:tcPr>
            <w:tcW w:w="1928" w:type="dxa"/>
            <w:tcBorders>
              <w:top w:val="single" w:color="auto" w:sz="2" w:space="0"/>
              <w:left w:val="single" w:color="auto" w:sz="2" w:space="0"/>
              <w:bottom w:val="single" w:color="auto" w:sz="2" w:space="0"/>
              <w:right w:val="single" w:color="auto" w:sz="2" w:space="0"/>
            </w:tcBorders>
            <w:vAlign w:val="center"/>
          </w:tcPr>
          <w:p w14:paraId="5701F28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工作调动</w:t>
            </w:r>
          </w:p>
        </w:tc>
      </w:tr>
    </w:tbl>
    <w:p w14:paraId="5E78C989">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92" w:name="_Toc988948"/>
      <w:r>
        <w:rPr>
          <w:rFonts w:hint="default" w:ascii="Times New Roman" w:hAnsi="Times New Roman" w:eastAsia="宋体" w:cs="Times New Roman"/>
          <w:b/>
          <w:bCs/>
          <w:sz w:val="21"/>
          <w:szCs w:val="21"/>
        </w:rPr>
        <w:t>2、任职情况</w:t>
      </w:r>
      <w:bookmarkEnd w:id="92"/>
    </w:p>
    <w:p w14:paraId="4446982B">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公司现任董事、高级管理人员专业背景、主要工作经历以及目前在公司的主要职责</w:t>
      </w:r>
    </w:p>
    <w:p w14:paraId="24F17FE0">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cs="Times New Roman"/>
        </w:rPr>
      </w:pPr>
      <w:r>
        <w:rPr>
          <w:rStyle w:val="9"/>
          <w:rFonts w:hint="eastAsia" w:cs="Times New Roman"/>
          <w:sz w:val="18"/>
          <w:szCs w:val="18"/>
          <w:lang w:eastAsia="zh-CN"/>
        </w:rPr>
        <w:t>（</w:t>
      </w:r>
      <w:r>
        <w:rPr>
          <w:rStyle w:val="9"/>
          <w:rFonts w:hint="eastAsia" w:cs="Times New Roman"/>
          <w:sz w:val="18"/>
          <w:szCs w:val="18"/>
          <w:lang w:val="en-US" w:eastAsia="zh-CN"/>
        </w:rPr>
        <w:t>一</w:t>
      </w:r>
      <w:r>
        <w:rPr>
          <w:rStyle w:val="9"/>
          <w:rFonts w:hint="eastAsia" w:cs="Times New Roman"/>
          <w:sz w:val="18"/>
          <w:szCs w:val="18"/>
          <w:lang w:eastAsia="zh-CN"/>
        </w:rPr>
        <w:t>）</w:t>
      </w:r>
      <w:r>
        <w:rPr>
          <w:rStyle w:val="9"/>
          <w:rFonts w:hint="default" w:ascii="Times New Roman" w:hAnsi="Times New Roman" w:eastAsia="宋体" w:cs="Times New Roman"/>
          <w:sz w:val="18"/>
          <w:szCs w:val="18"/>
        </w:rPr>
        <w:t>董事会成员</w:t>
      </w:r>
    </w:p>
    <w:p w14:paraId="7D79AE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张永明先生：1972年出生，中国国籍，管理学博士，中欧国际商学院工商管理硕士。现任南京奥特佳新能源科技股份有限公司董事；广州永金源投资有限公司执行董事；北京天佑兴业投资有限公司执行董事；广东永明新能源技术有限公司执行董事；北京永新源生态农业有限公司董事；北京天佑投资有限公司董事长；西藏金淦企业管理咨询有限公司执行董事；北京天佑瑞元医药科技有限公司执行董事；江苏天佑金淦投资有限公司执行董事；北京长江兴业资产管理有限公司执行董事；公司董事长。</w:t>
      </w:r>
    </w:p>
    <w:p w14:paraId="69AD8A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王新志先生：1963年出生，中国国籍，复旦大学遗传学专业硕士、北京大学EMBA。曾任珠海市政协第九届委员会人口资源环境委员会副主任；珠海亿胜生物制药有限公司董事、总裁；珠海亿胜医药有限公司董事长；珠海亿胜科技发展有限公司董事长；世界中医药学会联合会中药保健品专业委员会第一届理事会副会长、中国医学装备协会眼科专业委员会第一届委员会委员、海峡两岸医药卫生交流协会烧创伤暨组织修复专业委员会常务委员、公司总经理。现任中国非公立医院医疗机构协会眼科学专业委员会副主任委员、中国非公立医疗机构协会损伤与修复专业委员会常务委员、广东省民革省委会祖统委副主任、广东省民革企业家联谊会副会长；公司副董事长。</w:t>
      </w:r>
    </w:p>
    <w:p w14:paraId="206FEE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孙峰女士：1970年出生，中国国籍，第二军医大学药学专业，高级工程师。曾在原军事医学科学院长期从事标准化管理工作，获得军队科学技术进步奖二等奖3项，军队科学技术进步三等奖5项，中国包装总公司科学技术二等奖1项。现任北京天佑投资有限公司副总经理；公司董事。</w:t>
      </w:r>
    </w:p>
    <w:p w14:paraId="30EDFA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韩俊梅女士：1963年出生，中国国籍，西南财经大学会计学专业，国际金融理财师（AFP）及国际财资管理师（CTP）讲师，全国十佳金融理财师。曾任广东金融学院会计学院会计学教授、党总支书记，中央电视大学《金融会计》主讲教师，曾被中国金融教育基金会评为</w:t>
      </w:r>
      <w:r>
        <w:rPr>
          <w:rFonts w:hint="eastAsia" w:cs="Times New Roman"/>
          <w:sz w:val="18"/>
          <w:szCs w:val="18"/>
          <w:lang w:eastAsia="zh-CN"/>
        </w:rPr>
        <w:t>“</w:t>
      </w:r>
      <w:r>
        <w:rPr>
          <w:rFonts w:hint="default" w:ascii="Times New Roman" w:hAnsi="Times New Roman" w:eastAsia="宋体" w:cs="Times New Roman"/>
          <w:sz w:val="18"/>
          <w:szCs w:val="18"/>
        </w:rPr>
        <w:t>全国优秀教师</w:t>
      </w:r>
      <w:r>
        <w:rPr>
          <w:rFonts w:hint="eastAsia" w:cs="Times New Roman"/>
          <w:sz w:val="18"/>
          <w:szCs w:val="18"/>
          <w:lang w:eastAsia="zh-CN"/>
        </w:rPr>
        <w:t>”</w:t>
      </w:r>
      <w:r>
        <w:rPr>
          <w:rFonts w:hint="default" w:ascii="Times New Roman" w:hAnsi="Times New Roman" w:eastAsia="宋体" w:cs="Times New Roman"/>
          <w:sz w:val="18"/>
          <w:szCs w:val="18"/>
        </w:rPr>
        <w:t>；曾任新会农村商业银行独立董事，潮州农村商业银行股份有限公司独立董事；曾供职于中国人民银行广州分行。现任广东云浮农村商业银行股份有限公司独立董事；公司独立董事。</w:t>
      </w:r>
    </w:p>
    <w:p w14:paraId="650D6E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邓超先生：1965年出生，中国国籍，管理科学与工程博士。1991年3月起在中南大学任教，历任助教、讲师、副教授、教授、博士生导师。曾主持国家自然科学基金、国家社会科学基金、国家科技部软科学基金等项目及各类横向项目20余项。曾任株洲千金药业股份有限公司独立董事、湖南长远锂科股份有限公司独立董事、深圳市燕麦科技股份有限公司独立董事、浙江帕瓦新能源股份有限公司独立董事。现任中南大学商学院金融系教授、湖南长银五八消费金融股份有限公司独立董事；公司独立董事。</w:t>
      </w:r>
    </w:p>
    <w:p w14:paraId="6F5DD7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rStyle w:val="9"/>
          <w:rFonts w:hint="default" w:ascii="Times New Roman" w:hAnsi="Times New Roman" w:eastAsia="宋体" w:cs="Times New Roman"/>
          <w:sz w:val="18"/>
          <w:szCs w:val="18"/>
        </w:rPr>
      </w:pPr>
      <w:r>
        <w:rPr>
          <w:rStyle w:val="9"/>
          <w:rFonts w:hint="eastAsia" w:cs="Times New Roman"/>
          <w:sz w:val="18"/>
          <w:szCs w:val="18"/>
          <w:lang w:eastAsia="zh-CN"/>
        </w:rPr>
        <w:t>（</w:t>
      </w:r>
      <w:r>
        <w:rPr>
          <w:rStyle w:val="9"/>
          <w:rFonts w:hint="eastAsia" w:cs="Times New Roman"/>
          <w:sz w:val="18"/>
          <w:szCs w:val="18"/>
          <w:lang w:val="en-US" w:eastAsia="zh-CN"/>
        </w:rPr>
        <w:t>二</w:t>
      </w:r>
      <w:r>
        <w:rPr>
          <w:rStyle w:val="9"/>
          <w:rFonts w:hint="eastAsia" w:cs="Times New Roman"/>
          <w:sz w:val="18"/>
          <w:szCs w:val="18"/>
          <w:lang w:eastAsia="zh-CN"/>
        </w:rPr>
        <w:t>）</w:t>
      </w:r>
      <w:r>
        <w:rPr>
          <w:rStyle w:val="9"/>
          <w:rFonts w:hint="default" w:ascii="Times New Roman" w:hAnsi="Times New Roman" w:eastAsia="宋体" w:cs="Times New Roman"/>
          <w:sz w:val="18"/>
          <w:szCs w:val="18"/>
        </w:rPr>
        <w:t>高级管理人员</w:t>
      </w:r>
    </w:p>
    <w:p w14:paraId="17F31F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赵峰先生：1978年出生，中国国籍，南通医学院临床医学专业，上海交通大学-新加坡南洋理工大学EMBA。2008年4月加入公司，历任公司销售经理、销售总监、副总经理。现任公司总经理，兼任上海冠昊医疗器械有限公司总经理，具有丰富的医药营销实践和管理经验。</w:t>
      </w:r>
    </w:p>
    <w:p w14:paraId="200EA8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赵军会女士：1976年出生，中国国籍，工商管理硕士。现任政协第二届广州市黄埔区委员会委员、黄埔区工商业联合会（总商会）执行委员会（理事会）常务理事。2006年9月加入公司，历任公司人事行政经理、证券事务代表、风控总监、内审负责人、董事、副总经理、董事会秘书。现任公司常务副总经理，兼任广州天佑北昊生物科技有限公司董事；广东天昊药业有限公司经理。</w:t>
      </w:r>
    </w:p>
    <w:p w14:paraId="71C72F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徐庆荣先生：1981年出生，中国国籍，中山大学管理学硕士。曾任中国证监会广东监管局科员、副主任科员、主任科员；荣盛创业投资有限公司合规总监、副总经理；深圳市金雅福投资管理有限公司副总经理；蓝思科技股份有限公司董事长特别助理；广东臻远私募基金管理有限公司投资经理、副总经理。2023年6月加入公司，现任公司副总经理兼董事会秘书。</w:t>
      </w:r>
    </w:p>
    <w:p w14:paraId="31A6CF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尤臻先生：1981年出生，中国国籍，北京大学化学与分子工程专业。曾任比亚迪股份有限公司高级研发工程师、佛山金辉高科光电材料有限公司营销负责人、浙江泰洋锂电池材料有限公司副总经理、北京天佑投资有限公司副总经理、上海益生源药业有限公司副总经理兼生产负责人和一致性评价负责人、北京宏冠再生医学科技有限公司董事。2021年4月加入公司，现任公司副总经理。</w:t>
      </w:r>
    </w:p>
    <w:p w14:paraId="1404F9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侯怀信先生：1968年出生，中国国籍，制药工程专业硕士，执业药师、工程师。曾任太原制药厂质量部技术员、山西博康药业有限公司质量管理部副部长、海南三洋药业有限公司研发经理、北京清华紫光制药厂质量总监、珠海亿邦制药有限公司副总经理、珠海健帆生物科技股份有限公司质量总监。2017年11月加入公司，历任公司质量总监、总经理助理。现任公司副总经理。</w:t>
      </w:r>
    </w:p>
    <w:p w14:paraId="452A59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林祥贵先生：1983年出生，中国国籍，工商管理硕士。2009年2月加入公司，历任公司生产部技术主管、生产部经理、生产总监、总经理助理，在生产运营、供应链管理拥有丰富的实战经验。现任公司副总经理。</w:t>
      </w:r>
    </w:p>
    <w:p w14:paraId="14EA2D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张伟坤先生：1986年出生，中国国籍，会计学（注册会计师）专业，高级会计师、中国注册会计师。曾任天健会计师事务所（特殊普通合伙）广东分所审计员、立信会计师事务所（特殊普通合伙）广东分所项目经理。2020年9</w:t>
      </w:r>
      <w:r>
        <w:rPr>
          <w:rFonts w:hint="eastAsia" w:cs="Times New Roman"/>
          <w:sz w:val="18"/>
          <w:szCs w:val="18"/>
          <w:lang w:val="en-US" w:eastAsia="zh-CN"/>
        </w:rPr>
        <w:t>月</w:t>
      </w:r>
      <w:r>
        <w:rPr>
          <w:rFonts w:hint="default" w:ascii="Times New Roman" w:hAnsi="Times New Roman" w:eastAsia="宋体" w:cs="Times New Roman"/>
          <w:sz w:val="18"/>
          <w:szCs w:val="18"/>
        </w:rPr>
        <w:t>加入公司，历任公司财务总监、财务负责人。现任公司副总经理兼风控总监。</w:t>
      </w:r>
    </w:p>
    <w:p w14:paraId="3E8C00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cs="Times New Roman"/>
        </w:rPr>
      </w:pPr>
      <w:r>
        <w:rPr>
          <w:rFonts w:hint="default" w:ascii="Times New Roman" w:hAnsi="Times New Roman" w:eastAsia="宋体" w:cs="Times New Roman"/>
          <w:sz w:val="18"/>
          <w:szCs w:val="18"/>
        </w:rPr>
        <w:t>易若峰先生：1977年出生，中国国籍，暨南大学财税专业，中国注册会计师，澳大利亚资深注册会计师。曾任立信会计师事务所广东分所项目经理；方圆集团控股有限公司财务中心副总经理、集团规管及审计中心副总经理、对外投资管理中心总经理、方圆海外投资公司总经理；方圆生活服务集团有限公司执行董事、授权代表；TOTORO HOLDING LIMITED执行董事。2024年5月加入公司，现任星宸科技股份有限公司独立董事、广东依顿电子科技股份有限公司独立董事；公司财务负责人。</w:t>
      </w:r>
    </w:p>
    <w:p w14:paraId="2917AEEA">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控股股东、实际控制人同时担任上市公司董事长和总经理的情况</w:t>
      </w:r>
    </w:p>
    <w:p w14:paraId="2FD5C794">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4F8FF59F">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在股东单位任职情况</w:t>
      </w:r>
    </w:p>
    <w:p w14:paraId="6E321A7F">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tbl>
      <w:tblPr>
        <w:tblStyle w:val="7"/>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750"/>
        <w:gridCol w:w="1462"/>
        <w:gridCol w:w="1606"/>
      </w:tblGrid>
      <w:tr w14:paraId="0AFE4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00585C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任职人员姓名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A02BAC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6FA8BB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在股东单位担任的职务</w:t>
            </w:r>
          </w:p>
        </w:tc>
        <w:tc>
          <w:tcPr>
            <w:tcW w:w="1750" w:type="dxa"/>
            <w:tcBorders>
              <w:top w:val="single" w:color="auto" w:sz="2" w:space="0"/>
              <w:left w:val="single" w:color="auto" w:sz="2" w:space="0"/>
              <w:bottom w:val="single" w:color="auto" w:sz="2" w:space="0"/>
              <w:right w:val="single" w:color="auto" w:sz="2" w:space="0"/>
            </w:tcBorders>
            <w:shd w:val="clear" w:color="auto" w:fill="D3D3D3"/>
            <w:vAlign w:val="center"/>
          </w:tcPr>
          <w:p w14:paraId="6BDEDA0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任期起始日期</w:t>
            </w:r>
          </w:p>
        </w:tc>
        <w:tc>
          <w:tcPr>
            <w:tcW w:w="1462" w:type="dxa"/>
            <w:tcBorders>
              <w:top w:val="single" w:color="auto" w:sz="2" w:space="0"/>
              <w:left w:val="single" w:color="auto" w:sz="2" w:space="0"/>
              <w:bottom w:val="single" w:color="auto" w:sz="2" w:space="0"/>
              <w:right w:val="single" w:color="auto" w:sz="2" w:space="0"/>
            </w:tcBorders>
            <w:shd w:val="clear" w:color="auto" w:fill="D3D3D3"/>
            <w:vAlign w:val="center"/>
          </w:tcPr>
          <w:p w14:paraId="7185D02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任期终止日期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6FAAE8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在股东单位是否领取报酬津贴</w:t>
            </w:r>
          </w:p>
        </w:tc>
      </w:tr>
      <w:tr w14:paraId="3FA7C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5A03C7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张永明</w:t>
            </w:r>
          </w:p>
        </w:tc>
        <w:tc>
          <w:tcPr>
            <w:tcW w:w="1606" w:type="dxa"/>
            <w:tcBorders>
              <w:top w:val="single" w:color="auto" w:sz="2" w:space="0"/>
              <w:left w:val="single" w:color="auto" w:sz="2" w:space="0"/>
              <w:bottom w:val="single" w:color="auto" w:sz="2" w:space="0"/>
              <w:right w:val="single" w:color="auto" w:sz="2" w:space="0"/>
            </w:tcBorders>
            <w:vAlign w:val="center"/>
          </w:tcPr>
          <w:p w14:paraId="64E1D13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北京天佑瑞元医药科技有限公司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03B9772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执行董事</w:t>
            </w:r>
          </w:p>
        </w:tc>
        <w:tc>
          <w:tcPr>
            <w:tcW w:w="1750" w:type="dxa"/>
            <w:tcBorders>
              <w:top w:val="single" w:color="auto" w:sz="2" w:space="0"/>
              <w:left w:val="single" w:color="auto" w:sz="2" w:space="0"/>
              <w:bottom w:val="single" w:color="auto" w:sz="2" w:space="0"/>
              <w:right w:val="single" w:color="auto" w:sz="2" w:space="0"/>
            </w:tcBorders>
            <w:vAlign w:val="center"/>
          </w:tcPr>
          <w:p w14:paraId="3585C6B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2023年02月24日</w:t>
            </w:r>
          </w:p>
        </w:tc>
        <w:tc>
          <w:tcPr>
            <w:tcW w:w="1462" w:type="dxa"/>
            <w:tcBorders>
              <w:top w:val="single" w:color="auto" w:sz="2" w:space="0"/>
              <w:left w:val="single" w:color="auto" w:sz="2" w:space="0"/>
              <w:bottom w:val="single" w:color="auto" w:sz="2" w:space="0"/>
              <w:right w:val="single" w:color="auto" w:sz="2" w:space="0"/>
            </w:tcBorders>
            <w:vAlign w:val="center"/>
          </w:tcPr>
          <w:p w14:paraId="6184A0BE">
            <w:pPr>
              <w:spacing w:before="0" w:after="0" w:line="240" w:lineRule="exact"/>
              <w:jc w:val="lef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C67C3B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6324F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763950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张永明</w:t>
            </w:r>
          </w:p>
        </w:tc>
        <w:tc>
          <w:tcPr>
            <w:tcW w:w="1606" w:type="dxa"/>
            <w:tcBorders>
              <w:top w:val="single" w:color="auto" w:sz="2" w:space="0"/>
              <w:left w:val="single" w:color="auto" w:sz="2" w:space="0"/>
              <w:bottom w:val="single" w:color="auto" w:sz="2" w:space="0"/>
              <w:right w:val="single" w:color="auto" w:sz="2" w:space="0"/>
            </w:tcBorders>
            <w:vAlign w:val="center"/>
          </w:tcPr>
          <w:p w14:paraId="067A840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西藏金淦企业管理咨询有限公司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5FBCAF9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执行董事</w:t>
            </w:r>
          </w:p>
        </w:tc>
        <w:tc>
          <w:tcPr>
            <w:tcW w:w="1750" w:type="dxa"/>
            <w:tcBorders>
              <w:top w:val="single" w:color="auto" w:sz="2" w:space="0"/>
              <w:left w:val="single" w:color="auto" w:sz="2" w:space="0"/>
              <w:bottom w:val="single" w:color="auto" w:sz="2" w:space="0"/>
              <w:right w:val="single" w:color="auto" w:sz="2" w:space="0"/>
            </w:tcBorders>
            <w:vAlign w:val="center"/>
          </w:tcPr>
          <w:p w14:paraId="7FEE9B0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2015年12月01日</w:t>
            </w:r>
          </w:p>
        </w:tc>
        <w:tc>
          <w:tcPr>
            <w:tcW w:w="1462" w:type="dxa"/>
            <w:tcBorders>
              <w:top w:val="single" w:color="auto" w:sz="2" w:space="0"/>
              <w:left w:val="single" w:color="auto" w:sz="2" w:space="0"/>
              <w:bottom w:val="single" w:color="auto" w:sz="2" w:space="0"/>
              <w:right w:val="single" w:color="auto" w:sz="2" w:space="0"/>
            </w:tcBorders>
            <w:vAlign w:val="center"/>
          </w:tcPr>
          <w:p w14:paraId="7B494BB4">
            <w:pPr>
              <w:spacing w:before="0" w:after="0" w:line="240" w:lineRule="exact"/>
              <w:jc w:val="lef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A8C3D5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42D0E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695671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在股东单位任职情况的说明</w:t>
            </w:r>
          </w:p>
        </w:tc>
        <w:tc>
          <w:tcPr>
            <w:tcW w:w="8030" w:type="dxa"/>
            <w:gridSpan w:val="5"/>
            <w:tcBorders>
              <w:top w:val="single" w:color="auto" w:sz="2" w:space="0"/>
              <w:left w:val="single" w:color="auto" w:sz="2" w:space="0"/>
              <w:bottom w:val="single" w:color="auto" w:sz="2" w:space="0"/>
              <w:right w:val="single" w:color="auto" w:sz="2" w:space="0"/>
            </w:tcBorders>
            <w:vAlign w:val="center"/>
          </w:tcPr>
          <w:p w14:paraId="6EB4D05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r>
    </w:tbl>
    <w:p w14:paraId="2EF8CE81">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在其他单位任职情况</w:t>
      </w:r>
    </w:p>
    <w:p w14:paraId="3DDD8CE7">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tbl>
      <w:tblPr>
        <w:tblStyle w:val="7"/>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31"/>
        <w:gridCol w:w="1881"/>
        <w:gridCol w:w="1144"/>
        <w:gridCol w:w="1825"/>
        <w:gridCol w:w="1825"/>
        <w:gridCol w:w="1630"/>
      </w:tblGrid>
      <w:tr w14:paraId="15392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31" w:type="dxa"/>
            <w:tcBorders>
              <w:top w:val="single" w:color="auto" w:sz="2" w:space="0"/>
              <w:left w:val="single" w:color="auto" w:sz="2" w:space="0"/>
              <w:bottom w:val="single" w:color="auto" w:sz="2" w:space="0"/>
              <w:right w:val="single" w:color="auto" w:sz="2" w:space="0"/>
            </w:tcBorders>
            <w:shd w:val="clear" w:color="auto" w:fill="D3D3D3"/>
            <w:vAlign w:val="center"/>
          </w:tcPr>
          <w:p w14:paraId="1D7B5FB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任职人员姓名</w:t>
            </w:r>
          </w:p>
        </w:tc>
        <w:tc>
          <w:tcPr>
            <w:tcW w:w="1881" w:type="dxa"/>
            <w:tcBorders>
              <w:top w:val="single" w:color="auto" w:sz="2" w:space="0"/>
              <w:left w:val="single" w:color="auto" w:sz="2" w:space="0"/>
              <w:bottom w:val="single" w:color="auto" w:sz="2" w:space="0"/>
              <w:right w:val="single" w:color="auto" w:sz="2" w:space="0"/>
            </w:tcBorders>
            <w:shd w:val="clear" w:color="auto" w:fill="D3D3D3"/>
            <w:vAlign w:val="center"/>
          </w:tcPr>
          <w:p w14:paraId="2FDB864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其他单位名称</w:t>
            </w:r>
          </w:p>
        </w:tc>
        <w:tc>
          <w:tcPr>
            <w:tcW w:w="1144" w:type="dxa"/>
            <w:tcBorders>
              <w:top w:val="single" w:color="auto" w:sz="2" w:space="0"/>
              <w:left w:val="single" w:color="auto" w:sz="2" w:space="0"/>
              <w:bottom w:val="single" w:color="auto" w:sz="2" w:space="0"/>
              <w:right w:val="single" w:color="auto" w:sz="2" w:space="0"/>
            </w:tcBorders>
            <w:shd w:val="clear" w:color="auto" w:fill="D3D3D3"/>
            <w:vAlign w:val="center"/>
          </w:tcPr>
          <w:p w14:paraId="36FAAC0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在其他单位担任的职务</w:t>
            </w:r>
          </w:p>
        </w:tc>
        <w:tc>
          <w:tcPr>
            <w:tcW w:w="1825" w:type="dxa"/>
            <w:tcBorders>
              <w:top w:val="single" w:color="auto" w:sz="2" w:space="0"/>
              <w:left w:val="single" w:color="auto" w:sz="2" w:space="0"/>
              <w:bottom w:val="single" w:color="auto" w:sz="2" w:space="0"/>
              <w:right w:val="single" w:color="auto" w:sz="2" w:space="0"/>
            </w:tcBorders>
            <w:shd w:val="clear" w:color="auto" w:fill="D3D3D3"/>
            <w:vAlign w:val="center"/>
          </w:tcPr>
          <w:p w14:paraId="5DBB05E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任期起始日期</w:t>
            </w:r>
          </w:p>
        </w:tc>
        <w:tc>
          <w:tcPr>
            <w:tcW w:w="1825" w:type="dxa"/>
            <w:tcBorders>
              <w:top w:val="single" w:color="auto" w:sz="2" w:space="0"/>
              <w:left w:val="single" w:color="auto" w:sz="2" w:space="0"/>
              <w:bottom w:val="single" w:color="auto" w:sz="2" w:space="0"/>
              <w:right w:val="single" w:color="auto" w:sz="2" w:space="0"/>
            </w:tcBorders>
            <w:shd w:val="clear" w:color="auto" w:fill="D3D3D3"/>
            <w:vAlign w:val="center"/>
          </w:tcPr>
          <w:p w14:paraId="5C568EA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任期终止日期</w:t>
            </w:r>
          </w:p>
        </w:tc>
        <w:tc>
          <w:tcPr>
            <w:tcW w:w="1630" w:type="dxa"/>
            <w:tcBorders>
              <w:top w:val="single" w:color="auto" w:sz="2" w:space="0"/>
              <w:left w:val="single" w:color="auto" w:sz="2" w:space="0"/>
              <w:bottom w:val="single" w:color="auto" w:sz="2" w:space="0"/>
              <w:right w:val="single" w:color="auto" w:sz="2" w:space="0"/>
            </w:tcBorders>
            <w:shd w:val="clear" w:color="auto" w:fill="D3D3D3"/>
            <w:vAlign w:val="center"/>
          </w:tcPr>
          <w:p w14:paraId="1290DEA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在其他单位是否领取报酬津贴</w:t>
            </w:r>
          </w:p>
        </w:tc>
      </w:tr>
      <w:tr w14:paraId="668E6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31" w:type="dxa"/>
            <w:tcBorders>
              <w:top w:val="single" w:color="auto" w:sz="2" w:space="0"/>
              <w:left w:val="single" w:color="auto" w:sz="2" w:space="0"/>
              <w:bottom w:val="single" w:color="auto" w:sz="2" w:space="0"/>
              <w:right w:val="single" w:color="auto" w:sz="2" w:space="0"/>
            </w:tcBorders>
            <w:vAlign w:val="center"/>
          </w:tcPr>
          <w:p w14:paraId="796E97C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张永明</w:t>
            </w:r>
          </w:p>
        </w:tc>
        <w:tc>
          <w:tcPr>
            <w:tcW w:w="1881" w:type="dxa"/>
            <w:tcBorders>
              <w:top w:val="single" w:color="auto" w:sz="2" w:space="0"/>
              <w:left w:val="single" w:color="auto" w:sz="2" w:space="0"/>
              <w:bottom w:val="single" w:color="auto" w:sz="2" w:space="0"/>
              <w:right w:val="single" w:color="auto" w:sz="2" w:space="0"/>
            </w:tcBorders>
            <w:vAlign w:val="center"/>
          </w:tcPr>
          <w:p w14:paraId="7128542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奥特佳新能源科技集团股份有限公司</w:t>
            </w:r>
          </w:p>
        </w:tc>
        <w:tc>
          <w:tcPr>
            <w:tcW w:w="1144" w:type="dxa"/>
            <w:tcBorders>
              <w:top w:val="single" w:color="auto" w:sz="2" w:space="0"/>
              <w:left w:val="single" w:color="auto" w:sz="2" w:space="0"/>
              <w:bottom w:val="single" w:color="auto" w:sz="2" w:space="0"/>
              <w:right w:val="single" w:color="auto" w:sz="2" w:space="0"/>
            </w:tcBorders>
            <w:vAlign w:val="center"/>
          </w:tcPr>
          <w:p w14:paraId="775BAB9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董事</w:t>
            </w:r>
          </w:p>
        </w:tc>
        <w:tc>
          <w:tcPr>
            <w:tcW w:w="1825" w:type="dxa"/>
            <w:tcBorders>
              <w:top w:val="single" w:color="auto" w:sz="2" w:space="0"/>
              <w:left w:val="single" w:color="auto" w:sz="2" w:space="0"/>
              <w:bottom w:val="single" w:color="auto" w:sz="2" w:space="0"/>
              <w:right w:val="single" w:color="auto" w:sz="2" w:space="0"/>
            </w:tcBorders>
            <w:vAlign w:val="center"/>
          </w:tcPr>
          <w:p w14:paraId="4A2B692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2016年06月01日</w:t>
            </w:r>
          </w:p>
        </w:tc>
        <w:tc>
          <w:tcPr>
            <w:tcW w:w="1825" w:type="dxa"/>
            <w:tcBorders>
              <w:top w:val="single" w:color="auto" w:sz="2" w:space="0"/>
              <w:left w:val="single" w:color="auto" w:sz="2" w:space="0"/>
              <w:bottom w:val="single" w:color="auto" w:sz="2" w:space="0"/>
              <w:right w:val="single" w:color="auto" w:sz="2" w:space="0"/>
            </w:tcBorders>
            <w:vAlign w:val="center"/>
          </w:tcPr>
          <w:p w14:paraId="71893B83">
            <w:pPr>
              <w:spacing w:before="0" w:after="0" w:line="240" w:lineRule="exact"/>
              <w:jc w:val="left"/>
              <w:rPr>
                <w:rFonts w:hint="default" w:ascii="Times New Roman" w:hAnsi="Times New Roman" w:eastAsia="宋体" w:cs="Times New Roman"/>
                <w:sz w:val="18"/>
                <w:szCs w:val="18"/>
              </w:rPr>
            </w:pPr>
          </w:p>
        </w:tc>
        <w:tc>
          <w:tcPr>
            <w:tcW w:w="1630" w:type="dxa"/>
            <w:tcBorders>
              <w:top w:val="single" w:color="auto" w:sz="2" w:space="0"/>
              <w:left w:val="single" w:color="auto" w:sz="2" w:space="0"/>
              <w:bottom w:val="single" w:color="auto" w:sz="2" w:space="0"/>
              <w:right w:val="single" w:color="auto" w:sz="2" w:space="0"/>
            </w:tcBorders>
            <w:vAlign w:val="center"/>
          </w:tcPr>
          <w:p w14:paraId="4E5B65F0">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6FE3E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31" w:type="dxa"/>
            <w:tcBorders>
              <w:top w:val="single" w:color="auto" w:sz="2" w:space="0"/>
              <w:left w:val="single" w:color="auto" w:sz="2" w:space="0"/>
              <w:bottom w:val="single" w:color="auto" w:sz="2" w:space="0"/>
              <w:right w:val="single" w:color="auto" w:sz="2" w:space="0"/>
            </w:tcBorders>
            <w:vAlign w:val="center"/>
          </w:tcPr>
          <w:p w14:paraId="769AF25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张永明</w:t>
            </w:r>
          </w:p>
        </w:tc>
        <w:tc>
          <w:tcPr>
            <w:tcW w:w="1881" w:type="dxa"/>
            <w:tcBorders>
              <w:top w:val="single" w:color="auto" w:sz="2" w:space="0"/>
              <w:left w:val="single" w:color="auto" w:sz="2" w:space="0"/>
              <w:bottom w:val="single" w:color="auto" w:sz="2" w:space="0"/>
              <w:right w:val="single" w:color="auto" w:sz="2" w:space="0"/>
            </w:tcBorders>
            <w:vAlign w:val="center"/>
          </w:tcPr>
          <w:p w14:paraId="1387629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江苏天佑金淦投资有限公司</w:t>
            </w:r>
          </w:p>
        </w:tc>
        <w:tc>
          <w:tcPr>
            <w:tcW w:w="1144" w:type="dxa"/>
            <w:tcBorders>
              <w:top w:val="single" w:color="auto" w:sz="2" w:space="0"/>
              <w:left w:val="single" w:color="auto" w:sz="2" w:space="0"/>
              <w:bottom w:val="single" w:color="auto" w:sz="2" w:space="0"/>
              <w:right w:val="single" w:color="auto" w:sz="2" w:space="0"/>
            </w:tcBorders>
            <w:vAlign w:val="center"/>
          </w:tcPr>
          <w:p w14:paraId="0220F29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执行董事</w:t>
            </w:r>
          </w:p>
        </w:tc>
        <w:tc>
          <w:tcPr>
            <w:tcW w:w="1825" w:type="dxa"/>
            <w:tcBorders>
              <w:top w:val="single" w:color="auto" w:sz="2" w:space="0"/>
              <w:left w:val="single" w:color="auto" w:sz="2" w:space="0"/>
              <w:bottom w:val="single" w:color="auto" w:sz="2" w:space="0"/>
              <w:right w:val="single" w:color="auto" w:sz="2" w:space="0"/>
            </w:tcBorders>
            <w:vAlign w:val="center"/>
          </w:tcPr>
          <w:p w14:paraId="680151B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2013年01月01日</w:t>
            </w:r>
          </w:p>
        </w:tc>
        <w:tc>
          <w:tcPr>
            <w:tcW w:w="1825" w:type="dxa"/>
            <w:tcBorders>
              <w:top w:val="single" w:color="auto" w:sz="2" w:space="0"/>
              <w:left w:val="single" w:color="auto" w:sz="2" w:space="0"/>
              <w:bottom w:val="single" w:color="auto" w:sz="2" w:space="0"/>
              <w:right w:val="single" w:color="auto" w:sz="2" w:space="0"/>
            </w:tcBorders>
            <w:vAlign w:val="center"/>
          </w:tcPr>
          <w:p w14:paraId="4C6B3DBF">
            <w:pPr>
              <w:spacing w:before="0" w:after="0" w:line="240" w:lineRule="exact"/>
              <w:jc w:val="left"/>
              <w:rPr>
                <w:rFonts w:hint="default" w:ascii="Times New Roman" w:hAnsi="Times New Roman" w:eastAsia="宋体" w:cs="Times New Roman"/>
                <w:sz w:val="18"/>
                <w:szCs w:val="18"/>
              </w:rPr>
            </w:pPr>
          </w:p>
        </w:tc>
        <w:tc>
          <w:tcPr>
            <w:tcW w:w="1630" w:type="dxa"/>
            <w:tcBorders>
              <w:top w:val="single" w:color="auto" w:sz="2" w:space="0"/>
              <w:left w:val="single" w:color="auto" w:sz="2" w:space="0"/>
              <w:bottom w:val="single" w:color="auto" w:sz="2" w:space="0"/>
              <w:right w:val="single" w:color="auto" w:sz="2" w:space="0"/>
            </w:tcBorders>
            <w:vAlign w:val="center"/>
          </w:tcPr>
          <w:p w14:paraId="568A81EB">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00DE3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31" w:type="dxa"/>
            <w:tcBorders>
              <w:top w:val="single" w:color="auto" w:sz="2" w:space="0"/>
              <w:left w:val="single" w:color="auto" w:sz="2" w:space="0"/>
              <w:bottom w:val="single" w:color="auto" w:sz="2" w:space="0"/>
              <w:right w:val="single" w:color="auto" w:sz="2" w:space="0"/>
            </w:tcBorders>
            <w:vAlign w:val="center"/>
          </w:tcPr>
          <w:p w14:paraId="1F6B91D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张永明</w:t>
            </w:r>
          </w:p>
        </w:tc>
        <w:tc>
          <w:tcPr>
            <w:tcW w:w="1881" w:type="dxa"/>
            <w:tcBorders>
              <w:top w:val="single" w:color="auto" w:sz="2" w:space="0"/>
              <w:left w:val="single" w:color="auto" w:sz="2" w:space="0"/>
              <w:bottom w:val="single" w:color="auto" w:sz="2" w:space="0"/>
              <w:right w:val="single" w:color="auto" w:sz="2" w:space="0"/>
            </w:tcBorders>
            <w:vAlign w:val="center"/>
          </w:tcPr>
          <w:p w14:paraId="4ADE24D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北京长江兴业资产管理有限公司</w:t>
            </w:r>
          </w:p>
        </w:tc>
        <w:tc>
          <w:tcPr>
            <w:tcW w:w="1144" w:type="dxa"/>
            <w:tcBorders>
              <w:top w:val="single" w:color="auto" w:sz="2" w:space="0"/>
              <w:left w:val="single" w:color="auto" w:sz="2" w:space="0"/>
              <w:bottom w:val="single" w:color="auto" w:sz="2" w:space="0"/>
              <w:right w:val="single" w:color="auto" w:sz="2" w:space="0"/>
            </w:tcBorders>
            <w:vAlign w:val="center"/>
          </w:tcPr>
          <w:p w14:paraId="7F8E1DC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执行董事</w:t>
            </w:r>
          </w:p>
        </w:tc>
        <w:tc>
          <w:tcPr>
            <w:tcW w:w="1825" w:type="dxa"/>
            <w:tcBorders>
              <w:top w:val="single" w:color="auto" w:sz="2" w:space="0"/>
              <w:left w:val="single" w:color="auto" w:sz="2" w:space="0"/>
              <w:bottom w:val="single" w:color="auto" w:sz="2" w:space="0"/>
              <w:right w:val="single" w:color="auto" w:sz="2" w:space="0"/>
            </w:tcBorders>
            <w:vAlign w:val="center"/>
          </w:tcPr>
          <w:p w14:paraId="46E77F1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2015年01月01日</w:t>
            </w:r>
          </w:p>
        </w:tc>
        <w:tc>
          <w:tcPr>
            <w:tcW w:w="1825" w:type="dxa"/>
            <w:tcBorders>
              <w:top w:val="single" w:color="auto" w:sz="2" w:space="0"/>
              <w:left w:val="single" w:color="auto" w:sz="2" w:space="0"/>
              <w:bottom w:val="single" w:color="auto" w:sz="2" w:space="0"/>
              <w:right w:val="single" w:color="auto" w:sz="2" w:space="0"/>
            </w:tcBorders>
            <w:vAlign w:val="center"/>
          </w:tcPr>
          <w:p w14:paraId="2BEF8489">
            <w:pPr>
              <w:spacing w:before="0" w:after="0" w:line="240" w:lineRule="exact"/>
              <w:jc w:val="left"/>
              <w:rPr>
                <w:rFonts w:hint="default" w:ascii="Times New Roman" w:hAnsi="Times New Roman" w:eastAsia="宋体" w:cs="Times New Roman"/>
                <w:sz w:val="18"/>
                <w:szCs w:val="18"/>
              </w:rPr>
            </w:pPr>
          </w:p>
        </w:tc>
        <w:tc>
          <w:tcPr>
            <w:tcW w:w="1630" w:type="dxa"/>
            <w:tcBorders>
              <w:top w:val="single" w:color="auto" w:sz="2" w:space="0"/>
              <w:left w:val="single" w:color="auto" w:sz="2" w:space="0"/>
              <w:bottom w:val="single" w:color="auto" w:sz="2" w:space="0"/>
              <w:right w:val="single" w:color="auto" w:sz="2" w:space="0"/>
            </w:tcBorders>
            <w:vAlign w:val="center"/>
          </w:tcPr>
          <w:p w14:paraId="2CF1270C">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489AF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31" w:type="dxa"/>
            <w:tcBorders>
              <w:top w:val="single" w:color="auto" w:sz="2" w:space="0"/>
              <w:left w:val="single" w:color="auto" w:sz="2" w:space="0"/>
              <w:bottom w:val="single" w:color="auto" w:sz="2" w:space="0"/>
              <w:right w:val="single" w:color="auto" w:sz="2" w:space="0"/>
            </w:tcBorders>
            <w:vAlign w:val="center"/>
          </w:tcPr>
          <w:p w14:paraId="00EACDE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孙峰</w:t>
            </w:r>
          </w:p>
        </w:tc>
        <w:tc>
          <w:tcPr>
            <w:tcW w:w="1881" w:type="dxa"/>
            <w:tcBorders>
              <w:top w:val="single" w:color="auto" w:sz="2" w:space="0"/>
              <w:left w:val="single" w:color="auto" w:sz="2" w:space="0"/>
              <w:bottom w:val="single" w:color="auto" w:sz="2" w:space="0"/>
              <w:right w:val="single" w:color="auto" w:sz="2" w:space="0"/>
            </w:tcBorders>
            <w:vAlign w:val="center"/>
          </w:tcPr>
          <w:p w14:paraId="36CE16E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北京天佑投资有限公司</w:t>
            </w:r>
          </w:p>
        </w:tc>
        <w:tc>
          <w:tcPr>
            <w:tcW w:w="1144" w:type="dxa"/>
            <w:tcBorders>
              <w:top w:val="single" w:color="auto" w:sz="2" w:space="0"/>
              <w:left w:val="single" w:color="auto" w:sz="2" w:space="0"/>
              <w:bottom w:val="single" w:color="auto" w:sz="2" w:space="0"/>
              <w:right w:val="single" w:color="auto" w:sz="2" w:space="0"/>
            </w:tcBorders>
            <w:vAlign w:val="center"/>
          </w:tcPr>
          <w:p w14:paraId="4AACD6F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副总经理</w:t>
            </w:r>
          </w:p>
        </w:tc>
        <w:tc>
          <w:tcPr>
            <w:tcW w:w="1825" w:type="dxa"/>
            <w:tcBorders>
              <w:top w:val="single" w:color="auto" w:sz="2" w:space="0"/>
              <w:left w:val="single" w:color="auto" w:sz="2" w:space="0"/>
              <w:bottom w:val="single" w:color="auto" w:sz="2" w:space="0"/>
              <w:right w:val="single" w:color="auto" w:sz="2" w:space="0"/>
            </w:tcBorders>
            <w:vAlign w:val="center"/>
          </w:tcPr>
          <w:p w14:paraId="090BB42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2017年11月01日</w:t>
            </w:r>
          </w:p>
        </w:tc>
        <w:tc>
          <w:tcPr>
            <w:tcW w:w="1825" w:type="dxa"/>
            <w:tcBorders>
              <w:top w:val="single" w:color="auto" w:sz="2" w:space="0"/>
              <w:left w:val="single" w:color="auto" w:sz="2" w:space="0"/>
              <w:bottom w:val="single" w:color="auto" w:sz="2" w:space="0"/>
              <w:right w:val="single" w:color="auto" w:sz="2" w:space="0"/>
            </w:tcBorders>
            <w:vAlign w:val="center"/>
          </w:tcPr>
          <w:p w14:paraId="7CE46F65">
            <w:pPr>
              <w:spacing w:before="0" w:after="0" w:line="240" w:lineRule="exact"/>
              <w:jc w:val="left"/>
              <w:rPr>
                <w:rFonts w:hint="default" w:ascii="Times New Roman" w:hAnsi="Times New Roman" w:eastAsia="宋体" w:cs="Times New Roman"/>
                <w:sz w:val="18"/>
                <w:szCs w:val="18"/>
              </w:rPr>
            </w:pPr>
          </w:p>
        </w:tc>
        <w:tc>
          <w:tcPr>
            <w:tcW w:w="1630" w:type="dxa"/>
            <w:tcBorders>
              <w:top w:val="single" w:color="auto" w:sz="2" w:space="0"/>
              <w:left w:val="single" w:color="auto" w:sz="2" w:space="0"/>
              <w:bottom w:val="single" w:color="auto" w:sz="2" w:space="0"/>
              <w:right w:val="single" w:color="auto" w:sz="2" w:space="0"/>
            </w:tcBorders>
            <w:vAlign w:val="center"/>
          </w:tcPr>
          <w:p w14:paraId="042ABE11">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w:t>
            </w:r>
          </w:p>
        </w:tc>
      </w:tr>
      <w:tr w14:paraId="7CB0F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31" w:type="dxa"/>
            <w:tcBorders>
              <w:top w:val="single" w:color="auto" w:sz="2" w:space="0"/>
              <w:left w:val="single" w:color="auto" w:sz="2" w:space="0"/>
              <w:bottom w:val="single" w:color="auto" w:sz="2" w:space="0"/>
              <w:right w:val="single" w:color="auto" w:sz="2" w:space="0"/>
            </w:tcBorders>
            <w:vAlign w:val="center"/>
          </w:tcPr>
          <w:p w14:paraId="10E88C2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韩俊梅</w:t>
            </w:r>
          </w:p>
        </w:tc>
        <w:tc>
          <w:tcPr>
            <w:tcW w:w="1881" w:type="dxa"/>
            <w:tcBorders>
              <w:top w:val="single" w:color="auto" w:sz="2" w:space="0"/>
              <w:left w:val="single" w:color="auto" w:sz="2" w:space="0"/>
              <w:bottom w:val="single" w:color="auto" w:sz="2" w:space="0"/>
              <w:right w:val="single" w:color="auto" w:sz="2" w:space="0"/>
            </w:tcBorders>
            <w:vAlign w:val="center"/>
          </w:tcPr>
          <w:p w14:paraId="64E16AC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潮州农村商业银行股份有限公司</w:t>
            </w:r>
          </w:p>
        </w:tc>
        <w:tc>
          <w:tcPr>
            <w:tcW w:w="1144" w:type="dxa"/>
            <w:tcBorders>
              <w:top w:val="single" w:color="auto" w:sz="2" w:space="0"/>
              <w:left w:val="single" w:color="auto" w:sz="2" w:space="0"/>
              <w:bottom w:val="single" w:color="auto" w:sz="2" w:space="0"/>
              <w:right w:val="single" w:color="auto" w:sz="2" w:space="0"/>
            </w:tcBorders>
            <w:vAlign w:val="center"/>
          </w:tcPr>
          <w:p w14:paraId="324BD6D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独立董事</w:t>
            </w:r>
          </w:p>
        </w:tc>
        <w:tc>
          <w:tcPr>
            <w:tcW w:w="1825" w:type="dxa"/>
            <w:tcBorders>
              <w:top w:val="single" w:color="auto" w:sz="2" w:space="0"/>
              <w:left w:val="single" w:color="auto" w:sz="2" w:space="0"/>
              <w:bottom w:val="single" w:color="auto" w:sz="2" w:space="0"/>
              <w:right w:val="single" w:color="auto" w:sz="2" w:space="0"/>
            </w:tcBorders>
            <w:vAlign w:val="center"/>
          </w:tcPr>
          <w:p w14:paraId="2B51E71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2019年06月01日</w:t>
            </w:r>
          </w:p>
        </w:tc>
        <w:tc>
          <w:tcPr>
            <w:tcW w:w="1825" w:type="dxa"/>
            <w:tcBorders>
              <w:top w:val="single" w:color="auto" w:sz="2" w:space="0"/>
              <w:left w:val="single" w:color="auto" w:sz="2" w:space="0"/>
              <w:bottom w:val="single" w:color="auto" w:sz="2" w:space="0"/>
              <w:right w:val="single" w:color="auto" w:sz="2" w:space="0"/>
            </w:tcBorders>
            <w:vAlign w:val="center"/>
          </w:tcPr>
          <w:p w14:paraId="683C056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2025年10月24日</w:t>
            </w:r>
          </w:p>
        </w:tc>
        <w:tc>
          <w:tcPr>
            <w:tcW w:w="1630" w:type="dxa"/>
            <w:tcBorders>
              <w:top w:val="single" w:color="auto" w:sz="2" w:space="0"/>
              <w:left w:val="single" w:color="auto" w:sz="2" w:space="0"/>
              <w:bottom w:val="single" w:color="auto" w:sz="2" w:space="0"/>
              <w:right w:val="single" w:color="auto" w:sz="2" w:space="0"/>
            </w:tcBorders>
            <w:vAlign w:val="center"/>
          </w:tcPr>
          <w:p w14:paraId="4BE82FBE">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w:t>
            </w:r>
          </w:p>
        </w:tc>
      </w:tr>
      <w:tr w14:paraId="4BCEC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31" w:type="dxa"/>
            <w:tcBorders>
              <w:top w:val="single" w:color="auto" w:sz="2" w:space="0"/>
              <w:left w:val="single" w:color="auto" w:sz="2" w:space="0"/>
              <w:bottom w:val="single" w:color="auto" w:sz="2" w:space="0"/>
              <w:right w:val="single" w:color="auto" w:sz="2" w:space="0"/>
            </w:tcBorders>
            <w:vAlign w:val="center"/>
          </w:tcPr>
          <w:p w14:paraId="5D1DC2D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韩俊梅</w:t>
            </w:r>
          </w:p>
        </w:tc>
        <w:tc>
          <w:tcPr>
            <w:tcW w:w="1881" w:type="dxa"/>
            <w:tcBorders>
              <w:top w:val="single" w:color="auto" w:sz="2" w:space="0"/>
              <w:left w:val="single" w:color="auto" w:sz="2" w:space="0"/>
              <w:bottom w:val="single" w:color="auto" w:sz="2" w:space="0"/>
              <w:right w:val="single" w:color="auto" w:sz="2" w:space="0"/>
            </w:tcBorders>
            <w:vAlign w:val="center"/>
          </w:tcPr>
          <w:p w14:paraId="05C8C0C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广东云浮农村商业银行股份有限公司</w:t>
            </w:r>
          </w:p>
        </w:tc>
        <w:tc>
          <w:tcPr>
            <w:tcW w:w="1144" w:type="dxa"/>
            <w:tcBorders>
              <w:top w:val="single" w:color="auto" w:sz="2" w:space="0"/>
              <w:left w:val="single" w:color="auto" w:sz="2" w:space="0"/>
              <w:bottom w:val="single" w:color="auto" w:sz="2" w:space="0"/>
              <w:right w:val="single" w:color="auto" w:sz="2" w:space="0"/>
            </w:tcBorders>
            <w:vAlign w:val="center"/>
          </w:tcPr>
          <w:p w14:paraId="1329EF5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独立董事</w:t>
            </w:r>
          </w:p>
        </w:tc>
        <w:tc>
          <w:tcPr>
            <w:tcW w:w="1825" w:type="dxa"/>
            <w:tcBorders>
              <w:top w:val="single" w:color="auto" w:sz="2" w:space="0"/>
              <w:left w:val="single" w:color="auto" w:sz="2" w:space="0"/>
              <w:bottom w:val="single" w:color="auto" w:sz="2" w:space="0"/>
              <w:right w:val="single" w:color="auto" w:sz="2" w:space="0"/>
            </w:tcBorders>
            <w:vAlign w:val="center"/>
          </w:tcPr>
          <w:p w14:paraId="43C99FD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2020年06月01日</w:t>
            </w:r>
          </w:p>
        </w:tc>
        <w:tc>
          <w:tcPr>
            <w:tcW w:w="1825" w:type="dxa"/>
            <w:tcBorders>
              <w:top w:val="single" w:color="auto" w:sz="2" w:space="0"/>
              <w:left w:val="single" w:color="auto" w:sz="2" w:space="0"/>
              <w:bottom w:val="single" w:color="auto" w:sz="2" w:space="0"/>
              <w:right w:val="single" w:color="auto" w:sz="2" w:space="0"/>
            </w:tcBorders>
            <w:vAlign w:val="center"/>
          </w:tcPr>
          <w:p w14:paraId="37A78EA2">
            <w:pPr>
              <w:spacing w:before="0" w:after="0" w:line="240" w:lineRule="exact"/>
              <w:jc w:val="left"/>
              <w:rPr>
                <w:rFonts w:hint="default" w:ascii="Times New Roman" w:hAnsi="Times New Roman" w:eastAsia="宋体" w:cs="Times New Roman"/>
                <w:sz w:val="18"/>
                <w:szCs w:val="18"/>
              </w:rPr>
            </w:pPr>
          </w:p>
        </w:tc>
        <w:tc>
          <w:tcPr>
            <w:tcW w:w="1630" w:type="dxa"/>
            <w:tcBorders>
              <w:top w:val="single" w:color="auto" w:sz="2" w:space="0"/>
              <w:left w:val="single" w:color="auto" w:sz="2" w:space="0"/>
              <w:bottom w:val="single" w:color="auto" w:sz="2" w:space="0"/>
              <w:right w:val="single" w:color="auto" w:sz="2" w:space="0"/>
            </w:tcBorders>
            <w:vAlign w:val="center"/>
          </w:tcPr>
          <w:p w14:paraId="767840B3">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w:t>
            </w:r>
          </w:p>
        </w:tc>
      </w:tr>
      <w:tr w14:paraId="6FC32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31" w:type="dxa"/>
            <w:tcBorders>
              <w:top w:val="single" w:color="auto" w:sz="2" w:space="0"/>
              <w:left w:val="single" w:color="auto" w:sz="2" w:space="0"/>
              <w:bottom w:val="single" w:color="auto" w:sz="2" w:space="0"/>
              <w:right w:val="single" w:color="auto" w:sz="2" w:space="0"/>
            </w:tcBorders>
            <w:vAlign w:val="center"/>
          </w:tcPr>
          <w:p w14:paraId="7531D4A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邓超</w:t>
            </w:r>
          </w:p>
        </w:tc>
        <w:tc>
          <w:tcPr>
            <w:tcW w:w="1881" w:type="dxa"/>
            <w:tcBorders>
              <w:top w:val="single" w:color="auto" w:sz="2" w:space="0"/>
              <w:left w:val="single" w:color="auto" w:sz="2" w:space="0"/>
              <w:bottom w:val="single" w:color="auto" w:sz="2" w:space="0"/>
              <w:right w:val="single" w:color="auto" w:sz="2" w:space="0"/>
            </w:tcBorders>
            <w:vAlign w:val="center"/>
          </w:tcPr>
          <w:p w14:paraId="74BDF14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中南大学</w:t>
            </w:r>
          </w:p>
        </w:tc>
        <w:tc>
          <w:tcPr>
            <w:tcW w:w="1144" w:type="dxa"/>
            <w:tcBorders>
              <w:top w:val="single" w:color="auto" w:sz="2" w:space="0"/>
              <w:left w:val="single" w:color="auto" w:sz="2" w:space="0"/>
              <w:bottom w:val="single" w:color="auto" w:sz="2" w:space="0"/>
              <w:right w:val="single" w:color="auto" w:sz="2" w:space="0"/>
            </w:tcBorders>
            <w:vAlign w:val="center"/>
          </w:tcPr>
          <w:p w14:paraId="086B2D1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教授</w:t>
            </w:r>
          </w:p>
        </w:tc>
        <w:tc>
          <w:tcPr>
            <w:tcW w:w="1825" w:type="dxa"/>
            <w:tcBorders>
              <w:top w:val="single" w:color="auto" w:sz="2" w:space="0"/>
              <w:left w:val="single" w:color="auto" w:sz="2" w:space="0"/>
              <w:bottom w:val="single" w:color="auto" w:sz="2" w:space="0"/>
              <w:right w:val="single" w:color="auto" w:sz="2" w:space="0"/>
            </w:tcBorders>
            <w:vAlign w:val="center"/>
          </w:tcPr>
          <w:p w14:paraId="29DD621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2003年09月01日</w:t>
            </w:r>
          </w:p>
        </w:tc>
        <w:tc>
          <w:tcPr>
            <w:tcW w:w="1825" w:type="dxa"/>
            <w:tcBorders>
              <w:top w:val="single" w:color="auto" w:sz="2" w:space="0"/>
              <w:left w:val="single" w:color="auto" w:sz="2" w:space="0"/>
              <w:bottom w:val="single" w:color="auto" w:sz="2" w:space="0"/>
              <w:right w:val="single" w:color="auto" w:sz="2" w:space="0"/>
            </w:tcBorders>
            <w:vAlign w:val="center"/>
          </w:tcPr>
          <w:p w14:paraId="31E8E7D8">
            <w:pPr>
              <w:spacing w:before="0" w:after="0" w:line="240" w:lineRule="exact"/>
              <w:jc w:val="left"/>
              <w:rPr>
                <w:rFonts w:hint="default" w:ascii="Times New Roman" w:hAnsi="Times New Roman" w:eastAsia="宋体" w:cs="Times New Roman"/>
                <w:sz w:val="18"/>
                <w:szCs w:val="18"/>
              </w:rPr>
            </w:pPr>
          </w:p>
        </w:tc>
        <w:tc>
          <w:tcPr>
            <w:tcW w:w="1630" w:type="dxa"/>
            <w:tcBorders>
              <w:top w:val="single" w:color="auto" w:sz="2" w:space="0"/>
              <w:left w:val="single" w:color="auto" w:sz="2" w:space="0"/>
              <w:bottom w:val="single" w:color="auto" w:sz="2" w:space="0"/>
              <w:right w:val="single" w:color="auto" w:sz="2" w:space="0"/>
            </w:tcBorders>
            <w:vAlign w:val="center"/>
          </w:tcPr>
          <w:p w14:paraId="11C2D37F">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w:t>
            </w:r>
          </w:p>
        </w:tc>
      </w:tr>
      <w:tr w14:paraId="60589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31" w:type="dxa"/>
            <w:tcBorders>
              <w:top w:val="single" w:color="auto" w:sz="2" w:space="0"/>
              <w:left w:val="single" w:color="auto" w:sz="2" w:space="0"/>
              <w:bottom w:val="single" w:color="auto" w:sz="2" w:space="0"/>
              <w:right w:val="single" w:color="auto" w:sz="2" w:space="0"/>
            </w:tcBorders>
            <w:vAlign w:val="center"/>
          </w:tcPr>
          <w:p w14:paraId="61A09C3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邓超</w:t>
            </w:r>
          </w:p>
        </w:tc>
        <w:tc>
          <w:tcPr>
            <w:tcW w:w="1881" w:type="dxa"/>
            <w:tcBorders>
              <w:top w:val="single" w:color="auto" w:sz="2" w:space="0"/>
              <w:left w:val="single" w:color="auto" w:sz="2" w:space="0"/>
              <w:bottom w:val="single" w:color="auto" w:sz="2" w:space="0"/>
              <w:right w:val="single" w:color="auto" w:sz="2" w:space="0"/>
            </w:tcBorders>
            <w:vAlign w:val="center"/>
          </w:tcPr>
          <w:p w14:paraId="68367C8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湖南长银五八消费金融股份有限公司</w:t>
            </w:r>
          </w:p>
        </w:tc>
        <w:tc>
          <w:tcPr>
            <w:tcW w:w="1144" w:type="dxa"/>
            <w:tcBorders>
              <w:top w:val="single" w:color="auto" w:sz="2" w:space="0"/>
              <w:left w:val="single" w:color="auto" w:sz="2" w:space="0"/>
              <w:bottom w:val="single" w:color="auto" w:sz="2" w:space="0"/>
              <w:right w:val="single" w:color="auto" w:sz="2" w:space="0"/>
            </w:tcBorders>
            <w:vAlign w:val="center"/>
          </w:tcPr>
          <w:p w14:paraId="2CDC0BA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董事</w:t>
            </w:r>
          </w:p>
        </w:tc>
        <w:tc>
          <w:tcPr>
            <w:tcW w:w="1825" w:type="dxa"/>
            <w:tcBorders>
              <w:top w:val="single" w:color="auto" w:sz="2" w:space="0"/>
              <w:left w:val="single" w:color="auto" w:sz="2" w:space="0"/>
              <w:bottom w:val="single" w:color="auto" w:sz="2" w:space="0"/>
              <w:right w:val="single" w:color="auto" w:sz="2" w:space="0"/>
            </w:tcBorders>
            <w:vAlign w:val="center"/>
          </w:tcPr>
          <w:p w14:paraId="006CAAE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2022年12月29日</w:t>
            </w:r>
          </w:p>
        </w:tc>
        <w:tc>
          <w:tcPr>
            <w:tcW w:w="1825" w:type="dxa"/>
            <w:tcBorders>
              <w:top w:val="single" w:color="auto" w:sz="2" w:space="0"/>
              <w:left w:val="single" w:color="auto" w:sz="2" w:space="0"/>
              <w:bottom w:val="single" w:color="auto" w:sz="2" w:space="0"/>
              <w:right w:val="single" w:color="auto" w:sz="2" w:space="0"/>
            </w:tcBorders>
            <w:vAlign w:val="center"/>
          </w:tcPr>
          <w:p w14:paraId="1F9FC841">
            <w:pPr>
              <w:spacing w:before="0" w:after="0" w:line="240" w:lineRule="exact"/>
              <w:jc w:val="left"/>
              <w:rPr>
                <w:rFonts w:hint="default" w:ascii="Times New Roman" w:hAnsi="Times New Roman" w:eastAsia="宋体" w:cs="Times New Roman"/>
                <w:sz w:val="18"/>
                <w:szCs w:val="18"/>
              </w:rPr>
            </w:pPr>
          </w:p>
        </w:tc>
        <w:tc>
          <w:tcPr>
            <w:tcW w:w="1630" w:type="dxa"/>
            <w:tcBorders>
              <w:top w:val="single" w:color="auto" w:sz="2" w:space="0"/>
              <w:left w:val="single" w:color="auto" w:sz="2" w:space="0"/>
              <w:bottom w:val="single" w:color="auto" w:sz="2" w:space="0"/>
              <w:right w:val="single" w:color="auto" w:sz="2" w:space="0"/>
            </w:tcBorders>
            <w:vAlign w:val="center"/>
          </w:tcPr>
          <w:p w14:paraId="0F45E00B">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w:t>
            </w:r>
          </w:p>
        </w:tc>
      </w:tr>
      <w:tr w14:paraId="2C2A6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31" w:type="dxa"/>
            <w:tcBorders>
              <w:top w:val="single" w:color="auto" w:sz="2" w:space="0"/>
              <w:left w:val="single" w:color="auto" w:sz="2" w:space="0"/>
              <w:bottom w:val="single" w:color="auto" w:sz="2" w:space="0"/>
              <w:right w:val="single" w:color="auto" w:sz="2" w:space="0"/>
            </w:tcBorders>
            <w:vAlign w:val="center"/>
          </w:tcPr>
          <w:p w14:paraId="76A2912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邓超</w:t>
            </w:r>
          </w:p>
        </w:tc>
        <w:tc>
          <w:tcPr>
            <w:tcW w:w="1881" w:type="dxa"/>
            <w:tcBorders>
              <w:top w:val="single" w:color="auto" w:sz="2" w:space="0"/>
              <w:left w:val="single" w:color="auto" w:sz="2" w:space="0"/>
              <w:bottom w:val="single" w:color="auto" w:sz="2" w:space="0"/>
              <w:right w:val="single" w:color="auto" w:sz="2" w:space="0"/>
            </w:tcBorders>
            <w:vAlign w:val="center"/>
          </w:tcPr>
          <w:p w14:paraId="121343A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深圳市燕麦科技股份有限公司</w:t>
            </w:r>
          </w:p>
        </w:tc>
        <w:tc>
          <w:tcPr>
            <w:tcW w:w="1144" w:type="dxa"/>
            <w:tcBorders>
              <w:top w:val="single" w:color="auto" w:sz="2" w:space="0"/>
              <w:left w:val="single" w:color="auto" w:sz="2" w:space="0"/>
              <w:bottom w:val="single" w:color="auto" w:sz="2" w:space="0"/>
              <w:right w:val="single" w:color="auto" w:sz="2" w:space="0"/>
            </w:tcBorders>
            <w:vAlign w:val="center"/>
          </w:tcPr>
          <w:p w14:paraId="6D87C5B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独立董事</w:t>
            </w:r>
          </w:p>
        </w:tc>
        <w:tc>
          <w:tcPr>
            <w:tcW w:w="1825" w:type="dxa"/>
            <w:tcBorders>
              <w:top w:val="single" w:color="auto" w:sz="2" w:space="0"/>
              <w:left w:val="single" w:color="auto" w:sz="2" w:space="0"/>
              <w:bottom w:val="single" w:color="auto" w:sz="2" w:space="0"/>
              <w:right w:val="single" w:color="auto" w:sz="2" w:space="0"/>
            </w:tcBorders>
            <w:vAlign w:val="center"/>
          </w:tcPr>
          <w:p w14:paraId="4BBF523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2022年02月16日</w:t>
            </w:r>
          </w:p>
        </w:tc>
        <w:tc>
          <w:tcPr>
            <w:tcW w:w="1825" w:type="dxa"/>
            <w:tcBorders>
              <w:top w:val="single" w:color="auto" w:sz="2" w:space="0"/>
              <w:left w:val="single" w:color="auto" w:sz="2" w:space="0"/>
              <w:bottom w:val="single" w:color="auto" w:sz="2" w:space="0"/>
              <w:right w:val="single" w:color="auto" w:sz="2" w:space="0"/>
            </w:tcBorders>
            <w:vAlign w:val="center"/>
          </w:tcPr>
          <w:p w14:paraId="1C5163C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2025年08月12日</w:t>
            </w:r>
          </w:p>
        </w:tc>
        <w:tc>
          <w:tcPr>
            <w:tcW w:w="1630" w:type="dxa"/>
            <w:tcBorders>
              <w:top w:val="single" w:color="auto" w:sz="2" w:space="0"/>
              <w:left w:val="single" w:color="auto" w:sz="2" w:space="0"/>
              <w:bottom w:val="single" w:color="auto" w:sz="2" w:space="0"/>
              <w:right w:val="single" w:color="auto" w:sz="2" w:space="0"/>
            </w:tcBorders>
            <w:vAlign w:val="center"/>
          </w:tcPr>
          <w:p w14:paraId="578EB0E1">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w:t>
            </w:r>
          </w:p>
        </w:tc>
      </w:tr>
      <w:tr w14:paraId="0D948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31" w:type="dxa"/>
            <w:tcBorders>
              <w:top w:val="single" w:color="auto" w:sz="2" w:space="0"/>
              <w:left w:val="single" w:color="auto" w:sz="2" w:space="0"/>
              <w:bottom w:val="single" w:color="auto" w:sz="2" w:space="0"/>
              <w:right w:val="single" w:color="auto" w:sz="2" w:space="0"/>
            </w:tcBorders>
            <w:vAlign w:val="center"/>
          </w:tcPr>
          <w:p w14:paraId="36713C1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邓超</w:t>
            </w:r>
          </w:p>
        </w:tc>
        <w:tc>
          <w:tcPr>
            <w:tcW w:w="1881" w:type="dxa"/>
            <w:tcBorders>
              <w:top w:val="single" w:color="auto" w:sz="2" w:space="0"/>
              <w:left w:val="single" w:color="auto" w:sz="2" w:space="0"/>
              <w:bottom w:val="single" w:color="auto" w:sz="2" w:space="0"/>
              <w:right w:val="single" w:color="auto" w:sz="2" w:space="0"/>
            </w:tcBorders>
            <w:vAlign w:val="center"/>
          </w:tcPr>
          <w:p w14:paraId="254C3F0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浙江帕瓦新能源股份有限公司</w:t>
            </w:r>
          </w:p>
        </w:tc>
        <w:tc>
          <w:tcPr>
            <w:tcW w:w="1144" w:type="dxa"/>
            <w:tcBorders>
              <w:top w:val="single" w:color="auto" w:sz="2" w:space="0"/>
              <w:left w:val="single" w:color="auto" w:sz="2" w:space="0"/>
              <w:bottom w:val="single" w:color="auto" w:sz="2" w:space="0"/>
              <w:right w:val="single" w:color="auto" w:sz="2" w:space="0"/>
            </w:tcBorders>
            <w:vAlign w:val="center"/>
          </w:tcPr>
          <w:p w14:paraId="462EB21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独立董事</w:t>
            </w:r>
          </w:p>
        </w:tc>
        <w:tc>
          <w:tcPr>
            <w:tcW w:w="1825" w:type="dxa"/>
            <w:tcBorders>
              <w:top w:val="single" w:color="auto" w:sz="2" w:space="0"/>
              <w:left w:val="single" w:color="auto" w:sz="2" w:space="0"/>
              <w:bottom w:val="single" w:color="auto" w:sz="2" w:space="0"/>
              <w:right w:val="single" w:color="auto" w:sz="2" w:space="0"/>
            </w:tcBorders>
            <w:vAlign w:val="center"/>
          </w:tcPr>
          <w:p w14:paraId="554E671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2022年10月10日</w:t>
            </w:r>
          </w:p>
        </w:tc>
        <w:tc>
          <w:tcPr>
            <w:tcW w:w="1825" w:type="dxa"/>
            <w:tcBorders>
              <w:top w:val="single" w:color="auto" w:sz="2" w:space="0"/>
              <w:left w:val="single" w:color="auto" w:sz="2" w:space="0"/>
              <w:bottom w:val="single" w:color="auto" w:sz="2" w:space="0"/>
              <w:right w:val="single" w:color="auto" w:sz="2" w:space="0"/>
            </w:tcBorders>
            <w:vAlign w:val="center"/>
          </w:tcPr>
          <w:p w14:paraId="575C137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2025年09月15日</w:t>
            </w:r>
          </w:p>
        </w:tc>
        <w:tc>
          <w:tcPr>
            <w:tcW w:w="1630" w:type="dxa"/>
            <w:tcBorders>
              <w:top w:val="single" w:color="auto" w:sz="2" w:space="0"/>
              <w:left w:val="single" w:color="auto" w:sz="2" w:space="0"/>
              <w:bottom w:val="single" w:color="auto" w:sz="2" w:space="0"/>
              <w:right w:val="single" w:color="auto" w:sz="2" w:space="0"/>
            </w:tcBorders>
            <w:vAlign w:val="center"/>
          </w:tcPr>
          <w:p w14:paraId="25B19280">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w:t>
            </w:r>
          </w:p>
        </w:tc>
      </w:tr>
      <w:tr w14:paraId="7DBA1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31" w:type="dxa"/>
            <w:tcBorders>
              <w:top w:val="single" w:color="auto" w:sz="2" w:space="0"/>
              <w:left w:val="single" w:color="auto" w:sz="2" w:space="0"/>
              <w:bottom w:val="single" w:color="auto" w:sz="2" w:space="0"/>
              <w:right w:val="single" w:color="auto" w:sz="2" w:space="0"/>
            </w:tcBorders>
            <w:vAlign w:val="center"/>
          </w:tcPr>
          <w:p w14:paraId="042F895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赵军会</w:t>
            </w:r>
          </w:p>
        </w:tc>
        <w:tc>
          <w:tcPr>
            <w:tcW w:w="1881" w:type="dxa"/>
            <w:tcBorders>
              <w:top w:val="single" w:color="auto" w:sz="2" w:space="0"/>
              <w:left w:val="single" w:color="auto" w:sz="2" w:space="0"/>
              <w:bottom w:val="single" w:color="auto" w:sz="2" w:space="0"/>
              <w:right w:val="single" w:color="auto" w:sz="2" w:space="0"/>
            </w:tcBorders>
            <w:vAlign w:val="center"/>
          </w:tcPr>
          <w:p w14:paraId="7216630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广州建能电力科技有限公司</w:t>
            </w:r>
          </w:p>
        </w:tc>
        <w:tc>
          <w:tcPr>
            <w:tcW w:w="1144" w:type="dxa"/>
            <w:tcBorders>
              <w:top w:val="single" w:color="auto" w:sz="2" w:space="0"/>
              <w:left w:val="single" w:color="auto" w:sz="2" w:space="0"/>
              <w:bottom w:val="single" w:color="auto" w:sz="2" w:space="0"/>
              <w:right w:val="single" w:color="auto" w:sz="2" w:space="0"/>
            </w:tcBorders>
            <w:vAlign w:val="center"/>
          </w:tcPr>
          <w:p w14:paraId="12B899C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执行董事</w:t>
            </w:r>
          </w:p>
        </w:tc>
        <w:tc>
          <w:tcPr>
            <w:tcW w:w="1825" w:type="dxa"/>
            <w:tcBorders>
              <w:top w:val="single" w:color="auto" w:sz="2" w:space="0"/>
              <w:left w:val="single" w:color="auto" w:sz="2" w:space="0"/>
              <w:bottom w:val="single" w:color="auto" w:sz="2" w:space="0"/>
              <w:right w:val="single" w:color="auto" w:sz="2" w:space="0"/>
            </w:tcBorders>
            <w:vAlign w:val="center"/>
          </w:tcPr>
          <w:p w14:paraId="74583A0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2017年05月03日</w:t>
            </w:r>
          </w:p>
        </w:tc>
        <w:tc>
          <w:tcPr>
            <w:tcW w:w="1825" w:type="dxa"/>
            <w:tcBorders>
              <w:top w:val="single" w:color="auto" w:sz="2" w:space="0"/>
              <w:left w:val="single" w:color="auto" w:sz="2" w:space="0"/>
              <w:bottom w:val="single" w:color="auto" w:sz="2" w:space="0"/>
              <w:right w:val="single" w:color="auto" w:sz="2" w:space="0"/>
            </w:tcBorders>
            <w:vAlign w:val="center"/>
          </w:tcPr>
          <w:p w14:paraId="075C9F96">
            <w:pPr>
              <w:spacing w:before="0" w:after="0" w:line="240" w:lineRule="exact"/>
              <w:jc w:val="left"/>
              <w:rPr>
                <w:rFonts w:hint="default" w:ascii="Times New Roman" w:hAnsi="Times New Roman" w:eastAsia="宋体" w:cs="Times New Roman"/>
                <w:sz w:val="18"/>
                <w:szCs w:val="18"/>
              </w:rPr>
            </w:pPr>
          </w:p>
        </w:tc>
        <w:tc>
          <w:tcPr>
            <w:tcW w:w="1630" w:type="dxa"/>
            <w:tcBorders>
              <w:top w:val="single" w:color="auto" w:sz="2" w:space="0"/>
              <w:left w:val="single" w:color="auto" w:sz="2" w:space="0"/>
              <w:bottom w:val="single" w:color="auto" w:sz="2" w:space="0"/>
              <w:right w:val="single" w:color="auto" w:sz="2" w:space="0"/>
            </w:tcBorders>
            <w:vAlign w:val="center"/>
          </w:tcPr>
          <w:p w14:paraId="39E86AB9">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6D48E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31" w:type="dxa"/>
            <w:tcBorders>
              <w:top w:val="single" w:color="auto" w:sz="2" w:space="0"/>
              <w:left w:val="single" w:color="auto" w:sz="2" w:space="0"/>
              <w:bottom w:val="single" w:color="auto" w:sz="2" w:space="0"/>
              <w:right w:val="single" w:color="auto" w:sz="2" w:space="0"/>
            </w:tcBorders>
            <w:vAlign w:val="center"/>
          </w:tcPr>
          <w:p w14:paraId="577D0D2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徐庆荣</w:t>
            </w:r>
          </w:p>
        </w:tc>
        <w:tc>
          <w:tcPr>
            <w:tcW w:w="1881" w:type="dxa"/>
            <w:tcBorders>
              <w:top w:val="single" w:color="auto" w:sz="2" w:space="0"/>
              <w:left w:val="single" w:color="auto" w:sz="2" w:space="0"/>
              <w:bottom w:val="single" w:color="auto" w:sz="2" w:space="0"/>
              <w:right w:val="single" w:color="auto" w:sz="2" w:space="0"/>
            </w:tcBorders>
            <w:vAlign w:val="center"/>
          </w:tcPr>
          <w:p w14:paraId="0DAADE2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广州荣奕信息科技有限公司</w:t>
            </w:r>
          </w:p>
        </w:tc>
        <w:tc>
          <w:tcPr>
            <w:tcW w:w="1144" w:type="dxa"/>
            <w:tcBorders>
              <w:top w:val="single" w:color="auto" w:sz="2" w:space="0"/>
              <w:left w:val="single" w:color="auto" w:sz="2" w:space="0"/>
              <w:bottom w:val="single" w:color="auto" w:sz="2" w:space="0"/>
              <w:right w:val="single" w:color="auto" w:sz="2" w:space="0"/>
            </w:tcBorders>
            <w:vAlign w:val="center"/>
          </w:tcPr>
          <w:p w14:paraId="1CB7406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执行董事</w:t>
            </w:r>
          </w:p>
        </w:tc>
        <w:tc>
          <w:tcPr>
            <w:tcW w:w="1825" w:type="dxa"/>
            <w:tcBorders>
              <w:top w:val="single" w:color="auto" w:sz="2" w:space="0"/>
              <w:left w:val="single" w:color="auto" w:sz="2" w:space="0"/>
              <w:bottom w:val="single" w:color="auto" w:sz="2" w:space="0"/>
              <w:right w:val="single" w:color="auto" w:sz="2" w:space="0"/>
            </w:tcBorders>
            <w:vAlign w:val="center"/>
          </w:tcPr>
          <w:p w14:paraId="72F051C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2022年09月02日</w:t>
            </w:r>
          </w:p>
        </w:tc>
        <w:tc>
          <w:tcPr>
            <w:tcW w:w="1825" w:type="dxa"/>
            <w:tcBorders>
              <w:top w:val="single" w:color="auto" w:sz="2" w:space="0"/>
              <w:left w:val="single" w:color="auto" w:sz="2" w:space="0"/>
              <w:bottom w:val="single" w:color="auto" w:sz="2" w:space="0"/>
              <w:right w:val="single" w:color="auto" w:sz="2" w:space="0"/>
            </w:tcBorders>
            <w:vAlign w:val="center"/>
          </w:tcPr>
          <w:p w14:paraId="16C07457">
            <w:pPr>
              <w:spacing w:before="0" w:after="0" w:line="240" w:lineRule="exact"/>
              <w:jc w:val="left"/>
              <w:rPr>
                <w:rFonts w:hint="default" w:ascii="Times New Roman" w:hAnsi="Times New Roman" w:eastAsia="宋体" w:cs="Times New Roman"/>
                <w:sz w:val="18"/>
                <w:szCs w:val="18"/>
              </w:rPr>
            </w:pPr>
          </w:p>
        </w:tc>
        <w:tc>
          <w:tcPr>
            <w:tcW w:w="1630" w:type="dxa"/>
            <w:tcBorders>
              <w:top w:val="single" w:color="auto" w:sz="2" w:space="0"/>
              <w:left w:val="single" w:color="auto" w:sz="2" w:space="0"/>
              <w:bottom w:val="single" w:color="auto" w:sz="2" w:space="0"/>
              <w:right w:val="single" w:color="auto" w:sz="2" w:space="0"/>
            </w:tcBorders>
            <w:vAlign w:val="center"/>
          </w:tcPr>
          <w:p w14:paraId="3FBEBF3D">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2A380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31" w:type="dxa"/>
            <w:tcBorders>
              <w:top w:val="single" w:color="auto" w:sz="2" w:space="0"/>
              <w:left w:val="single" w:color="auto" w:sz="2" w:space="0"/>
              <w:bottom w:val="single" w:color="auto" w:sz="2" w:space="0"/>
              <w:right w:val="single" w:color="auto" w:sz="2" w:space="0"/>
            </w:tcBorders>
            <w:vAlign w:val="center"/>
          </w:tcPr>
          <w:p w14:paraId="17F089B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易若峰</w:t>
            </w:r>
          </w:p>
        </w:tc>
        <w:tc>
          <w:tcPr>
            <w:tcW w:w="1881" w:type="dxa"/>
            <w:tcBorders>
              <w:top w:val="single" w:color="auto" w:sz="2" w:space="0"/>
              <w:left w:val="single" w:color="auto" w:sz="2" w:space="0"/>
              <w:bottom w:val="single" w:color="auto" w:sz="2" w:space="0"/>
              <w:right w:val="single" w:color="auto" w:sz="2" w:space="0"/>
            </w:tcBorders>
            <w:vAlign w:val="center"/>
          </w:tcPr>
          <w:p w14:paraId="4184C46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星宸科技股份有限公司</w:t>
            </w:r>
          </w:p>
        </w:tc>
        <w:tc>
          <w:tcPr>
            <w:tcW w:w="1144" w:type="dxa"/>
            <w:tcBorders>
              <w:top w:val="single" w:color="auto" w:sz="2" w:space="0"/>
              <w:left w:val="single" w:color="auto" w:sz="2" w:space="0"/>
              <w:bottom w:val="single" w:color="auto" w:sz="2" w:space="0"/>
              <w:right w:val="single" w:color="auto" w:sz="2" w:space="0"/>
            </w:tcBorders>
            <w:vAlign w:val="center"/>
          </w:tcPr>
          <w:p w14:paraId="6BD536B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独立董事</w:t>
            </w:r>
          </w:p>
        </w:tc>
        <w:tc>
          <w:tcPr>
            <w:tcW w:w="1825" w:type="dxa"/>
            <w:tcBorders>
              <w:top w:val="single" w:color="auto" w:sz="2" w:space="0"/>
              <w:left w:val="single" w:color="auto" w:sz="2" w:space="0"/>
              <w:bottom w:val="single" w:color="auto" w:sz="2" w:space="0"/>
              <w:right w:val="single" w:color="auto" w:sz="2" w:space="0"/>
            </w:tcBorders>
            <w:vAlign w:val="center"/>
          </w:tcPr>
          <w:p w14:paraId="667B058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2024年05月20日</w:t>
            </w:r>
          </w:p>
        </w:tc>
        <w:tc>
          <w:tcPr>
            <w:tcW w:w="1825" w:type="dxa"/>
            <w:tcBorders>
              <w:top w:val="single" w:color="auto" w:sz="2" w:space="0"/>
              <w:left w:val="single" w:color="auto" w:sz="2" w:space="0"/>
              <w:bottom w:val="single" w:color="auto" w:sz="2" w:space="0"/>
              <w:right w:val="single" w:color="auto" w:sz="2" w:space="0"/>
            </w:tcBorders>
            <w:vAlign w:val="center"/>
          </w:tcPr>
          <w:p w14:paraId="29BCC734">
            <w:pPr>
              <w:spacing w:before="0" w:after="0" w:line="240" w:lineRule="exact"/>
              <w:jc w:val="left"/>
              <w:rPr>
                <w:rFonts w:hint="default" w:ascii="Times New Roman" w:hAnsi="Times New Roman" w:eastAsia="宋体" w:cs="Times New Roman"/>
                <w:sz w:val="18"/>
                <w:szCs w:val="18"/>
              </w:rPr>
            </w:pPr>
          </w:p>
        </w:tc>
        <w:tc>
          <w:tcPr>
            <w:tcW w:w="1630" w:type="dxa"/>
            <w:tcBorders>
              <w:top w:val="single" w:color="auto" w:sz="2" w:space="0"/>
              <w:left w:val="single" w:color="auto" w:sz="2" w:space="0"/>
              <w:bottom w:val="single" w:color="auto" w:sz="2" w:space="0"/>
              <w:right w:val="single" w:color="auto" w:sz="2" w:space="0"/>
            </w:tcBorders>
            <w:vAlign w:val="center"/>
          </w:tcPr>
          <w:p w14:paraId="7C7D3679">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w:t>
            </w:r>
          </w:p>
        </w:tc>
      </w:tr>
      <w:tr w14:paraId="619ED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31" w:type="dxa"/>
            <w:tcBorders>
              <w:top w:val="single" w:color="auto" w:sz="2" w:space="0"/>
              <w:left w:val="single" w:color="auto" w:sz="2" w:space="0"/>
              <w:bottom w:val="single" w:color="auto" w:sz="2" w:space="0"/>
              <w:right w:val="single" w:color="auto" w:sz="2" w:space="0"/>
            </w:tcBorders>
            <w:vAlign w:val="center"/>
          </w:tcPr>
          <w:p w14:paraId="1CB3E35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易若峰</w:t>
            </w:r>
          </w:p>
        </w:tc>
        <w:tc>
          <w:tcPr>
            <w:tcW w:w="1881" w:type="dxa"/>
            <w:tcBorders>
              <w:top w:val="single" w:color="auto" w:sz="2" w:space="0"/>
              <w:left w:val="single" w:color="auto" w:sz="2" w:space="0"/>
              <w:bottom w:val="single" w:color="auto" w:sz="2" w:space="0"/>
              <w:right w:val="single" w:color="auto" w:sz="2" w:space="0"/>
            </w:tcBorders>
            <w:vAlign w:val="center"/>
          </w:tcPr>
          <w:p w14:paraId="55294D9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广东依顿电子科技股份有限公司</w:t>
            </w:r>
          </w:p>
        </w:tc>
        <w:tc>
          <w:tcPr>
            <w:tcW w:w="1144" w:type="dxa"/>
            <w:tcBorders>
              <w:top w:val="single" w:color="auto" w:sz="2" w:space="0"/>
              <w:left w:val="single" w:color="auto" w:sz="2" w:space="0"/>
              <w:bottom w:val="single" w:color="auto" w:sz="2" w:space="0"/>
              <w:right w:val="single" w:color="auto" w:sz="2" w:space="0"/>
            </w:tcBorders>
            <w:vAlign w:val="center"/>
          </w:tcPr>
          <w:p w14:paraId="5EF16F4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独立董事</w:t>
            </w:r>
          </w:p>
        </w:tc>
        <w:tc>
          <w:tcPr>
            <w:tcW w:w="1825" w:type="dxa"/>
            <w:tcBorders>
              <w:top w:val="single" w:color="auto" w:sz="2" w:space="0"/>
              <w:left w:val="single" w:color="auto" w:sz="2" w:space="0"/>
              <w:bottom w:val="single" w:color="auto" w:sz="2" w:space="0"/>
              <w:right w:val="single" w:color="auto" w:sz="2" w:space="0"/>
            </w:tcBorders>
            <w:vAlign w:val="center"/>
          </w:tcPr>
          <w:p w14:paraId="0313246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2025年12月05日</w:t>
            </w:r>
          </w:p>
        </w:tc>
        <w:tc>
          <w:tcPr>
            <w:tcW w:w="1825" w:type="dxa"/>
            <w:tcBorders>
              <w:top w:val="single" w:color="auto" w:sz="2" w:space="0"/>
              <w:left w:val="single" w:color="auto" w:sz="2" w:space="0"/>
              <w:bottom w:val="single" w:color="auto" w:sz="2" w:space="0"/>
              <w:right w:val="single" w:color="auto" w:sz="2" w:space="0"/>
            </w:tcBorders>
            <w:vAlign w:val="center"/>
          </w:tcPr>
          <w:p w14:paraId="7A16EC9E">
            <w:pPr>
              <w:spacing w:before="0" w:after="0" w:line="240" w:lineRule="exact"/>
              <w:jc w:val="left"/>
              <w:rPr>
                <w:rFonts w:hint="default" w:ascii="Times New Roman" w:hAnsi="Times New Roman" w:eastAsia="宋体" w:cs="Times New Roman"/>
                <w:sz w:val="18"/>
                <w:szCs w:val="18"/>
              </w:rPr>
            </w:pPr>
          </w:p>
        </w:tc>
        <w:tc>
          <w:tcPr>
            <w:tcW w:w="1630" w:type="dxa"/>
            <w:tcBorders>
              <w:top w:val="single" w:color="auto" w:sz="2" w:space="0"/>
              <w:left w:val="single" w:color="auto" w:sz="2" w:space="0"/>
              <w:bottom w:val="single" w:color="auto" w:sz="2" w:space="0"/>
              <w:right w:val="single" w:color="auto" w:sz="2" w:space="0"/>
            </w:tcBorders>
            <w:vAlign w:val="center"/>
          </w:tcPr>
          <w:p w14:paraId="1C149332">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w:t>
            </w:r>
          </w:p>
        </w:tc>
      </w:tr>
      <w:tr w14:paraId="30B67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31" w:type="dxa"/>
            <w:tcBorders>
              <w:top w:val="single" w:color="auto" w:sz="2" w:space="0"/>
              <w:left w:val="single" w:color="auto" w:sz="2" w:space="0"/>
              <w:bottom w:val="single" w:color="auto" w:sz="2" w:space="0"/>
              <w:right w:val="single" w:color="auto" w:sz="2" w:space="0"/>
            </w:tcBorders>
            <w:shd w:val="clear" w:color="auto" w:fill="D3D3D3"/>
            <w:vAlign w:val="center"/>
          </w:tcPr>
          <w:p w14:paraId="2858D97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在其他单位任职情况的说明</w:t>
            </w:r>
          </w:p>
        </w:tc>
        <w:tc>
          <w:tcPr>
            <w:tcW w:w="8305" w:type="dxa"/>
            <w:gridSpan w:val="5"/>
            <w:tcBorders>
              <w:top w:val="single" w:color="auto" w:sz="2" w:space="0"/>
              <w:left w:val="single" w:color="auto" w:sz="2" w:space="0"/>
              <w:bottom w:val="single" w:color="auto" w:sz="2" w:space="0"/>
              <w:right w:val="single" w:color="auto" w:sz="2" w:space="0"/>
            </w:tcBorders>
            <w:vAlign w:val="center"/>
          </w:tcPr>
          <w:p w14:paraId="66951A90">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r>
    </w:tbl>
    <w:p w14:paraId="6630FBC0">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公司现任及报告期内离任董事和高级管理人员近三年证券监管机构处罚的情况</w:t>
      </w:r>
    </w:p>
    <w:p w14:paraId="04003122">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6B5F5B52">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93" w:name="_Toc988949"/>
      <w:r>
        <w:rPr>
          <w:rFonts w:hint="default" w:ascii="Times New Roman" w:hAnsi="Times New Roman" w:eastAsia="宋体" w:cs="Times New Roman"/>
          <w:b/>
          <w:bCs/>
          <w:sz w:val="21"/>
          <w:szCs w:val="21"/>
        </w:rPr>
        <w:t>3、董事、高级管理人员薪酬情况</w:t>
      </w:r>
      <w:bookmarkEnd w:id="93"/>
    </w:p>
    <w:p w14:paraId="3E2F6E1A">
      <w:pPr>
        <w:keepNext w:val="0"/>
        <w:keepLines w:val="0"/>
        <w:pageBreakBefore w:val="0"/>
        <w:kinsoku/>
        <w:wordWrap/>
        <w:overflowPunct/>
        <w:topLinePunct w:val="0"/>
        <w:autoSpaceDE/>
        <w:autoSpaceDN/>
        <w:bidi w:val="0"/>
        <w:adjustRightInd/>
        <w:snapToGrid/>
        <w:spacing w:line="240" w:lineRule="auto"/>
        <w:ind w:firstLine="360" w:firstLineChars="2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董事、高级管理人员薪酬的决策程序、确定依据、实际支付情况</w:t>
      </w:r>
    </w:p>
    <w:p w14:paraId="33FC71F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textAlignment w:val="auto"/>
        <w:rPr>
          <w:rFonts w:hint="default" w:ascii="Times New Roman" w:hAnsi="Times New Roman" w:eastAsia="等线" w:cs="Times New Roman"/>
          <w:sz w:val="22"/>
          <w:szCs w:val="22"/>
        </w:rPr>
      </w:pPr>
      <w:r>
        <w:rPr>
          <w:rFonts w:hint="default" w:ascii="Times New Roman" w:hAnsi="Times New Roman" w:eastAsia="等线" w:cs="Times New Roman"/>
          <w:sz w:val="18"/>
          <w:szCs w:val="18"/>
        </w:rPr>
        <w:t>1</w:t>
      </w:r>
      <w:r>
        <w:rPr>
          <w:rFonts w:hint="eastAsia" w:eastAsia="等线" w:cs="Times New Roman"/>
          <w:sz w:val="18"/>
          <w:szCs w:val="18"/>
          <w:lang w:eastAsia="zh-CN"/>
        </w:rPr>
        <w:t>、</w:t>
      </w:r>
      <w:r>
        <w:rPr>
          <w:rFonts w:hint="default" w:ascii="Times New Roman" w:hAnsi="Times New Roman" w:eastAsia="宋体" w:cs="Times New Roman"/>
          <w:sz w:val="18"/>
          <w:szCs w:val="18"/>
        </w:rPr>
        <w:t>决策程序：董事会薪酬与考核委员会负责根据董事及经理人员岗位的主要范围、职责、重要性以及其他同行业企业相同岗位的薪酬水平制定薪酬计划或方案；薪酬计划或方案主要包括绩效评价标准、程序及主要评价体系，奖励和处罚的主要方案和制度等；审查公司董事及高级管理人员的履行职责情况并对其进行年度绩效考评；负责对公司薪酬制度执行情况进行监督及公司董事会授予的其他职权。薪酬与考核委员会所提出的公司董事薪酬计划，须经董事会批准同意后，提交股东会审议通过后方可实施；公司高级管理人员的薪酬分配方案须报董事会批准。</w:t>
      </w:r>
    </w:p>
    <w:p w14:paraId="00CAD95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textAlignment w:val="auto"/>
        <w:rPr>
          <w:rFonts w:hint="default" w:ascii="Times New Roman" w:hAnsi="Times New Roman" w:eastAsia="等线" w:cs="Times New Roman"/>
          <w:sz w:val="22"/>
          <w:szCs w:val="22"/>
        </w:rPr>
      </w:pPr>
      <w:r>
        <w:rPr>
          <w:rFonts w:hint="default" w:ascii="Times New Roman" w:hAnsi="Times New Roman" w:eastAsia="等线" w:cs="Times New Roman"/>
          <w:sz w:val="18"/>
          <w:szCs w:val="18"/>
        </w:rPr>
        <w:t>2</w:t>
      </w:r>
      <w:r>
        <w:rPr>
          <w:rFonts w:hint="eastAsia" w:eastAsia="等线" w:cs="Times New Roman"/>
          <w:sz w:val="18"/>
          <w:szCs w:val="18"/>
          <w:lang w:eastAsia="zh-CN"/>
        </w:rPr>
        <w:t>、</w:t>
      </w:r>
      <w:r>
        <w:rPr>
          <w:rFonts w:hint="default" w:ascii="Times New Roman" w:hAnsi="Times New Roman" w:eastAsia="宋体" w:cs="Times New Roman"/>
          <w:sz w:val="18"/>
          <w:szCs w:val="18"/>
        </w:rPr>
        <w:t>确定依据：公司董事、高级管理人员的报酬按照《董事会薪酬与考核委员会实施细则》等规定，结合公司经营绩效、个人工作能力、岗位职责等考核确定并发放。</w:t>
      </w:r>
    </w:p>
    <w:p w14:paraId="68276C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textAlignment w:val="auto"/>
        <w:rPr>
          <w:rFonts w:hint="default" w:ascii="Times New Roman" w:hAnsi="Times New Roman" w:eastAsia="等线" w:cs="Times New Roman"/>
          <w:sz w:val="22"/>
          <w:szCs w:val="22"/>
        </w:rPr>
      </w:pPr>
      <w:r>
        <w:rPr>
          <w:rFonts w:hint="default" w:ascii="Times New Roman" w:hAnsi="Times New Roman" w:eastAsia="等线" w:cs="Times New Roman"/>
          <w:sz w:val="18"/>
          <w:szCs w:val="18"/>
        </w:rPr>
        <w:t>3</w:t>
      </w:r>
      <w:r>
        <w:rPr>
          <w:rFonts w:hint="eastAsia" w:eastAsia="等线" w:cs="Times New Roman"/>
          <w:sz w:val="18"/>
          <w:szCs w:val="18"/>
          <w:lang w:eastAsia="zh-CN"/>
        </w:rPr>
        <w:t>、</w:t>
      </w:r>
      <w:r>
        <w:rPr>
          <w:rFonts w:hint="default" w:ascii="Times New Roman" w:hAnsi="Times New Roman" w:eastAsia="宋体" w:cs="Times New Roman"/>
          <w:sz w:val="18"/>
          <w:szCs w:val="18"/>
        </w:rPr>
        <w:t>实际支付情况：公司董事、高级管理人员的薪酬总额为912.09万元。报告期内，公司第六届董事、高级管理人员共</w:t>
      </w:r>
      <w:r>
        <w:rPr>
          <w:rFonts w:hint="default" w:ascii="Times New Roman" w:hAnsi="Times New Roman" w:eastAsia="等线" w:cs="Times New Roman"/>
          <w:sz w:val="18"/>
          <w:szCs w:val="18"/>
        </w:rPr>
        <w:t>13</w:t>
      </w:r>
      <w:r>
        <w:rPr>
          <w:rFonts w:hint="default" w:ascii="Times New Roman" w:hAnsi="Times New Roman" w:eastAsia="宋体" w:cs="Times New Roman"/>
          <w:sz w:val="18"/>
          <w:szCs w:val="18"/>
        </w:rPr>
        <w:t>人。</w:t>
      </w:r>
    </w:p>
    <w:p w14:paraId="5D51CBF1">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公司报告期内董事和高级管理人员薪酬情况</w:t>
      </w:r>
    </w:p>
    <w:p w14:paraId="31A2C446">
      <w:pPr>
        <w:spacing w:before="120" w:after="12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单位：万元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2B1D9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7A4B88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姓名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820674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性别</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3C781A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年龄</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2B1906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职务</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2E6B98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任职状态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3337B2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从公司获得的税前报酬总额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F38624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是否在公司关联方获取报酬</w:t>
            </w:r>
          </w:p>
        </w:tc>
      </w:tr>
      <w:tr w14:paraId="64340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81D83C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张永明</w:t>
            </w:r>
          </w:p>
        </w:tc>
        <w:tc>
          <w:tcPr>
            <w:tcW w:w="1377" w:type="dxa"/>
            <w:tcBorders>
              <w:top w:val="single" w:color="auto" w:sz="2" w:space="0"/>
              <w:left w:val="single" w:color="auto" w:sz="2" w:space="0"/>
              <w:bottom w:val="single" w:color="auto" w:sz="2" w:space="0"/>
              <w:right w:val="single" w:color="auto" w:sz="2" w:space="0"/>
            </w:tcBorders>
            <w:vAlign w:val="center"/>
          </w:tcPr>
          <w:p w14:paraId="4503CAC4">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14:paraId="764CA2BE">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w:t>
            </w:r>
          </w:p>
        </w:tc>
        <w:tc>
          <w:tcPr>
            <w:tcW w:w="1377" w:type="dxa"/>
            <w:tcBorders>
              <w:top w:val="single" w:color="auto" w:sz="2" w:space="0"/>
              <w:left w:val="single" w:color="auto" w:sz="2" w:space="0"/>
              <w:bottom w:val="single" w:color="auto" w:sz="2" w:space="0"/>
              <w:right w:val="single" w:color="auto" w:sz="2" w:space="0"/>
            </w:tcBorders>
            <w:vAlign w:val="center"/>
          </w:tcPr>
          <w:p w14:paraId="17E28BCC">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董事长</w:t>
            </w:r>
          </w:p>
        </w:tc>
        <w:tc>
          <w:tcPr>
            <w:tcW w:w="1377" w:type="dxa"/>
            <w:tcBorders>
              <w:top w:val="single" w:color="auto" w:sz="2" w:space="0"/>
              <w:left w:val="single" w:color="auto" w:sz="2" w:space="0"/>
              <w:bottom w:val="single" w:color="auto" w:sz="2" w:space="0"/>
              <w:right w:val="single" w:color="auto" w:sz="2" w:space="0"/>
            </w:tcBorders>
            <w:vAlign w:val="center"/>
          </w:tcPr>
          <w:p w14:paraId="4920A571">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0E06039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49.93</w:t>
            </w:r>
          </w:p>
        </w:tc>
        <w:tc>
          <w:tcPr>
            <w:tcW w:w="1377" w:type="dxa"/>
            <w:tcBorders>
              <w:top w:val="single" w:color="auto" w:sz="2" w:space="0"/>
              <w:left w:val="single" w:color="auto" w:sz="2" w:space="0"/>
              <w:bottom w:val="single" w:color="auto" w:sz="2" w:space="0"/>
              <w:right w:val="single" w:color="auto" w:sz="2" w:space="0"/>
            </w:tcBorders>
            <w:vAlign w:val="center"/>
          </w:tcPr>
          <w:p w14:paraId="6672E143">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69123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A67CBE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王新志</w:t>
            </w:r>
          </w:p>
        </w:tc>
        <w:tc>
          <w:tcPr>
            <w:tcW w:w="1377" w:type="dxa"/>
            <w:tcBorders>
              <w:top w:val="single" w:color="auto" w:sz="2" w:space="0"/>
              <w:left w:val="single" w:color="auto" w:sz="2" w:space="0"/>
              <w:bottom w:val="single" w:color="auto" w:sz="2" w:space="0"/>
              <w:right w:val="single" w:color="auto" w:sz="2" w:space="0"/>
            </w:tcBorders>
            <w:vAlign w:val="center"/>
          </w:tcPr>
          <w:p w14:paraId="30962604">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14:paraId="19FF83D4">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w:t>
            </w:r>
          </w:p>
        </w:tc>
        <w:tc>
          <w:tcPr>
            <w:tcW w:w="1377" w:type="dxa"/>
            <w:tcBorders>
              <w:top w:val="single" w:color="auto" w:sz="2" w:space="0"/>
              <w:left w:val="single" w:color="auto" w:sz="2" w:space="0"/>
              <w:bottom w:val="single" w:color="auto" w:sz="2" w:space="0"/>
              <w:right w:val="single" w:color="auto" w:sz="2" w:space="0"/>
            </w:tcBorders>
            <w:vAlign w:val="center"/>
          </w:tcPr>
          <w:p w14:paraId="51C0685B">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副董事长</w:t>
            </w:r>
          </w:p>
        </w:tc>
        <w:tc>
          <w:tcPr>
            <w:tcW w:w="1377" w:type="dxa"/>
            <w:tcBorders>
              <w:top w:val="single" w:color="auto" w:sz="2" w:space="0"/>
              <w:left w:val="single" w:color="auto" w:sz="2" w:space="0"/>
              <w:bottom w:val="single" w:color="auto" w:sz="2" w:space="0"/>
              <w:right w:val="single" w:color="auto" w:sz="2" w:space="0"/>
            </w:tcBorders>
            <w:vAlign w:val="center"/>
          </w:tcPr>
          <w:p w14:paraId="2D2B97C7">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0A788CB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36.88</w:t>
            </w:r>
          </w:p>
        </w:tc>
        <w:tc>
          <w:tcPr>
            <w:tcW w:w="1377" w:type="dxa"/>
            <w:tcBorders>
              <w:top w:val="single" w:color="auto" w:sz="2" w:space="0"/>
              <w:left w:val="single" w:color="auto" w:sz="2" w:space="0"/>
              <w:bottom w:val="single" w:color="auto" w:sz="2" w:space="0"/>
              <w:right w:val="single" w:color="auto" w:sz="2" w:space="0"/>
            </w:tcBorders>
            <w:vAlign w:val="center"/>
          </w:tcPr>
          <w:p w14:paraId="420BE6FB">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306D5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46FA13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孙峰</w:t>
            </w:r>
          </w:p>
        </w:tc>
        <w:tc>
          <w:tcPr>
            <w:tcW w:w="1377" w:type="dxa"/>
            <w:tcBorders>
              <w:top w:val="single" w:color="auto" w:sz="2" w:space="0"/>
              <w:left w:val="single" w:color="auto" w:sz="2" w:space="0"/>
              <w:bottom w:val="single" w:color="auto" w:sz="2" w:space="0"/>
              <w:right w:val="single" w:color="auto" w:sz="2" w:space="0"/>
            </w:tcBorders>
            <w:vAlign w:val="center"/>
          </w:tcPr>
          <w:p w14:paraId="00F04CD4">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14:paraId="30335C71">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w:t>
            </w:r>
          </w:p>
        </w:tc>
        <w:tc>
          <w:tcPr>
            <w:tcW w:w="1377" w:type="dxa"/>
            <w:tcBorders>
              <w:top w:val="single" w:color="auto" w:sz="2" w:space="0"/>
              <w:left w:val="single" w:color="auto" w:sz="2" w:space="0"/>
              <w:bottom w:val="single" w:color="auto" w:sz="2" w:space="0"/>
              <w:right w:val="single" w:color="auto" w:sz="2" w:space="0"/>
            </w:tcBorders>
            <w:vAlign w:val="center"/>
          </w:tcPr>
          <w:p w14:paraId="189C1870">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董事</w:t>
            </w:r>
          </w:p>
        </w:tc>
        <w:tc>
          <w:tcPr>
            <w:tcW w:w="1377" w:type="dxa"/>
            <w:tcBorders>
              <w:top w:val="single" w:color="auto" w:sz="2" w:space="0"/>
              <w:left w:val="single" w:color="auto" w:sz="2" w:space="0"/>
              <w:bottom w:val="single" w:color="auto" w:sz="2" w:space="0"/>
              <w:right w:val="single" w:color="auto" w:sz="2" w:space="0"/>
            </w:tcBorders>
            <w:vAlign w:val="center"/>
          </w:tcPr>
          <w:p w14:paraId="1D770C3E">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0F73185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60677816">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w:t>
            </w:r>
          </w:p>
        </w:tc>
      </w:tr>
      <w:tr w14:paraId="3FF0F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E66D58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韩俊梅</w:t>
            </w:r>
          </w:p>
        </w:tc>
        <w:tc>
          <w:tcPr>
            <w:tcW w:w="1377" w:type="dxa"/>
            <w:tcBorders>
              <w:top w:val="single" w:color="auto" w:sz="2" w:space="0"/>
              <w:left w:val="single" w:color="auto" w:sz="2" w:space="0"/>
              <w:bottom w:val="single" w:color="auto" w:sz="2" w:space="0"/>
              <w:right w:val="single" w:color="auto" w:sz="2" w:space="0"/>
            </w:tcBorders>
            <w:vAlign w:val="center"/>
          </w:tcPr>
          <w:p w14:paraId="281ECA6E">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14:paraId="16A91D7A">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w:t>
            </w:r>
          </w:p>
        </w:tc>
        <w:tc>
          <w:tcPr>
            <w:tcW w:w="1377" w:type="dxa"/>
            <w:tcBorders>
              <w:top w:val="single" w:color="auto" w:sz="2" w:space="0"/>
              <w:left w:val="single" w:color="auto" w:sz="2" w:space="0"/>
              <w:bottom w:val="single" w:color="auto" w:sz="2" w:space="0"/>
              <w:right w:val="single" w:color="auto" w:sz="2" w:space="0"/>
            </w:tcBorders>
            <w:vAlign w:val="center"/>
          </w:tcPr>
          <w:p w14:paraId="6132AA12">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独立董事</w:t>
            </w:r>
          </w:p>
        </w:tc>
        <w:tc>
          <w:tcPr>
            <w:tcW w:w="1377" w:type="dxa"/>
            <w:tcBorders>
              <w:top w:val="single" w:color="auto" w:sz="2" w:space="0"/>
              <w:left w:val="single" w:color="auto" w:sz="2" w:space="0"/>
              <w:bottom w:val="single" w:color="auto" w:sz="2" w:space="0"/>
              <w:right w:val="single" w:color="auto" w:sz="2" w:space="0"/>
            </w:tcBorders>
            <w:vAlign w:val="center"/>
          </w:tcPr>
          <w:p w14:paraId="03449A13">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5625545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w:t>
            </w:r>
          </w:p>
        </w:tc>
        <w:tc>
          <w:tcPr>
            <w:tcW w:w="1377" w:type="dxa"/>
            <w:tcBorders>
              <w:top w:val="single" w:color="auto" w:sz="2" w:space="0"/>
              <w:left w:val="single" w:color="auto" w:sz="2" w:space="0"/>
              <w:bottom w:val="single" w:color="auto" w:sz="2" w:space="0"/>
              <w:right w:val="single" w:color="auto" w:sz="2" w:space="0"/>
            </w:tcBorders>
            <w:vAlign w:val="center"/>
          </w:tcPr>
          <w:p w14:paraId="78DF725C">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2EBCC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E5636B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邓超</w:t>
            </w:r>
          </w:p>
        </w:tc>
        <w:tc>
          <w:tcPr>
            <w:tcW w:w="1377" w:type="dxa"/>
            <w:tcBorders>
              <w:top w:val="single" w:color="auto" w:sz="2" w:space="0"/>
              <w:left w:val="single" w:color="auto" w:sz="2" w:space="0"/>
              <w:bottom w:val="single" w:color="auto" w:sz="2" w:space="0"/>
              <w:right w:val="single" w:color="auto" w:sz="2" w:space="0"/>
            </w:tcBorders>
            <w:vAlign w:val="center"/>
          </w:tcPr>
          <w:p w14:paraId="41587728">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14:paraId="1EA9935D">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w:t>
            </w:r>
          </w:p>
        </w:tc>
        <w:tc>
          <w:tcPr>
            <w:tcW w:w="1377" w:type="dxa"/>
            <w:tcBorders>
              <w:top w:val="single" w:color="auto" w:sz="2" w:space="0"/>
              <w:left w:val="single" w:color="auto" w:sz="2" w:space="0"/>
              <w:bottom w:val="single" w:color="auto" w:sz="2" w:space="0"/>
              <w:right w:val="single" w:color="auto" w:sz="2" w:space="0"/>
            </w:tcBorders>
            <w:vAlign w:val="center"/>
          </w:tcPr>
          <w:p w14:paraId="53DC9DC1">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独立董事</w:t>
            </w:r>
          </w:p>
        </w:tc>
        <w:tc>
          <w:tcPr>
            <w:tcW w:w="1377" w:type="dxa"/>
            <w:tcBorders>
              <w:top w:val="single" w:color="auto" w:sz="2" w:space="0"/>
              <w:left w:val="single" w:color="auto" w:sz="2" w:space="0"/>
              <w:bottom w:val="single" w:color="auto" w:sz="2" w:space="0"/>
              <w:right w:val="single" w:color="auto" w:sz="2" w:space="0"/>
            </w:tcBorders>
            <w:vAlign w:val="center"/>
          </w:tcPr>
          <w:p w14:paraId="1FBAF026">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2A5588B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w:t>
            </w:r>
          </w:p>
        </w:tc>
        <w:tc>
          <w:tcPr>
            <w:tcW w:w="1377" w:type="dxa"/>
            <w:tcBorders>
              <w:top w:val="single" w:color="auto" w:sz="2" w:space="0"/>
              <w:left w:val="single" w:color="auto" w:sz="2" w:space="0"/>
              <w:bottom w:val="single" w:color="auto" w:sz="2" w:space="0"/>
              <w:right w:val="single" w:color="auto" w:sz="2" w:space="0"/>
            </w:tcBorders>
            <w:vAlign w:val="center"/>
          </w:tcPr>
          <w:p w14:paraId="0E685BB7">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76338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7329CE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赵峰</w:t>
            </w:r>
          </w:p>
        </w:tc>
        <w:tc>
          <w:tcPr>
            <w:tcW w:w="1377" w:type="dxa"/>
            <w:tcBorders>
              <w:top w:val="single" w:color="auto" w:sz="2" w:space="0"/>
              <w:left w:val="single" w:color="auto" w:sz="2" w:space="0"/>
              <w:bottom w:val="single" w:color="auto" w:sz="2" w:space="0"/>
              <w:right w:val="single" w:color="auto" w:sz="2" w:space="0"/>
            </w:tcBorders>
            <w:vAlign w:val="center"/>
          </w:tcPr>
          <w:p w14:paraId="4FD05332">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14:paraId="7FA90376">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w:t>
            </w:r>
          </w:p>
        </w:tc>
        <w:tc>
          <w:tcPr>
            <w:tcW w:w="1377" w:type="dxa"/>
            <w:tcBorders>
              <w:top w:val="single" w:color="auto" w:sz="2" w:space="0"/>
              <w:left w:val="single" w:color="auto" w:sz="2" w:space="0"/>
              <w:bottom w:val="single" w:color="auto" w:sz="2" w:space="0"/>
              <w:right w:val="single" w:color="auto" w:sz="2" w:space="0"/>
            </w:tcBorders>
            <w:vAlign w:val="center"/>
          </w:tcPr>
          <w:p w14:paraId="71A265BC">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总经理</w:t>
            </w:r>
          </w:p>
        </w:tc>
        <w:tc>
          <w:tcPr>
            <w:tcW w:w="1377" w:type="dxa"/>
            <w:tcBorders>
              <w:top w:val="single" w:color="auto" w:sz="2" w:space="0"/>
              <w:left w:val="single" w:color="auto" w:sz="2" w:space="0"/>
              <w:bottom w:val="single" w:color="auto" w:sz="2" w:space="0"/>
              <w:right w:val="single" w:color="auto" w:sz="2" w:space="0"/>
            </w:tcBorders>
            <w:vAlign w:val="center"/>
          </w:tcPr>
          <w:p w14:paraId="51A720D1">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7BDA75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202.13</w:t>
            </w:r>
          </w:p>
        </w:tc>
        <w:tc>
          <w:tcPr>
            <w:tcW w:w="1377" w:type="dxa"/>
            <w:tcBorders>
              <w:top w:val="single" w:color="auto" w:sz="2" w:space="0"/>
              <w:left w:val="single" w:color="auto" w:sz="2" w:space="0"/>
              <w:bottom w:val="single" w:color="auto" w:sz="2" w:space="0"/>
              <w:right w:val="single" w:color="auto" w:sz="2" w:space="0"/>
            </w:tcBorders>
            <w:vAlign w:val="center"/>
          </w:tcPr>
          <w:p w14:paraId="65358282">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2C486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5A8A62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赵军会</w:t>
            </w:r>
          </w:p>
        </w:tc>
        <w:tc>
          <w:tcPr>
            <w:tcW w:w="1377" w:type="dxa"/>
            <w:tcBorders>
              <w:top w:val="single" w:color="auto" w:sz="2" w:space="0"/>
              <w:left w:val="single" w:color="auto" w:sz="2" w:space="0"/>
              <w:bottom w:val="single" w:color="auto" w:sz="2" w:space="0"/>
              <w:right w:val="single" w:color="auto" w:sz="2" w:space="0"/>
            </w:tcBorders>
            <w:vAlign w:val="center"/>
          </w:tcPr>
          <w:p w14:paraId="7A5AB9F5">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14:paraId="3FCADB15">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w:t>
            </w:r>
          </w:p>
        </w:tc>
        <w:tc>
          <w:tcPr>
            <w:tcW w:w="1377" w:type="dxa"/>
            <w:tcBorders>
              <w:top w:val="single" w:color="auto" w:sz="2" w:space="0"/>
              <w:left w:val="single" w:color="auto" w:sz="2" w:space="0"/>
              <w:bottom w:val="single" w:color="auto" w:sz="2" w:space="0"/>
              <w:right w:val="single" w:color="auto" w:sz="2" w:space="0"/>
            </w:tcBorders>
            <w:vAlign w:val="center"/>
          </w:tcPr>
          <w:p w14:paraId="5A20BB42">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常务副总经理</w:t>
            </w:r>
          </w:p>
        </w:tc>
        <w:tc>
          <w:tcPr>
            <w:tcW w:w="1377" w:type="dxa"/>
            <w:tcBorders>
              <w:top w:val="single" w:color="auto" w:sz="2" w:space="0"/>
              <w:left w:val="single" w:color="auto" w:sz="2" w:space="0"/>
              <w:bottom w:val="single" w:color="auto" w:sz="2" w:space="0"/>
              <w:right w:val="single" w:color="auto" w:sz="2" w:space="0"/>
            </w:tcBorders>
            <w:vAlign w:val="center"/>
          </w:tcPr>
          <w:p w14:paraId="0EA6BF55">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6EB9F53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96.94</w:t>
            </w:r>
          </w:p>
        </w:tc>
        <w:tc>
          <w:tcPr>
            <w:tcW w:w="1377" w:type="dxa"/>
            <w:tcBorders>
              <w:top w:val="single" w:color="auto" w:sz="2" w:space="0"/>
              <w:left w:val="single" w:color="auto" w:sz="2" w:space="0"/>
              <w:bottom w:val="single" w:color="auto" w:sz="2" w:space="0"/>
              <w:right w:val="single" w:color="auto" w:sz="2" w:space="0"/>
            </w:tcBorders>
            <w:vAlign w:val="center"/>
          </w:tcPr>
          <w:p w14:paraId="2513F4B9">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646D3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BB817C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徐庆荣</w:t>
            </w:r>
          </w:p>
        </w:tc>
        <w:tc>
          <w:tcPr>
            <w:tcW w:w="1377" w:type="dxa"/>
            <w:tcBorders>
              <w:top w:val="single" w:color="auto" w:sz="2" w:space="0"/>
              <w:left w:val="single" w:color="auto" w:sz="2" w:space="0"/>
              <w:bottom w:val="single" w:color="auto" w:sz="2" w:space="0"/>
              <w:right w:val="single" w:color="auto" w:sz="2" w:space="0"/>
            </w:tcBorders>
            <w:vAlign w:val="center"/>
          </w:tcPr>
          <w:p w14:paraId="56E2C275">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14:paraId="21D674F3">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w:t>
            </w:r>
          </w:p>
        </w:tc>
        <w:tc>
          <w:tcPr>
            <w:tcW w:w="1377" w:type="dxa"/>
            <w:tcBorders>
              <w:top w:val="single" w:color="auto" w:sz="2" w:space="0"/>
              <w:left w:val="single" w:color="auto" w:sz="2" w:space="0"/>
              <w:bottom w:val="single" w:color="auto" w:sz="2" w:space="0"/>
              <w:right w:val="single" w:color="auto" w:sz="2" w:space="0"/>
            </w:tcBorders>
            <w:vAlign w:val="center"/>
          </w:tcPr>
          <w:p w14:paraId="0C4D5E2A">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副总经理、董事会秘书</w:t>
            </w:r>
          </w:p>
        </w:tc>
        <w:tc>
          <w:tcPr>
            <w:tcW w:w="1377" w:type="dxa"/>
            <w:tcBorders>
              <w:top w:val="single" w:color="auto" w:sz="2" w:space="0"/>
              <w:left w:val="single" w:color="auto" w:sz="2" w:space="0"/>
              <w:bottom w:val="single" w:color="auto" w:sz="2" w:space="0"/>
              <w:right w:val="single" w:color="auto" w:sz="2" w:space="0"/>
            </w:tcBorders>
            <w:vAlign w:val="center"/>
          </w:tcPr>
          <w:p w14:paraId="6D9C9628">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1F13DC2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92.31</w:t>
            </w:r>
          </w:p>
        </w:tc>
        <w:tc>
          <w:tcPr>
            <w:tcW w:w="1377" w:type="dxa"/>
            <w:tcBorders>
              <w:top w:val="single" w:color="auto" w:sz="2" w:space="0"/>
              <w:left w:val="single" w:color="auto" w:sz="2" w:space="0"/>
              <w:bottom w:val="single" w:color="auto" w:sz="2" w:space="0"/>
              <w:right w:val="single" w:color="auto" w:sz="2" w:space="0"/>
            </w:tcBorders>
            <w:vAlign w:val="center"/>
          </w:tcPr>
          <w:p w14:paraId="3E3DE8EF">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3B78A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C42F7B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尤臻</w:t>
            </w:r>
          </w:p>
        </w:tc>
        <w:tc>
          <w:tcPr>
            <w:tcW w:w="1377" w:type="dxa"/>
            <w:tcBorders>
              <w:top w:val="single" w:color="auto" w:sz="2" w:space="0"/>
              <w:left w:val="single" w:color="auto" w:sz="2" w:space="0"/>
              <w:bottom w:val="single" w:color="auto" w:sz="2" w:space="0"/>
              <w:right w:val="single" w:color="auto" w:sz="2" w:space="0"/>
            </w:tcBorders>
            <w:vAlign w:val="center"/>
          </w:tcPr>
          <w:p w14:paraId="6537EFFD">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14:paraId="547AE18F">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w:t>
            </w:r>
          </w:p>
        </w:tc>
        <w:tc>
          <w:tcPr>
            <w:tcW w:w="1377" w:type="dxa"/>
            <w:tcBorders>
              <w:top w:val="single" w:color="auto" w:sz="2" w:space="0"/>
              <w:left w:val="single" w:color="auto" w:sz="2" w:space="0"/>
              <w:bottom w:val="single" w:color="auto" w:sz="2" w:space="0"/>
              <w:right w:val="single" w:color="auto" w:sz="2" w:space="0"/>
            </w:tcBorders>
            <w:vAlign w:val="center"/>
          </w:tcPr>
          <w:p w14:paraId="6D1FCAAF">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副总经理</w:t>
            </w:r>
          </w:p>
        </w:tc>
        <w:tc>
          <w:tcPr>
            <w:tcW w:w="1377" w:type="dxa"/>
            <w:tcBorders>
              <w:top w:val="single" w:color="auto" w:sz="2" w:space="0"/>
              <w:left w:val="single" w:color="auto" w:sz="2" w:space="0"/>
              <w:bottom w:val="single" w:color="auto" w:sz="2" w:space="0"/>
              <w:right w:val="single" w:color="auto" w:sz="2" w:space="0"/>
            </w:tcBorders>
            <w:vAlign w:val="center"/>
          </w:tcPr>
          <w:p w14:paraId="71F72583">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0C4CD65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92.2</w:t>
            </w:r>
          </w:p>
        </w:tc>
        <w:tc>
          <w:tcPr>
            <w:tcW w:w="1377" w:type="dxa"/>
            <w:tcBorders>
              <w:top w:val="single" w:color="auto" w:sz="2" w:space="0"/>
              <w:left w:val="single" w:color="auto" w:sz="2" w:space="0"/>
              <w:bottom w:val="single" w:color="auto" w:sz="2" w:space="0"/>
              <w:right w:val="single" w:color="auto" w:sz="2" w:space="0"/>
            </w:tcBorders>
            <w:vAlign w:val="center"/>
          </w:tcPr>
          <w:p w14:paraId="40583870">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40A3D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FC09A1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侯怀信</w:t>
            </w:r>
          </w:p>
        </w:tc>
        <w:tc>
          <w:tcPr>
            <w:tcW w:w="1377" w:type="dxa"/>
            <w:tcBorders>
              <w:top w:val="single" w:color="auto" w:sz="2" w:space="0"/>
              <w:left w:val="single" w:color="auto" w:sz="2" w:space="0"/>
              <w:bottom w:val="single" w:color="auto" w:sz="2" w:space="0"/>
              <w:right w:val="single" w:color="auto" w:sz="2" w:space="0"/>
            </w:tcBorders>
            <w:vAlign w:val="center"/>
          </w:tcPr>
          <w:p w14:paraId="5E572466">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14:paraId="066638E3">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w:t>
            </w:r>
          </w:p>
        </w:tc>
        <w:tc>
          <w:tcPr>
            <w:tcW w:w="1377" w:type="dxa"/>
            <w:tcBorders>
              <w:top w:val="single" w:color="auto" w:sz="2" w:space="0"/>
              <w:left w:val="single" w:color="auto" w:sz="2" w:space="0"/>
              <w:bottom w:val="single" w:color="auto" w:sz="2" w:space="0"/>
              <w:right w:val="single" w:color="auto" w:sz="2" w:space="0"/>
            </w:tcBorders>
            <w:vAlign w:val="center"/>
          </w:tcPr>
          <w:p w14:paraId="0108AB0F">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副总经理</w:t>
            </w:r>
          </w:p>
        </w:tc>
        <w:tc>
          <w:tcPr>
            <w:tcW w:w="1377" w:type="dxa"/>
            <w:tcBorders>
              <w:top w:val="single" w:color="auto" w:sz="2" w:space="0"/>
              <w:left w:val="single" w:color="auto" w:sz="2" w:space="0"/>
              <w:bottom w:val="single" w:color="auto" w:sz="2" w:space="0"/>
              <w:right w:val="single" w:color="auto" w:sz="2" w:space="0"/>
            </w:tcBorders>
            <w:vAlign w:val="center"/>
          </w:tcPr>
          <w:p w14:paraId="7DA4995D">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1EDFEAF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79.75</w:t>
            </w:r>
          </w:p>
        </w:tc>
        <w:tc>
          <w:tcPr>
            <w:tcW w:w="1377" w:type="dxa"/>
            <w:tcBorders>
              <w:top w:val="single" w:color="auto" w:sz="2" w:space="0"/>
              <w:left w:val="single" w:color="auto" w:sz="2" w:space="0"/>
              <w:bottom w:val="single" w:color="auto" w:sz="2" w:space="0"/>
              <w:right w:val="single" w:color="auto" w:sz="2" w:space="0"/>
            </w:tcBorders>
            <w:vAlign w:val="center"/>
          </w:tcPr>
          <w:p w14:paraId="372759A7">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1B8AB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5B87AD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林祥贵</w:t>
            </w:r>
          </w:p>
        </w:tc>
        <w:tc>
          <w:tcPr>
            <w:tcW w:w="1377" w:type="dxa"/>
            <w:tcBorders>
              <w:top w:val="single" w:color="auto" w:sz="2" w:space="0"/>
              <w:left w:val="single" w:color="auto" w:sz="2" w:space="0"/>
              <w:bottom w:val="single" w:color="auto" w:sz="2" w:space="0"/>
              <w:right w:val="single" w:color="auto" w:sz="2" w:space="0"/>
            </w:tcBorders>
            <w:vAlign w:val="center"/>
          </w:tcPr>
          <w:p w14:paraId="1914C63B">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14:paraId="5A528699">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w:t>
            </w:r>
          </w:p>
        </w:tc>
        <w:tc>
          <w:tcPr>
            <w:tcW w:w="1377" w:type="dxa"/>
            <w:tcBorders>
              <w:top w:val="single" w:color="auto" w:sz="2" w:space="0"/>
              <w:left w:val="single" w:color="auto" w:sz="2" w:space="0"/>
              <w:bottom w:val="single" w:color="auto" w:sz="2" w:space="0"/>
              <w:right w:val="single" w:color="auto" w:sz="2" w:space="0"/>
            </w:tcBorders>
            <w:vAlign w:val="center"/>
          </w:tcPr>
          <w:p w14:paraId="3D6C8636">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副总经理</w:t>
            </w:r>
          </w:p>
        </w:tc>
        <w:tc>
          <w:tcPr>
            <w:tcW w:w="1377" w:type="dxa"/>
            <w:tcBorders>
              <w:top w:val="single" w:color="auto" w:sz="2" w:space="0"/>
              <w:left w:val="single" w:color="auto" w:sz="2" w:space="0"/>
              <w:bottom w:val="single" w:color="auto" w:sz="2" w:space="0"/>
              <w:right w:val="single" w:color="auto" w:sz="2" w:space="0"/>
            </w:tcBorders>
            <w:vAlign w:val="center"/>
          </w:tcPr>
          <w:p w14:paraId="30F14D6D">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6B2651F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79.92</w:t>
            </w:r>
          </w:p>
        </w:tc>
        <w:tc>
          <w:tcPr>
            <w:tcW w:w="1377" w:type="dxa"/>
            <w:tcBorders>
              <w:top w:val="single" w:color="auto" w:sz="2" w:space="0"/>
              <w:left w:val="single" w:color="auto" w:sz="2" w:space="0"/>
              <w:bottom w:val="single" w:color="auto" w:sz="2" w:space="0"/>
              <w:right w:val="single" w:color="auto" w:sz="2" w:space="0"/>
            </w:tcBorders>
            <w:vAlign w:val="center"/>
          </w:tcPr>
          <w:p w14:paraId="5D710A5D">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26599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CC9076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张伟坤</w:t>
            </w:r>
          </w:p>
        </w:tc>
        <w:tc>
          <w:tcPr>
            <w:tcW w:w="1377" w:type="dxa"/>
            <w:tcBorders>
              <w:top w:val="single" w:color="auto" w:sz="2" w:space="0"/>
              <w:left w:val="single" w:color="auto" w:sz="2" w:space="0"/>
              <w:bottom w:val="single" w:color="auto" w:sz="2" w:space="0"/>
              <w:right w:val="single" w:color="auto" w:sz="2" w:space="0"/>
            </w:tcBorders>
            <w:vAlign w:val="center"/>
          </w:tcPr>
          <w:p w14:paraId="42A577B1">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14:paraId="767B1E3F">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w:t>
            </w:r>
          </w:p>
        </w:tc>
        <w:tc>
          <w:tcPr>
            <w:tcW w:w="1377" w:type="dxa"/>
            <w:tcBorders>
              <w:top w:val="single" w:color="auto" w:sz="2" w:space="0"/>
              <w:left w:val="single" w:color="auto" w:sz="2" w:space="0"/>
              <w:bottom w:val="single" w:color="auto" w:sz="2" w:space="0"/>
              <w:right w:val="single" w:color="auto" w:sz="2" w:space="0"/>
            </w:tcBorders>
            <w:vAlign w:val="center"/>
          </w:tcPr>
          <w:p w14:paraId="574BB299">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副总经理</w:t>
            </w:r>
          </w:p>
        </w:tc>
        <w:tc>
          <w:tcPr>
            <w:tcW w:w="1377" w:type="dxa"/>
            <w:tcBorders>
              <w:top w:val="single" w:color="auto" w:sz="2" w:space="0"/>
              <w:left w:val="single" w:color="auto" w:sz="2" w:space="0"/>
              <w:bottom w:val="single" w:color="auto" w:sz="2" w:space="0"/>
              <w:right w:val="single" w:color="auto" w:sz="2" w:space="0"/>
            </w:tcBorders>
            <w:vAlign w:val="center"/>
          </w:tcPr>
          <w:p w14:paraId="65D9048C">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5AD352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79.5</w:t>
            </w:r>
          </w:p>
        </w:tc>
        <w:tc>
          <w:tcPr>
            <w:tcW w:w="1377" w:type="dxa"/>
            <w:tcBorders>
              <w:top w:val="single" w:color="auto" w:sz="2" w:space="0"/>
              <w:left w:val="single" w:color="auto" w:sz="2" w:space="0"/>
              <w:bottom w:val="single" w:color="auto" w:sz="2" w:space="0"/>
              <w:right w:val="single" w:color="auto" w:sz="2" w:space="0"/>
            </w:tcBorders>
            <w:vAlign w:val="center"/>
          </w:tcPr>
          <w:p w14:paraId="077F0F44">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68A83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1395F9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易若峰</w:t>
            </w:r>
          </w:p>
        </w:tc>
        <w:tc>
          <w:tcPr>
            <w:tcW w:w="1377" w:type="dxa"/>
            <w:tcBorders>
              <w:top w:val="single" w:color="auto" w:sz="2" w:space="0"/>
              <w:left w:val="single" w:color="auto" w:sz="2" w:space="0"/>
              <w:bottom w:val="single" w:color="auto" w:sz="2" w:space="0"/>
              <w:right w:val="single" w:color="auto" w:sz="2" w:space="0"/>
            </w:tcBorders>
            <w:vAlign w:val="center"/>
          </w:tcPr>
          <w:p w14:paraId="50B0ACD9">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14:paraId="0383F366">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w:t>
            </w:r>
          </w:p>
        </w:tc>
        <w:tc>
          <w:tcPr>
            <w:tcW w:w="1377" w:type="dxa"/>
            <w:tcBorders>
              <w:top w:val="single" w:color="auto" w:sz="2" w:space="0"/>
              <w:left w:val="single" w:color="auto" w:sz="2" w:space="0"/>
              <w:bottom w:val="single" w:color="auto" w:sz="2" w:space="0"/>
              <w:right w:val="single" w:color="auto" w:sz="2" w:space="0"/>
            </w:tcBorders>
            <w:vAlign w:val="center"/>
          </w:tcPr>
          <w:p w14:paraId="331E3E7D">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财务负责人</w:t>
            </w:r>
          </w:p>
        </w:tc>
        <w:tc>
          <w:tcPr>
            <w:tcW w:w="1377" w:type="dxa"/>
            <w:tcBorders>
              <w:top w:val="single" w:color="auto" w:sz="2" w:space="0"/>
              <w:left w:val="single" w:color="auto" w:sz="2" w:space="0"/>
              <w:bottom w:val="single" w:color="auto" w:sz="2" w:space="0"/>
              <w:right w:val="single" w:color="auto" w:sz="2" w:space="0"/>
            </w:tcBorders>
            <w:vAlign w:val="center"/>
          </w:tcPr>
          <w:p w14:paraId="4AB62095">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6B56D2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82.53</w:t>
            </w:r>
          </w:p>
        </w:tc>
        <w:tc>
          <w:tcPr>
            <w:tcW w:w="1377" w:type="dxa"/>
            <w:tcBorders>
              <w:top w:val="single" w:color="auto" w:sz="2" w:space="0"/>
              <w:left w:val="single" w:color="auto" w:sz="2" w:space="0"/>
              <w:bottom w:val="single" w:color="auto" w:sz="2" w:space="0"/>
              <w:right w:val="single" w:color="auto" w:sz="2" w:space="0"/>
            </w:tcBorders>
            <w:vAlign w:val="center"/>
          </w:tcPr>
          <w:p w14:paraId="267517D9">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27E6D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DD5F0A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5C7037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19F25C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7C85FB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90D5D1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14:paraId="3E5E0C2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912.09</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05A1A3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r>
    </w:tbl>
    <w:p w14:paraId="7C5E9093">
      <w:pPr>
        <w:spacing w:before="0" w:after="0" w:line="0" w:lineRule="exact"/>
        <w:jc w:val="left"/>
        <w:rPr>
          <w:rFonts w:hint="default" w:ascii="Times New Roman" w:hAnsi="Times New Roman" w:cs="Times New Roman"/>
        </w:rPr>
      </w:pP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12875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41CDEF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报告期末全体董事和高级管理人员实际获得薪酬的考核依据</w:t>
            </w:r>
          </w:p>
        </w:tc>
        <w:tc>
          <w:tcPr>
            <w:tcW w:w="4820" w:type="dxa"/>
            <w:tcBorders>
              <w:top w:val="single" w:color="auto" w:sz="2" w:space="0"/>
              <w:left w:val="single" w:color="auto" w:sz="2" w:space="0"/>
              <w:bottom w:val="single" w:color="auto" w:sz="2" w:space="0"/>
              <w:right w:val="single" w:color="auto" w:sz="2" w:space="0"/>
            </w:tcBorders>
            <w:vAlign w:val="center"/>
          </w:tcPr>
          <w:p w14:paraId="3C962A6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根据公司《薪酬管理规定》及薪酬与考核委员会制定的董事、高级管理人员薪酬与考核方案执行。</w:t>
            </w:r>
          </w:p>
        </w:tc>
      </w:tr>
      <w:tr w14:paraId="5EB38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A85F22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报告期末全体董事和高级管理人员实际获得薪酬的考核完成情况</w:t>
            </w:r>
          </w:p>
        </w:tc>
        <w:tc>
          <w:tcPr>
            <w:tcW w:w="4820" w:type="dxa"/>
            <w:tcBorders>
              <w:top w:val="single" w:color="auto" w:sz="2" w:space="0"/>
              <w:left w:val="single" w:color="auto" w:sz="2" w:space="0"/>
              <w:bottom w:val="single" w:color="auto" w:sz="2" w:space="0"/>
              <w:right w:val="single" w:color="auto" w:sz="2" w:space="0"/>
            </w:tcBorders>
            <w:vAlign w:val="center"/>
          </w:tcPr>
          <w:p w14:paraId="325823B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2025年度，公司薪酬与考核委员会严格按照规定对全体在职董事、高级管理人员进行了年度绩效考核，考核结果已经公司董事会审议通过，薪酬已按考核结果执行。</w:t>
            </w:r>
          </w:p>
        </w:tc>
      </w:tr>
      <w:tr w14:paraId="0F436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2B73B1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报告期末全体董事和高级管理人员实际获得薪酬的递延支付安排</w:t>
            </w:r>
          </w:p>
        </w:tc>
        <w:tc>
          <w:tcPr>
            <w:tcW w:w="4820" w:type="dxa"/>
            <w:tcBorders>
              <w:top w:val="single" w:color="auto" w:sz="2" w:space="0"/>
              <w:left w:val="single" w:color="auto" w:sz="2" w:space="0"/>
              <w:bottom w:val="single" w:color="auto" w:sz="2" w:space="0"/>
              <w:right w:val="single" w:color="auto" w:sz="2" w:space="0"/>
            </w:tcBorders>
            <w:vAlign w:val="center"/>
          </w:tcPr>
          <w:p w14:paraId="4F51733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公司目前无董事、高级管理人员薪酬递延支付安排。</w:t>
            </w:r>
          </w:p>
        </w:tc>
      </w:tr>
      <w:tr w14:paraId="52CB3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0BDECCB">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报告期末全体董事和高级管理人员实际获得薪酬的止付追索情况</w:t>
            </w:r>
          </w:p>
        </w:tc>
        <w:tc>
          <w:tcPr>
            <w:tcW w:w="4820" w:type="dxa"/>
            <w:tcBorders>
              <w:top w:val="single" w:color="auto" w:sz="2" w:space="0"/>
              <w:left w:val="single" w:color="auto" w:sz="2" w:space="0"/>
              <w:bottom w:val="single" w:color="auto" w:sz="2" w:space="0"/>
              <w:right w:val="single" w:color="auto" w:sz="2" w:space="0"/>
            </w:tcBorders>
            <w:vAlign w:val="center"/>
          </w:tcPr>
          <w:p w14:paraId="15B5977F">
            <w:pPr>
              <w:spacing w:before="0" w:after="0" w:line="240" w:lineRule="exact"/>
              <w:jc w:val="left"/>
              <w:rPr>
                <w:rFonts w:hint="eastAsia" w:ascii="Times New Roman" w:hAnsi="Times New Roman" w:eastAsia="宋体" w:cs="Times New Roman"/>
                <w:sz w:val="18"/>
                <w:szCs w:val="18"/>
                <w:lang w:eastAsia="zh-CN"/>
              </w:rPr>
            </w:pPr>
            <w:r>
              <w:rPr>
                <w:rFonts w:hint="default" w:ascii="Times New Roman" w:hAnsi="Times New Roman" w:eastAsia="宋体" w:cs="Times New Roman"/>
                <w:sz w:val="18"/>
                <w:szCs w:val="18"/>
              </w:rPr>
              <w:t>2025年度，公司无应披露的董事、高级管理人员薪酬止付、追索事项</w:t>
            </w:r>
            <w:r>
              <w:rPr>
                <w:rFonts w:hint="eastAsia" w:cs="Times New Roman"/>
                <w:sz w:val="18"/>
                <w:szCs w:val="18"/>
                <w:lang w:eastAsia="zh-CN"/>
              </w:rPr>
              <w:t>。</w:t>
            </w:r>
          </w:p>
        </w:tc>
      </w:tr>
    </w:tbl>
    <w:p w14:paraId="59C6C031">
      <w:pPr>
        <w:spacing w:before="0" w:after="0" w:line="0" w:lineRule="exact"/>
        <w:jc w:val="left"/>
        <w:rPr>
          <w:rFonts w:hint="default" w:ascii="Times New Roman" w:hAnsi="Times New Roman" w:cs="Times New Roman"/>
        </w:rPr>
      </w:pPr>
    </w:p>
    <w:p w14:paraId="5F92E32B">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其他情况说明</w:t>
      </w:r>
    </w:p>
    <w:p w14:paraId="04FAF67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6710D5E5">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94" w:name="_Toc988950"/>
      <w:bookmarkStart w:id="95" w:name="_Toc9690"/>
      <w:r>
        <w:rPr>
          <w:rFonts w:hint="default" w:ascii="Times New Roman" w:hAnsi="Times New Roman" w:eastAsia="宋体" w:cs="Times New Roman"/>
          <w:b/>
          <w:bCs/>
          <w:sz w:val="24"/>
          <w:szCs w:val="24"/>
        </w:rPr>
        <w:t>七、报告期内董事履行职责的情况</w:t>
      </w:r>
      <w:bookmarkEnd w:id="94"/>
      <w:bookmarkEnd w:id="95"/>
    </w:p>
    <w:p w14:paraId="67E9F2AD">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96" w:name="_Toc988951"/>
      <w:r>
        <w:rPr>
          <w:rFonts w:hint="default" w:ascii="Times New Roman" w:hAnsi="Times New Roman" w:eastAsia="宋体" w:cs="Times New Roman"/>
          <w:b/>
          <w:bCs/>
          <w:sz w:val="21"/>
          <w:szCs w:val="21"/>
        </w:rPr>
        <w:t>1、董事出席董事会及股东会的情况</w:t>
      </w:r>
      <w:bookmarkEnd w:id="96"/>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14:paraId="2CCB4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14:paraId="14D2994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董事出席董事会及股东会的情况</w:t>
            </w:r>
          </w:p>
        </w:tc>
      </w:tr>
      <w:tr w14:paraId="53C0F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AEF6CA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董事姓名</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185C22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本报告期应参加董事会次数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25912C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现场出席董事会次数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43B9A0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以通讯方式参加董事会次数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5C3F1C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委托出席董事会次数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892744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25CE7C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是否连续两次未亲自参加董事会会议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4B4277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出席股东会次数</w:t>
            </w:r>
          </w:p>
        </w:tc>
      </w:tr>
      <w:tr w14:paraId="7DC13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64B872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张永明</w:t>
            </w:r>
          </w:p>
        </w:tc>
        <w:tc>
          <w:tcPr>
            <w:tcW w:w="1205" w:type="dxa"/>
            <w:tcBorders>
              <w:top w:val="single" w:color="auto" w:sz="2" w:space="0"/>
              <w:left w:val="single" w:color="auto" w:sz="2" w:space="0"/>
              <w:bottom w:val="single" w:color="auto" w:sz="2" w:space="0"/>
              <w:right w:val="single" w:color="auto" w:sz="2" w:space="0"/>
            </w:tcBorders>
            <w:vAlign w:val="center"/>
          </w:tcPr>
          <w:p w14:paraId="225EEE5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14:paraId="21C41D4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14:paraId="0DD27E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0FA09D2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7AC339A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59A693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1605CE1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r>
      <w:tr w14:paraId="43A62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DBE9F1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王新志</w:t>
            </w:r>
          </w:p>
        </w:tc>
        <w:tc>
          <w:tcPr>
            <w:tcW w:w="1205" w:type="dxa"/>
            <w:tcBorders>
              <w:top w:val="single" w:color="auto" w:sz="2" w:space="0"/>
              <w:left w:val="single" w:color="auto" w:sz="2" w:space="0"/>
              <w:bottom w:val="single" w:color="auto" w:sz="2" w:space="0"/>
              <w:right w:val="single" w:color="auto" w:sz="2" w:space="0"/>
            </w:tcBorders>
            <w:vAlign w:val="center"/>
          </w:tcPr>
          <w:p w14:paraId="05BCF52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14:paraId="460C758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14:paraId="63DBDA7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439B0EA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3C1FFB7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394FB54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5C54EAF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r>
      <w:tr w14:paraId="6917E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A07529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孙峰</w:t>
            </w:r>
          </w:p>
        </w:tc>
        <w:tc>
          <w:tcPr>
            <w:tcW w:w="1205" w:type="dxa"/>
            <w:tcBorders>
              <w:top w:val="single" w:color="auto" w:sz="2" w:space="0"/>
              <w:left w:val="single" w:color="auto" w:sz="2" w:space="0"/>
              <w:bottom w:val="single" w:color="auto" w:sz="2" w:space="0"/>
              <w:right w:val="single" w:color="auto" w:sz="2" w:space="0"/>
            </w:tcBorders>
            <w:vAlign w:val="center"/>
          </w:tcPr>
          <w:p w14:paraId="613AF99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14:paraId="5A66D0C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36FDD7F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14:paraId="27C127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76BEF5D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4A8496B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361916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r>
      <w:tr w14:paraId="57461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574B97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韩俊梅</w:t>
            </w:r>
          </w:p>
        </w:tc>
        <w:tc>
          <w:tcPr>
            <w:tcW w:w="1205" w:type="dxa"/>
            <w:tcBorders>
              <w:top w:val="single" w:color="auto" w:sz="2" w:space="0"/>
              <w:left w:val="single" w:color="auto" w:sz="2" w:space="0"/>
              <w:bottom w:val="single" w:color="auto" w:sz="2" w:space="0"/>
              <w:right w:val="single" w:color="auto" w:sz="2" w:space="0"/>
            </w:tcBorders>
            <w:vAlign w:val="center"/>
          </w:tcPr>
          <w:p w14:paraId="09CC5BA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14:paraId="2ECDE4C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14:paraId="66F6C6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c>
          <w:tcPr>
            <w:tcW w:w="1205" w:type="dxa"/>
            <w:tcBorders>
              <w:top w:val="single" w:color="auto" w:sz="2" w:space="0"/>
              <w:left w:val="single" w:color="auto" w:sz="2" w:space="0"/>
              <w:bottom w:val="single" w:color="auto" w:sz="2" w:space="0"/>
              <w:right w:val="single" w:color="auto" w:sz="2" w:space="0"/>
            </w:tcBorders>
            <w:vAlign w:val="center"/>
          </w:tcPr>
          <w:p w14:paraId="52702DE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0DF2C0C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0E98BA6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1AEBC5C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r>
      <w:tr w14:paraId="54D2A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AB15CF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邓超</w:t>
            </w:r>
          </w:p>
        </w:tc>
        <w:tc>
          <w:tcPr>
            <w:tcW w:w="1205" w:type="dxa"/>
            <w:tcBorders>
              <w:top w:val="single" w:color="auto" w:sz="2" w:space="0"/>
              <w:left w:val="single" w:color="auto" w:sz="2" w:space="0"/>
              <w:bottom w:val="single" w:color="auto" w:sz="2" w:space="0"/>
              <w:right w:val="single" w:color="auto" w:sz="2" w:space="0"/>
            </w:tcBorders>
            <w:vAlign w:val="center"/>
          </w:tcPr>
          <w:p w14:paraId="4DA340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14:paraId="0BD2653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14:paraId="0E014AB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w:t>
            </w:r>
          </w:p>
        </w:tc>
        <w:tc>
          <w:tcPr>
            <w:tcW w:w="1205" w:type="dxa"/>
            <w:tcBorders>
              <w:top w:val="single" w:color="auto" w:sz="2" w:space="0"/>
              <w:left w:val="single" w:color="auto" w:sz="2" w:space="0"/>
              <w:bottom w:val="single" w:color="auto" w:sz="2" w:space="0"/>
              <w:right w:val="single" w:color="auto" w:sz="2" w:space="0"/>
            </w:tcBorders>
            <w:vAlign w:val="center"/>
          </w:tcPr>
          <w:p w14:paraId="1C8F21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5470102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43AD46F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6B86CA8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r>
    </w:tbl>
    <w:p w14:paraId="1C273B6F">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连续两次未亲自出席董事会的说明</w:t>
      </w:r>
      <w:r>
        <w:rPr>
          <w:rFonts w:hint="default" w:ascii="Times New Roman" w:hAnsi="Times New Roman" w:cs="Times New Roman"/>
          <w:sz w:val="18"/>
          <w:szCs w:val="18"/>
          <w:lang w:eastAsia="zh-CN"/>
        </w:rPr>
        <w:t>：</w:t>
      </w:r>
      <w:r>
        <w:rPr>
          <w:rFonts w:hint="default" w:ascii="Times New Roman" w:hAnsi="Times New Roman" w:eastAsia="宋体" w:cs="Times New Roman"/>
          <w:kern w:val="0"/>
          <w:sz w:val="18"/>
          <w:szCs w:val="18"/>
          <w:lang w:val="en-US" w:eastAsia="zh-CN" w:bidi="ar"/>
        </w:rPr>
        <w:t>不适用。</w:t>
      </w:r>
    </w:p>
    <w:p w14:paraId="3E04316D">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97" w:name="_Toc988952"/>
      <w:r>
        <w:rPr>
          <w:rFonts w:hint="default" w:ascii="Times New Roman" w:hAnsi="Times New Roman" w:eastAsia="宋体" w:cs="Times New Roman"/>
          <w:b/>
          <w:bCs/>
          <w:sz w:val="21"/>
          <w:szCs w:val="21"/>
        </w:rPr>
        <w:t>2、董事对公司有关事项提出异议的情况</w:t>
      </w:r>
      <w:bookmarkEnd w:id="97"/>
    </w:p>
    <w:p w14:paraId="187AB249">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董事对公司有关事项是否提出异议</w:t>
      </w:r>
    </w:p>
    <w:p w14:paraId="4FCB6245">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□是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否</w:t>
      </w:r>
    </w:p>
    <w:p w14:paraId="21BEB05F">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报告期内董事对公司有关事项未提出异议。</w:t>
      </w:r>
    </w:p>
    <w:p w14:paraId="4BC3EB89">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98" w:name="_Toc988953"/>
      <w:r>
        <w:rPr>
          <w:rFonts w:hint="default" w:ascii="Times New Roman" w:hAnsi="Times New Roman" w:eastAsia="宋体" w:cs="Times New Roman"/>
          <w:b/>
          <w:bCs/>
          <w:sz w:val="21"/>
          <w:szCs w:val="21"/>
        </w:rPr>
        <w:t>3、董事履行职责的其他说明</w:t>
      </w:r>
      <w:bookmarkEnd w:id="98"/>
    </w:p>
    <w:p w14:paraId="53D8517B">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董事对公司有关建议是否被采纳</w:t>
      </w:r>
    </w:p>
    <w:p w14:paraId="43FC82E3">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是 □否</w:t>
      </w:r>
    </w:p>
    <w:p w14:paraId="2CC77CF7">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董事对公司有关建议被采纳或未被采纳的说明</w:t>
      </w:r>
    </w:p>
    <w:p w14:paraId="14E18E7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3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公司非独立董事、独立董事严格按照《公司法》《证券法》《上市公司治理准则》《规范运作指引》以及《公司章程》《董事会议事规则》《上市公司独立董事管理办法》开展工作，勤勉尽责，根据公司的实际情况，对公司的重大治理和经营决策提出了相关的意见，经过充分沟通讨论，形成一致意见，并坚决推动董事会决议的执行，确保决策科学、及时、高效，维护公司和全体股东的合法权益。独立董事通过现场走访、审阅资料、参加会议、座谈交流、听取汇报等方式，充分了解了公司生产经营情况、财务管理和内部控制的执行情况、董事会决议执行情况及信息披露情况等，并对董事、高管履职情况、关联交易情况、对外担保情况等进行了监督和核查，较好地维护了公司整体利益以及全体股东特别是中小股东的合法权益，对公司规范、稳定、健康地发展起到了积极的作用。</w:t>
      </w:r>
    </w:p>
    <w:p w14:paraId="7039A6A0">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99" w:name="_Toc988954"/>
      <w:bookmarkStart w:id="100" w:name="_Toc24683"/>
      <w:r>
        <w:rPr>
          <w:rFonts w:hint="default" w:ascii="Times New Roman" w:hAnsi="Times New Roman" w:eastAsia="宋体" w:cs="Times New Roman"/>
          <w:b/>
          <w:bCs/>
          <w:sz w:val="24"/>
          <w:szCs w:val="24"/>
        </w:rPr>
        <w:t>八、董事会下设专门委员会在报告期内的情况</w:t>
      </w:r>
      <w:bookmarkEnd w:id="99"/>
      <w:bookmarkEnd w:id="100"/>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14:paraId="3ED05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01299D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委员会名称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1345EB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成员情况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78E449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召开会议次数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143A57D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召开日期</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E8DD07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会议内容</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0597CE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提出的重要意见和建议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327A6A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其他履行职责的情况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D8A9E3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异议事项具体情况（如有）</w:t>
            </w:r>
          </w:p>
        </w:tc>
      </w:tr>
      <w:tr w14:paraId="02C0E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299360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战略委员会</w:t>
            </w:r>
          </w:p>
        </w:tc>
        <w:tc>
          <w:tcPr>
            <w:tcW w:w="1205" w:type="dxa"/>
            <w:tcBorders>
              <w:top w:val="single" w:color="auto" w:sz="2" w:space="0"/>
              <w:left w:val="single" w:color="auto" w:sz="2" w:space="0"/>
              <w:bottom w:val="single" w:color="auto" w:sz="2" w:space="0"/>
              <w:right w:val="single" w:color="auto" w:sz="2" w:space="0"/>
            </w:tcBorders>
            <w:vAlign w:val="center"/>
          </w:tcPr>
          <w:p w14:paraId="5151DC4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张永明、王新志、邓超</w:t>
            </w:r>
          </w:p>
        </w:tc>
        <w:tc>
          <w:tcPr>
            <w:tcW w:w="1205" w:type="dxa"/>
            <w:tcBorders>
              <w:top w:val="single" w:color="auto" w:sz="2" w:space="0"/>
              <w:left w:val="single" w:color="auto" w:sz="2" w:space="0"/>
              <w:bottom w:val="single" w:color="auto" w:sz="2" w:space="0"/>
              <w:right w:val="single" w:color="auto" w:sz="2" w:space="0"/>
            </w:tcBorders>
            <w:vAlign w:val="center"/>
          </w:tcPr>
          <w:p w14:paraId="4439BB4B">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14:paraId="14B257C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2025年03月13日</w:t>
            </w:r>
          </w:p>
        </w:tc>
        <w:tc>
          <w:tcPr>
            <w:tcW w:w="1205" w:type="dxa"/>
            <w:tcBorders>
              <w:top w:val="single" w:color="auto" w:sz="2" w:space="0"/>
              <w:left w:val="single" w:color="auto" w:sz="2" w:space="0"/>
              <w:bottom w:val="single" w:color="auto" w:sz="2" w:space="0"/>
              <w:right w:val="single" w:color="auto" w:sz="2" w:space="0"/>
            </w:tcBorders>
            <w:vAlign w:val="center"/>
          </w:tcPr>
          <w:p w14:paraId="5C1D8F8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审议通过《关于延长公司向特定对象发行A股股票股东大会决议有效期的议案》《关于提请股东大会延长授权董事会办理公司向特定对象发行A股股票相关事宜有效期的议案》</w:t>
            </w:r>
          </w:p>
        </w:tc>
        <w:tc>
          <w:tcPr>
            <w:tcW w:w="1205" w:type="dxa"/>
            <w:tcBorders>
              <w:top w:val="single" w:color="auto" w:sz="2" w:space="0"/>
              <w:left w:val="single" w:color="auto" w:sz="2" w:space="0"/>
              <w:bottom w:val="single" w:color="auto" w:sz="2" w:space="0"/>
              <w:right w:val="single" w:color="auto" w:sz="2" w:space="0"/>
            </w:tcBorders>
            <w:vAlign w:val="center"/>
          </w:tcPr>
          <w:p w14:paraId="3B20975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战略委员会结合公司再融资进展等相关情况，对议案进行审议，一致同意相关议案</w:t>
            </w:r>
          </w:p>
        </w:tc>
        <w:tc>
          <w:tcPr>
            <w:tcW w:w="1205" w:type="dxa"/>
            <w:tcBorders>
              <w:top w:val="single" w:color="auto" w:sz="2" w:space="0"/>
              <w:left w:val="single" w:color="auto" w:sz="2" w:space="0"/>
              <w:bottom w:val="single" w:color="auto" w:sz="2" w:space="0"/>
              <w:right w:val="single" w:color="auto" w:sz="2" w:space="0"/>
            </w:tcBorders>
            <w:vAlign w:val="center"/>
          </w:tcPr>
          <w:p w14:paraId="3F3D719A">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205" w:type="dxa"/>
            <w:tcBorders>
              <w:top w:val="single" w:color="auto" w:sz="2" w:space="0"/>
              <w:left w:val="single" w:color="auto" w:sz="2" w:space="0"/>
              <w:bottom w:val="single" w:color="auto" w:sz="2" w:space="0"/>
              <w:right w:val="single" w:color="auto" w:sz="2" w:space="0"/>
            </w:tcBorders>
            <w:vAlign w:val="center"/>
          </w:tcPr>
          <w:p w14:paraId="363FA1FD">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r>
      <w:tr w14:paraId="689A6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vAlign w:val="center"/>
          </w:tcPr>
          <w:p w14:paraId="19837EC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审计委员会</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14:paraId="32D7FB9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韩俊梅、邓超、孙峰</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14:paraId="14577FE7">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14:paraId="771F865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2025年01月22日</w:t>
            </w:r>
          </w:p>
        </w:tc>
        <w:tc>
          <w:tcPr>
            <w:tcW w:w="1205" w:type="dxa"/>
            <w:tcBorders>
              <w:top w:val="single" w:color="auto" w:sz="2" w:space="0"/>
              <w:left w:val="single" w:color="auto" w:sz="2" w:space="0"/>
              <w:bottom w:val="single" w:color="auto" w:sz="2" w:space="0"/>
              <w:right w:val="single" w:color="auto" w:sz="2" w:space="0"/>
            </w:tcBorders>
            <w:vAlign w:val="center"/>
          </w:tcPr>
          <w:p w14:paraId="125116C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审议通过《关于公司2024年年度报告审计进展的议案》</w:t>
            </w:r>
          </w:p>
        </w:tc>
        <w:tc>
          <w:tcPr>
            <w:tcW w:w="1205" w:type="dxa"/>
            <w:tcBorders>
              <w:top w:val="single" w:color="auto" w:sz="2" w:space="0"/>
              <w:left w:val="single" w:color="auto" w:sz="2" w:space="0"/>
              <w:bottom w:val="single" w:color="auto" w:sz="2" w:space="0"/>
              <w:right w:val="single" w:color="auto" w:sz="2" w:space="0"/>
            </w:tcBorders>
            <w:vAlign w:val="center"/>
          </w:tcPr>
          <w:p w14:paraId="15B0C55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审计委员会根据审计进展情况以及充分的沟通交流，一致同意通过该议案</w:t>
            </w:r>
          </w:p>
        </w:tc>
        <w:tc>
          <w:tcPr>
            <w:tcW w:w="1205" w:type="dxa"/>
            <w:tcBorders>
              <w:top w:val="single" w:color="auto" w:sz="2" w:space="0"/>
              <w:left w:val="single" w:color="auto" w:sz="2" w:space="0"/>
              <w:bottom w:val="single" w:color="auto" w:sz="2" w:space="0"/>
              <w:right w:val="single" w:color="auto" w:sz="2" w:space="0"/>
            </w:tcBorders>
            <w:vAlign w:val="center"/>
          </w:tcPr>
          <w:p w14:paraId="0D55638D">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205" w:type="dxa"/>
            <w:tcBorders>
              <w:top w:val="single" w:color="auto" w:sz="2" w:space="0"/>
              <w:left w:val="single" w:color="auto" w:sz="2" w:space="0"/>
              <w:bottom w:val="single" w:color="auto" w:sz="2" w:space="0"/>
              <w:right w:val="single" w:color="auto" w:sz="2" w:space="0"/>
            </w:tcBorders>
            <w:vAlign w:val="center"/>
          </w:tcPr>
          <w:p w14:paraId="268B1A4B">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r>
      <w:tr w14:paraId="6771B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14:paraId="093C7AF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审计委员会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14:paraId="4E57D72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韩俊梅、邓超、孙峰</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14:paraId="45AAC8EC">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14:paraId="0884507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2025年04月17日</w:t>
            </w:r>
          </w:p>
        </w:tc>
        <w:tc>
          <w:tcPr>
            <w:tcW w:w="1205" w:type="dxa"/>
            <w:tcBorders>
              <w:top w:val="single" w:color="auto" w:sz="2" w:space="0"/>
              <w:left w:val="single" w:color="auto" w:sz="2" w:space="0"/>
              <w:bottom w:val="single" w:color="auto" w:sz="2" w:space="0"/>
              <w:right w:val="single" w:color="auto" w:sz="2" w:space="0"/>
            </w:tcBorders>
            <w:vAlign w:val="center"/>
          </w:tcPr>
          <w:p w14:paraId="0EB2BB8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审议通过《关于会计师事务所对公司2024年年度报告审计结果的议案》</w:t>
            </w:r>
          </w:p>
        </w:tc>
        <w:tc>
          <w:tcPr>
            <w:tcW w:w="1205" w:type="dxa"/>
            <w:tcBorders>
              <w:top w:val="single" w:color="auto" w:sz="2" w:space="0"/>
              <w:left w:val="single" w:color="auto" w:sz="2" w:space="0"/>
              <w:bottom w:val="single" w:color="auto" w:sz="2" w:space="0"/>
              <w:right w:val="single" w:color="auto" w:sz="2" w:space="0"/>
            </w:tcBorders>
            <w:vAlign w:val="center"/>
          </w:tcPr>
          <w:p w14:paraId="5F9AAD3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审计委员会对重点问题进行沟通确认后，审议通过该议案</w:t>
            </w:r>
          </w:p>
        </w:tc>
        <w:tc>
          <w:tcPr>
            <w:tcW w:w="1205" w:type="dxa"/>
            <w:tcBorders>
              <w:top w:val="single" w:color="auto" w:sz="2" w:space="0"/>
              <w:left w:val="single" w:color="auto" w:sz="2" w:space="0"/>
              <w:bottom w:val="single" w:color="auto" w:sz="2" w:space="0"/>
              <w:right w:val="single" w:color="auto" w:sz="2" w:space="0"/>
            </w:tcBorders>
            <w:vAlign w:val="center"/>
          </w:tcPr>
          <w:p w14:paraId="0EB41C58">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205" w:type="dxa"/>
            <w:tcBorders>
              <w:top w:val="single" w:color="auto" w:sz="2" w:space="0"/>
              <w:left w:val="single" w:color="auto" w:sz="2" w:space="0"/>
              <w:bottom w:val="single" w:color="auto" w:sz="2" w:space="0"/>
              <w:right w:val="single" w:color="auto" w:sz="2" w:space="0"/>
            </w:tcBorders>
            <w:vAlign w:val="center"/>
          </w:tcPr>
          <w:p w14:paraId="69CEF2A9">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r>
      <w:tr w14:paraId="7C7D8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14:paraId="5518278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审计委员会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14:paraId="42E8052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韩俊梅、邓超、孙峰</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14:paraId="310BC248">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14:paraId="622910E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2025年04月22日</w:t>
            </w:r>
          </w:p>
        </w:tc>
        <w:tc>
          <w:tcPr>
            <w:tcW w:w="1205" w:type="dxa"/>
            <w:tcBorders>
              <w:top w:val="single" w:color="auto" w:sz="2" w:space="0"/>
              <w:left w:val="single" w:color="auto" w:sz="2" w:space="0"/>
              <w:bottom w:val="single" w:color="auto" w:sz="2" w:space="0"/>
              <w:right w:val="single" w:color="auto" w:sz="2" w:space="0"/>
            </w:tcBorders>
            <w:vAlign w:val="center"/>
          </w:tcPr>
          <w:p w14:paraId="71D68EA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审议通过《关于公司2024年度财务决算报告的议案》《关于公司2024年度财务报告的议案》等相关议案</w:t>
            </w:r>
          </w:p>
        </w:tc>
        <w:tc>
          <w:tcPr>
            <w:tcW w:w="1205" w:type="dxa"/>
            <w:tcBorders>
              <w:top w:val="single" w:color="auto" w:sz="2" w:space="0"/>
              <w:left w:val="single" w:color="auto" w:sz="2" w:space="0"/>
              <w:bottom w:val="single" w:color="auto" w:sz="2" w:space="0"/>
              <w:right w:val="single" w:color="auto" w:sz="2" w:space="0"/>
            </w:tcBorders>
            <w:vAlign w:val="center"/>
          </w:tcPr>
          <w:p w14:paraId="1583BB5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审计委员会对公司年度财务报告等相关议案进行审议，认为议案均符合公司实际，一致同意通过上述议案并提交董事会审议</w:t>
            </w:r>
          </w:p>
        </w:tc>
        <w:tc>
          <w:tcPr>
            <w:tcW w:w="1205" w:type="dxa"/>
            <w:tcBorders>
              <w:top w:val="single" w:color="auto" w:sz="2" w:space="0"/>
              <w:left w:val="single" w:color="auto" w:sz="2" w:space="0"/>
              <w:bottom w:val="single" w:color="auto" w:sz="2" w:space="0"/>
              <w:right w:val="single" w:color="auto" w:sz="2" w:space="0"/>
            </w:tcBorders>
            <w:vAlign w:val="center"/>
          </w:tcPr>
          <w:p w14:paraId="2AF2E081">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205" w:type="dxa"/>
            <w:tcBorders>
              <w:top w:val="single" w:color="auto" w:sz="2" w:space="0"/>
              <w:left w:val="single" w:color="auto" w:sz="2" w:space="0"/>
              <w:bottom w:val="single" w:color="auto" w:sz="2" w:space="0"/>
              <w:right w:val="single" w:color="auto" w:sz="2" w:space="0"/>
            </w:tcBorders>
            <w:vAlign w:val="center"/>
          </w:tcPr>
          <w:p w14:paraId="7433E648">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r>
      <w:tr w14:paraId="579EA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14:paraId="311DF0D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审计委员会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14:paraId="2BC70E7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韩俊梅、邓超、孙峰</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14:paraId="72CCA38A">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14:paraId="2E15480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2025年08月27日</w:t>
            </w:r>
          </w:p>
        </w:tc>
        <w:tc>
          <w:tcPr>
            <w:tcW w:w="1205" w:type="dxa"/>
            <w:tcBorders>
              <w:top w:val="single" w:color="auto" w:sz="2" w:space="0"/>
              <w:left w:val="single" w:color="auto" w:sz="2" w:space="0"/>
              <w:bottom w:val="single" w:color="auto" w:sz="2" w:space="0"/>
              <w:right w:val="single" w:color="auto" w:sz="2" w:space="0"/>
            </w:tcBorders>
            <w:vAlign w:val="center"/>
          </w:tcPr>
          <w:p w14:paraId="6EACB9A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审议通过《关于公司2025年第二季度内部审计工作报告的议案》《关于公司2025年半年度财务报告的议案》</w:t>
            </w:r>
          </w:p>
        </w:tc>
        <w:tc>
          <w:tcPr>
            <w:tcW w:w="1205" w:type="dxa"/>
            <w:tcBorders>
              <w:top w:val="single" w:color="auto" w:sz="2" w:space="0"/>
              <w:left w:val="single" w:color="auto" w:sz="2" w:space="0"/>
              <w:bottom w:val="single" w:color="auto" w:sz="2" w:space="0"/>
              <w:right w:val="single" w:color="auto" w:sz="2" w:space="0"/>
            </w:tcBorders>
            <w:vAlign w:val="center"/>
          </w:tcPr>
          <w:p w14:paraId="77241C2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审计委员会认真查阅内审工作计划和半年报财务报告，核实公司相关事项和内部控制执行情况等，审议通过相关议案</w:t>
            </w:r>
          </w:p>
        </w:tc>
        <w:tc>
          <w:tcPr>
            <w:tcW w:w="1205" w:type="dxa"/>
            <w:tcBorders>
              <w:top w:val="single" w:color="auto" w:sz="2" w:space="0"/>
              <w:left w:val="single" w:color="auto" w:sz="2" w:space="0"/>
              <w:bottom w:val="single" w:color="auto" w:sz="2" w:space="0"/>
              <w:right w:val="single" w:color="auto" w:sz="2" w:space="0"/>
            </w:tcBorders>
            <w:vAlign w:val="center"/>
          </w:tcPr>
          <w:p w14:paraId="0A325D04">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205" w:type="dxa"/>
            <w:tcBorders>
              <w:top w:val="single" w:color="auto" w:sz="2" w:space="0"/>
              <w:left w:val="single" w:color="auto" w:sz="2" w:space="0"/>
              <w:bottom w:val="single" w:color="auto" w:sz="2" w:space="0"/>
              <w:right w:val="single" w:color="auto" w:sz="2" w:space="0"/>
            </w:tcBorders>
            <w:vAlign w:val="center"/>
          </w:tcPr>
          <w:p w14:paraId="0B0DE44F">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r>
      <w:tr w14:paraId="62DD5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14:paraId="3238A66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审计委员会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14:paraId="6057EE1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韩俊梅、邓超、孙峰</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14:paraId="437C48D2">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14:paraId="3BC5AEC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2025年10月28日</w:t>
            </w:r>
          </w:p>
        </w:tc>
        <w:tc>
          <w:tcPr>
            <w:tcW w:w="1205" w:type="dxa"/>
            <w:tcBorders>
              <w:top w:val="single" w:color="auto" w:sz="2" w:space="0"/>
              <w:left w:val="single" w:color="auto" w:sz="2" w:space="0"/>
              <w:bottom w:val="single" w:color="auto" w:sz="2" w:space="0"/>
              <w:right w:val="single" w:color="auto" w:sz="2" w:space="0"/>
            </w:tcBorders>
            <w:vAlign w:val="center"/>
          </w:tcPr>
          <w:p w14:paraId="5D52979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审议通过《关于公司2025年第三季度报告的议案》《关于公司2025年第三季度内部审计工作报告的议案》</w:t>
            </w:r>
          </w:p>
        </w:tc>
        <w:tc>
          <w:tcPr>
            <w:tcW w:w="1205" w:type="dxa"/>
            <w:tcBorders>
              <w:top w:val="single" w:color="auto" w:sz="2" w:space="0"/>
              <w:left w:val="single" w:color="auto" w:sz="2" w:space="0"/>
              <w:bottom w:val="single" w:color="auto" w:sz="2" w:space="0"/>
              <w:right w:val="single" w:color="auto" w:sz="2" w:space="0"/>
            </w:tcBorders>
            <w:vAlign w:val="center"/>
          </w:tcPr>
          <w:p w14:paraId="5DE5789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审计委员会就内审工作报告中的关注事项进行沟通交流，审议通过相关议案</w:t>
            </w:r>
          </w:p>
        </w:tc>
        <w:tc>
          <w:tcPr>
            <w:tcW w:w="1205" w:type="dxa"/>
            <w:tcBorders>
              <w:top w:val="single" w:color="auto" w:sz="2" w:space="0"/>
              <w:left w:val="single" w:color="auto" w:sz="2" w:space="0"/>
              <w:bottom w:val="single" w:color="auto" w:sz="2" w:space="0"/>
              <w:right w:val="single" w:color="auto" w:sz="2" w:space="0"/>
            </w:tcBorders>
            <w:vAlign w:val="center"/>
          </w:tcPr>
          <w:p w14:paraId="3CAF2261">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205" w:type="dxa"/>
            <w:tcBorders>
              <w:top w:val="single" w:color="auto" w:sz="2" w:space="0"/>
              <w:left w:val="single" w:color="auto" w:sz="2" w:space="0"/>
              <w:bottom w:val="single" w:color="auto" w:sz="2" w:space="0"/>
              <w:right w:val="single" w:color="auto" w:sz="2" w:space="0"/>
            </w:tcBorders>
            <w:vAlign w:val="center"/>
          </w:tcPr>
          <w:p w14:paraId="325C5E77">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r>
      <w:tr w14:paraId="7D1D3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14D265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提名委员会</w:t>
            </w:r>
          </w:p>
        </w:tc>
        <w:tc>
          <w:tcPr>
            <w:tcW w:w="1205" w:type="dxa"/>
            <w:tcBorders>
              <w:top w:val="single" w:color="auto" w:sz="2" w:space="0"/>
              <w:left w:val="single" w:color="auto" w:sz="2" w:space="0"/>
              <w:bottom w:val="single" w:color="auto" w:sz="2" w:space="0"/>
              <w:right w:val="single" w:color="auto" w:sz="2" w:space="0"/>
            </w:tcBorders>
            <w:vAlign w:val="center"/>
          </w:tcPr>
          <w:p w14:paraId="4E7F317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邓超、韩俊梅、张永明</w:t>
            </w:r>
          </w:p>
        </w:tc>
        <w:tc>
          <w:tcPr>
            <w:tcW w:w="1205" w:type="dxa"/>
            <w:tcBorders>
              <w:top w:val="single" w:color="auto" w:sz="2" w:space="0"/>
              <w:left w:val="single" w:color="auto" w:sz="2" w:space="0"/>
              <w:bottom w:val="single" w:color="auto" w:sz="2" w:space="0"/>
              <w:right w:val="single" w:color="auto" w:sz="2" w:space="0"/>
            </w:tcBorders>
            <w:vAlign w:val="center"/>
          </w:tcPr>
          <w:p w14:paraId="18792C03">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14:paraId="50BECA1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2025年01月10日</w:t>
            </w:r>
          </w:p>
        </w:tc>
        <w:tc>
          <w:tcPr>
            <w:tcW w:w="1205" w:type="dxa"/>
            <w:tcBorders>
              <w:top w:val="single" w:color="auto" w:sz="2" w:space="0"/>
              <w:left w:val="single" w:color="auto" w:sz="2" w:space="0"/>
              <w:bottom w:val="single" w:color="auto" w:sz="2" w:space="0"/>
              <w:right w:val="single" w:color="auto" w:sz="2" w:space="0"/>
            </w:tcBorders>
            <w:vAlign w:val="center"/>
          </w:tcPr>
          <w:p w14:paraId="132E119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审议通过《关于聘任公司总经理的议案》</w:t>
            </w:r>
          </w:p>
        </w:tc>
        <w:tc>
          <w:tcPr>
            <w:tcW w:w="1205" w:type="dxa"/>
            <w:tcBorders>
              <w:top w:val="single" w:color="auto" w:sz="2" w:space="0"/>
              <w:left w:val="single" w:color="auto" w:sz="2" w:space="0"/>
              <w:bottom w:val="single" w:color="auto" w:sz="2" w:space="0"/>
              <w:right w:val="single" w:color="auto" w:sz="2" w:space="0"/>
            </w:tcBorders>
            <w:vAlign w:val="center"/>
          </w:tcPr>
          <w:p w14:paraId="33668CE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提名委员会就候选人任职资格进行了认真审查，一致同意该议案</w:t>
            </w:r>
          </w:p>
        </w:tc>
        <w:tc>
          <w:tcPr>
            <w:tcW w:w="1205" w:type="dxa"/>
            <w:tcBorders>
              <w:top w:val="single" w:color="auto" w:sz="2" w:space="0"/>
              <w:left w:val="single" w:color="auto" w:sz="2" w:space="0"/>
              <w:bottom w:val="single" w:color="auto" w:sz="2" w:space="0"/>
              <w:right w:val="single" w:color="auto" w:sz="2" w:space="0"/>
            </w:tcBorders>
            <w:vAlign w:val="center"/>
          </w:tcPr>
          <w:p w14:paraId="0CB091FC">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205" w:type="dxa"/>
            <w:tcBorders>
              <w:top w:val="single" w:color="auto" w:sz="2" w:space="0"/>
              <w:left w:val="single" w:color="auto" w:sz="2" w:space="0"/>
              <w:bottom w:val="single" w:color="auto" w:sz="2" w:space="0"/>
              <w:right w:val="single" w:color="auto" w:sz="2" w:space="0"/>
            </w:tcBorders>
            <w:vAlign w:val="center"/>
          </w:tcPr>
          <w:p w14:paraId="5BA2B3BE">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r>
      <w:tr w14:paraId="2FD66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vAlign w:val="center"/>
          </w:tcPr>
          <w:p w14:paraId="3009EDF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薪酬与考核委员会</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14:paraId="40D9519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邓超、韩俊梅、张永明</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14:paraId="76A9FD74">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14:paraId="76AB970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2025年04月22日</w:t>
            </w:r>
          </w:p>
        </w:tc>
        <w:tc>
          <w:tcPr>
            <w:tcW w:w="1205" w:type="dxa"/>
            <w:tcBorders>
              <w:top w:val="single" w:color="auto" w:sz="2" w:space="0"/>
              <w:left w:val="single" w:color="auto" w:sz="2" w:space="0"/>
              <w:bottom w:val="single" w:color="auto" w:sz="2" w:space="0"/>
              <w:right w:val="single" w:color="auto" w:sz="2" w:space="0"/>
            </w:tcBorders>
            <w:vAlign w:val="center"/>
          </w:tcPr>
          <w:p w14:paraId="49D28CB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审议通过《关于公司2024年度高级管理人员薪酬考核结果的议案》《关于公司2025年度董事、监事薪酬与考核方案的议案》等相关议案</w:t>
            </w:r>
          </w:p>
        </w:tc>
        <w:tc>
          <w:tcPr>
            <w:tcW w:w="1205" w:type="dxa"/>
            <w:tcBorders>
              <w:top w:val="single" w:color="auto" w:sz="2" w:space="0"/>
              <w:left w:val="single" w:color="auto" w:sz="2" w:space="0"/>
              <w:bottom w:val="single" w:color="auto" w:sz="2" w:space="0"/>
              <w:right w:val="single" w:color="auto" w:sz="2" w:space="0"/>
            </w:tcBorders>
            <w:vAlign w:val="center"/>
          </w:tcPr>
          <w:p w14:paraId="32CEA93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薪酬与考核委员会对报告期内在公司任职的高级管理人员进行了绩效考核，认为公司严格执行了2024年度高级管理人员的薪酬与考核方案，公司高级管理人员的年度薪酬考核结果符合实际；薪酬考核方案与公司整体薪酬机制保持一致，非关联委员一致同意上述议案</w:t>
            </w:r>
          </w:p>
        </w:tc>
        <w:tc>
          <w:tcPr>
            <w:tcW w:w="1205" w:type="dxa"/>
            <w:tcBorders>
              <w:top w:val="single" w:color="auto" w:sz="2" w:space="0"/>
              <w:left w:val="single" w:color="auto" w:sz="2" w:space="0"/>
              <w:bottom w:val="single" w:color="auto" w:sz="2" w:space="0"/>
              <w:right w:val="single" w:color="auto" w:sz="2" w:space="0"/>
            </w:tcBorders>
            <w:vAlign w:val="center"/>
          </w:tcPr>
          <w:p w14:paraId="6A5A85DD">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205" w:type="dxa"/>
            <w:tcBorders>
              <w:top w:val="single" w:color="auto" w:sz="2" w:space="0"/>
              <w:left w:val="single" w:color="auto" w:sz="2" w:space="0"/>
              <w:bottom w:val="single" w:color="auto" w:sz="2" w:space="0"/>
              <w:right w:val="single" w:color="auto" w:sz="2" w:space="0"/>
            </w:tcBorders>
            <w:vAlign w:val="center"/>
          </w:tcPr>
          <w:p w14:paraId="6BB03911">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r>
      <w:tr w14:paraId="48290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14:paraId="0A76998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薪酬与考核委员会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14:paraId="3804C26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邓超、韩俊梅、张永明</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14:paraId="340FFC81">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14:paraId="52715F5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2025年06月06日</w:t>
            </w:r>
          </w:p>
        </w:tc>
        <w:tc>
          <w:tcPr>
            <w:tcW w:w="1205" w:type="dxa"/>
            <w:tcBorders>
              <w:top w:val="single" w:color="auto" w:sz="2" w:space="0"/>
              <w:left w:val="single" w:color="auto" w:sz="2" w:space="0"/>
              <w:bottom w:val="single" w:color="auto" w:sz="2" w:space="0"/>
              <w:right w:val="single" w:color="auto" w:sz="2" w:space="0"/>
            </w:tcBorders>
            <w:vAlign w:val="center"/>
          </w:tcPr>
          <w:p w14:paraId="59AD1B7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审议通过《关于公司董事薪酬与考核方案的议案》</w:t>
            </w:r>
          </w:p>
        </w:tc>
        <w:tc>
          <w:tcPr>
            <w:tcW w:w="1205" w:type="dxa"/>
            <w:tcBorders>
              <w:top w:val="single" w:color="auto" w:sz="2" w:space="0"/>
              <w:left w:val="single" w:color="auto" w:sz="2" w:space="0"/>
              <w:bottom w:val="single" w:color="auto" w:sz="2" w:space="0"/>
              <w:right w:val="single" w:color="auto" w:sz="2" w:space="0"/>
            </w:tcBorders>
            <w:vAlign w:val="center"/>
          </w:tcPr>
          <w:p w14:paraId="6CF17F8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薪酬委员会就公司董事的薪酬方案进行审核，因全体委员属于关联委员，一致同意提交董事会审议</w:t>
            </w:r>
          </w:p>
        </w:tc>
        <w:tc>
          <w:tcPr>
            <w:tcW w:w="1205" w:type="dxa"/>
            <w:tcBorders>
              <w:top w:val="single" w:color="auto" w:sz="2" w:space="0"/>
              <w:left w:val="single" w:color="auto" w:sz="2" w:space="0"/>
              <w:bottom w:val="single" w:color="auto" w:sz="2" w:space="0"/>
              <w:right w:val="single" w:color="auto" w:sz="2" w:space="0"/>
            </w:tcBorders>
            <w:vAlign w:val="center"/>
          </w:tcPr>
          <w:p w14:paraId="5A3A70DF">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205" w:type="dxa"/>
            <w:tcBorders>
              <w:top w:val="single" w:color="auto" w:sz="2" w:space="0"/>
              <w:left w:val="single" w:color="auto" w:sz="2" w:space="0"/>
              <w:bottom w:val="single" w:color="auto" w:sz="2" w:space="0"/>
              <w:right w:val="single" w:color="auto" w:sz="2" w:space="0"/>
            </w:tcBorders>
            <w:vAlign w:val="center"/>
          </w:tcPr>
          <w:p w14:paraId="20842F5B">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r>
    </w:tbl>
    <w:p w14:paraId="340C6DC3">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101" w:name="_Toc7772"/>
      <w:bookmarkStart w:id="102" w:name="_Toc988955"/>
      <w:r>
        <w:rPr>
          <w:rFonts w:hint="default" w:ascii="Times New Roman" w:hAnsi="Times New Roman" w:eastAsia="宋体" w:cs="Times New Roman"/>
          <w:b/>
          <w:bCs/>
          <w:sz w:val="24"/>
          <w:szCs w:val="24"/>
        </w:rPr>
        <w:t>九、审计委员会工作情况</w:t>
      </w:r>
      <w:bookmarkEnd w:id="101"/>
      <w:bookmarkEnd w:id="102"/>
    </w:p>
    <w:p w14:paraId="63742FBA">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审计委员会在报告期内的监督活动中发现公司是否存在风险</w:t>
      </w:r>
    </w:p>
    <w:p w14:paraId="4B914474">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□是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否</w:t>
      </w:r>
    </w:p>
    <w:p w14:paraId="384F6131">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审计委员会对报告期内的监督事项无异议。</w:t>
      </w:r>
    </w:p>
    <w:p w14:paraId="609A32A0">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103" w:name="_Toc11206"/>
      <w:bookmarkStart w:id="104" w:name="_Toc988956"/>
      <w:r>
        <w:rPr>
          <w:rFonts w:hint="default" w:ascii="Times New Roman" w:hAnsi="Times New Roman" w:eastAsia="宋体" w:cs="Times New Roman"/>
          <w:b/>
          <w:bCs/>
          <w:sz w:val="24"/>
          <w:szCs w:val="24"/>
        </w:rPr>
        <w:t>十、公司员工情况</w:t>
      </w:r>
      <w:bookmarkEnd w:id="103"/>
      <w:bookmarkEnd w:id="104"/>
    </w:p>
    <w:p w14:paraId="4EB1A15E">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105" w:name="_Toc988957"/>
      <w:r>
        <w:rPr>
          <w:rFonts w:hint="default" w:ascii="Times New Roman" w:hAnsi="Times New Roman" w:eastAsia="宋体" w:cs="Times New Roman"/>
          <w:b/>
          <w:bCs/>
          <w:sz w:val="21"/>
          <w:szCs w:val="21"/>
        </w:rPr>
        <w:t>1、员工数量、专业构成及教育程度</w:t>
      </w:r>
      <w:bookmarkEnd w:id="105"/>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2BF15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B6E726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报告期末母公司在职员工的数量（人）</w:t>
            </w:r>
          </w:p>
        </w:tc>
        <w:tc>
          <w:tcPr>
            <w:tcW w:w="4820" w:type="dxa"/>
            <w:tcBorders>
              <w:top w:val="single" w:color="auto" w:sz="2" w:space="0"/>
              <w:left w:val="single" w:color="auto" w:sz="2" w:space="0"/>
              <w:bottom w:val="single" w:color="auto" w:sz="2" w:space="0"/>
              <w:right w:val="single" w:color="auto" w:sz="2" w:space="0"/>
            </w:tcBorders>
            <w:vAlign w:val="center"/>
          </w:tcPr>
          <w:p w14:paraId="3A3B2A8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w:t>
            </w:r>
          </w:p>
        </w:tc>
      </w:tr>
      <w:tr w14:paraId="479C2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A0654A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报告期末主要子公司在职员工的数量（人）</w:t>
            </w:r>
          </w:p>
        </w:tc>
        <w:tc>
          <w:tcPr>
            <w:tcW w:w="4820" w:type="dxa"/>
            <w:tcBorders>
              <w:top w:val="single" w:color="auto" w:sz="2" w:space="0"/>
              <w:left w:val="single" w:color="auto" w:sz="2" w:space="0"/>
              <w:bottom w:val="single" w:color="auto" w:sz="2" w:space="0"/>
              <w:right w:val="single" w:color="auto" w:sz="2" w:space="0"/>
            </w:tcBorders>
            <w:vAlign w:val="center"/>
          </w:tcPr>
          <w:p w14:paraId="18EF262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355</w:t>
            </w:r>
          </w:p>
        </w:tc>
      </w:tr>
      <w:tr w14:paraId="4AFB2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5CED8E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报告期末在职员工的数量合计（人）</w:t>
            </w:r>
          </w:p>
        </w:tc>
        <w:tc>
          <w:tcPr>
            <w:tcW w:w="4820" w:type="dxa"/>
            <w:tcBorders>
              <w:top w:val="single" w:color="auto" w:sz="2" w:space="0"/>
              <w:left w:val="single" w:color="auto" w:sz="2" w:space="0"/>
              <w:bottom w:val="single" w:color="auto" w:sz="2" w:space="0"/>
              <w:right w:val="single" w:color="auto" w:sz="2" w:space="0"/>
            </w:tcBorders>
            <w:vAlign w:val="center"/>
          </w:tcPr>
          <w:p w14:paraId="035047D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535</w:t>
            </w:r>
          </w:p>
        </w:tc>
      </w:tr>
      <w:tr w14:paraId="68B27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0815008">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当期领取薪酬员工总人数（人）</w:t>
            </w:r>
          </w:p>
        </w:tc>
        <w:tc>
          <w:tcPr>
            <w:tcW w:w="4820" w:type="dxa"/>
            <w:tcBorders>
              <w:top w:val="single" w:color="auto" w:sz="2" w:space="0"/>
              <w:left w:val="single" w:color="auto" w:sz="2" w:space="0"/>
              <w:bottom w:val="single" w:color="auto" w:sz="2" w:space="0"/>
              <w:right w:val="single" w:color="auto" w:sz="2" w:space="0"/>
            </w:tcBorders>
            <w:vAlign w:val="center"/>
          </w:tcPr>
          <w:p w14:paraId="1A6F690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535</w:t>
            </w:r>
          </w:p>
        </w:tc>
      </w:tr>
      <w:tr w14:paraId="6AD30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CDD583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母公司及主要子公司需承担费用的离退休职工人数（人）</w:t>
            </w:r>
          </w:p>
        </w:tc>
        <w:tc>
          <w:tcPr>
            <w:tcW w:w="4820" w:type="dxa"/>
            <w:tcBorders>
              <w:top w:val="single" w:color="auto" w:sz="2" w:space="0"/>
              <w:left w:val="single" w:color="auto" w:sz="2" w:space="0"/>
              <w:bottom w:val="single" w:color="auto" w:sz="2" w:space="0"/>
              <w:right w:val="single" w:color="auto" w:sz="2" w:space="0"/>
            </w:tcBorders>
            <w:vAlign w:val="center"/>
          </w:tcPr>
          <w:p w14:paraId="0EEE0A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14:paraId="77618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ABE76C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专业构成</w:t>
            </w:r>
          </w:p>
        </w:tc>
      </w:tr>
      <w:tr w14:paraId="4E4CA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655C9A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专业构成类别</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265C25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专业构成人数（人）</w:t>
            </w:r>
          </w:p>
        </w:tc>
      </w:tr>
      <w:tr w14:paraId="17146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E08319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生产人员</w:t>
            </w:r>
          </w:p>
        </w:tc>
        <w:tc>
          <w:tcPr>
            <w:tcW w:w="4820" w:type="dxa"/>
            <w:tcBorders>
              <w:top w:val="single" w:color="auto" w:sz="2" w:space="0"/>
              <w:left w:val="single" w:color="auto" w:sz="2" w:space="0"/>
              <w:bottom w:val="single" w:color="auto" w:sz="2" w:space="0"/>
              <w:right w:val="single" w:color="auto" w:sz="2" w:space="0"/>
            </w:tcBorders>
            <w:vAlign w:val="center"/>
          </w:tcPr>
          <w:p w14:paraId="798E73A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155</w:t>
            </w:r>
          </w:p>
        </w:tc>
      </w:tr>
      <w:tr w14:paraId="3757C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A547E2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销售人员</w:t>
            </w:r>
          </w:p>
        </w:tc>
        <w:tc>
          <w:tcPr>
            <w:tcW w:w="4820" w:type="dxa"/>
            <w:tcBorders>
              <w:top w:val="single" w:color="auto" w:sz="2" w:space="0"/>
              <w:left w:val="single" w:color="auto" w:sz="2" w:space="0"/>
              <w:bottom w:val="single" w:color="auto" w:sz="2" w:space="0"/>
              <w:right w:val="single" w:color="auto" w:sz="2" w:space="0"/>
            </w:tcBorders>
            <w:vAlign w:val="center"/>
          </w:tcPr>
          <w:p w14:paraId="56338F9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w:t>
            </w:r>
          </w:p>
        </w:tc>
      </w:tr>
      <w:tr w14:paraId="1BFB4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24346F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技术人员</w:t>
            </w:r>
          </w:p>
        </w:tc>
        <w:tc>
          <w:tcPr>
            <w:tcW w:w="4820" w:type="dxa"/>
            <w:tcBorders>
              <w:top w:val="single" w:color="auto" w:sz="2" w:space="0"/>
              <w:left w:val="single" w:color="auto" w:sz="2" w:space="0"/>
              <w:bottom w:val="single" w:color="auto" w:sz="2" w:space="0"/>
              <w:right w:val="single" w:color="auto" w:sz="2" w:space="0"/>
            </w:tcBorders>
            <w:vAlign w:val="center"/>
          </w:tcPr>
          <w:p w14:paraId="11D8D0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w:t>
            </w:r>
          </w:p>
        </w:tc>
      </w:tr>
      <w:tr w14:paraId="3FA0C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B13169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财务人员</w:t>
            </w:r>
          </w:p>
        </w:tc>
        <w:tc>
          <w:tcPr>
            <w:tcW w:w="4820" w:type="dxa"/>
            <w:tcBorders>
              <w:top w:val="single" w:color="auto" w:sz="2" w:space="0"/>
              <w:left w:val="single" w:color="auto" w:sz="2" w:space="0"/>
              <w:bottom w:val="single" w:color="auto" w:sz="2" w:space="0"/>
              <w:right w:val="single" w:color="auto" w:sz="2" w:space="0"/>
            </w:tcBorders>
            <w:vAlign w:val="center"/>
          </w:tcPr>
          <w:p w14:paraId="22993B2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w:t>
            </w:r>
          </w:p>
        </w:tc>
      </w:tr>
      <w:tr w14:paraId="43C55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8AABFE3">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行政人员</w:t>
            </w:r>
          </w:p>
        </w:tc>
        <w:tc>
          <w:tcPr>
            <w:tcW w:w="4820" w:type="dxa"/>
            <w:tcBorders>
              <w:top w:val="single" w:color="auto" w:sz="2" w:space="0"/>
              <w:left w:val="single" w:color="auto" w:sz="2" w:space="0"/>
              <w:bottom w:val="single" w:color="auto" w:sz="2" w:space="0"/>
              <w:right w:val="single" w:color="auto" w:sz="2" w:space="0"/>
            </w:tcBorders>
            <w:vAlign w:val="center"/>
          </w:tcPr>
          <w:p w14:paraId="7401E50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w:t>
            </w:r>
          </w:p>
        </w:tc>
      </w:tr>
      <w:tr w14:paraId="57155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0AC390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14:paraId="2162C91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535</w:t>
            </w:r>
          </w:p>
        </w:tc>
      </w:tr>
      <w:tr w14:paraId="49813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AF96B9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教育程度</w:t>
            </w:r>
          </w:p>
        </w:tc>
      </w:tr>
      <w:tr w14:paraId="656AE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1404CE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教育程度类别</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3F176D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数量（人）</w:t>
            </w:r>
          </w:p>
        </w:tc>
      </w:tr>
      <w:tr w14:paraId="4FB0B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8FBCAE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硕士及以上学历</w:t>
            </w:r>
          </w:p>
        </w:tc>
        <w:tc>
          <w:tcPr>
            <w:tcW w:w="4820" w:type="dxa"/>
            <w:tcBorders>
              <w:top w:val="single" w:color="auto" w:sz="2" w:space="0"/>
              <w:left w:val="single" w:color="auto" w:sz="2" w:space="0"/>
              <w:bottom w:val="single" w:color="auto" w:sz="2" w:space="0"/>
              <w:right w:val="single" w:color="auto" w:sz="2" w:space="0"/>
            </w:tcBorders>
            <w:vAlign w:val="center"/>
          </w:tcPr>
          <w:p w14:paraId="2119073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w:t>
            </w:r>
          </w:p>
        </w:tc>
      </w:tr>
      <w:tr w14:paraId="1BAAC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4B3972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本科学历</w:t>
            </w:r>
          </w:p>
        </w:tc>
        <w:tc>
          <w:tcPr>
            <w:tcW w:w="4820" w:type="dxa"/>
            <w:tcBorders>
              <w:top w:val="single" w:color="auto" w:sz="2" w:space="0"/>
              <w:left w:val="single" w:color="auto" w:sz="2" w:space="0"/>
              <w:bottom w:val="single" w:color="auto" w:sz="2" w:space="0"/>
              <w:right w:val="single" w:color="auto" w:sz="2" w:space="0"/>
            </w:tcBorders>
            <w:vAlign w:val="center"/>
          </w:tcPr>
          <w:p w14:paraId="53A117E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219</w:t>
            </w:r>
          </w:p>
        </w:tc>
      </w:tr>
      <w:tr w14:paraId="6110F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F81FAA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专科及以下学历</w:t>
            </w:r>
          </w:p>
        </w:tc>
        <w:tc>
          <w:tcPr>
            <w:tcW w:w="4820" w:type="dxa"/>
            <w:tcBorders>
              <w:top w:val="single" w:color="auto" w:sz="2" w:space="0"/>
              <w:left w:val="single" w:color="auto" w:sz="2" w:space="0"/>
              <w:bottom w:val="single" w:color="auto" w:sz="2" w:space="0"/>
              <w:right w:val="single" w:color="auto" w:sz="2" w:space="0"/>
            </w:tcBorders>
            <w:vAlign w:val="center"/>
          </w:tcPr>
          <w:p w14:paraId="093CAC5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266</w:t>
            </w:r>
          </w:p>
        </w:tc>
      </w:tr>
      <w:tr w14:paraId="2F2BD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C3C4A5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14:paraId="6BCE1B2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535</w:t>
            </w:r>
          </w:p>
        </w:tc>
      </w:tr>
    </w:tbl>
    <w:p w14:paraId="731C2272">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106" w:name="_Toc988958"/>
      <w:r>
        <w:rPr>
          <w:rFonts w:hint="default" w:ascii="Times New Roman" w:hAnsi="Times New Roman" w:eastAsia="宋体" w:cs="Times New Roman"/>
          <w:b/>
          <w:bCs/>
          <w:sz w:val="21"/>
          <w:szCs w:val="21"/>
        </w:rPr>
        <w:t>2、薪酬政策</w:t>
      </w:r>
      <w:bookmarkEnd w:id="106"/>
    </w:p>
    <w:p w14:paraId="4F87BA1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363"/>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公司严格遵守《劳动法》等相关法律法规及规范性文件的要求，为员工提供五险一金、带薪休假等法定福利，切实保障员工在劳动保护、工资支付、社会保险等方面的合法权利和利益。公司重视人才的引入和激励，努力建立兼顾内部公平性和市场竞争性的薪酬体系，努力实现员工在薪酬分配上的</w:t>
      </w:r>
      <w:r>
        <w:rPr>
          <w:rFonts w:hint="eastAsia" w:cs="Times New Roman"/>
          <w:sz w:val="18"/>
          <w:szCs w:val="18"/>
          <w:lang w:eastAsia="zh-CN"/>
        </w:rPr>
        <w:t>“</w:t>
      </w:r>
      <w:r>
        <w:rPr>
          <w:rFonts w:hint="default" w:ascii="Times New Roman" w:hAnsi="Times New Roman" w:eastAsia="宋体" w:cs="Times New Roman"/>
          <w:sz w:val="18"/>
          <w:szCs w:val="18"/>
        </w:rPr>
        <w:t>责任与利益一致、能力与价值一致、业绩与收益一致</w:t>
      </w:r>
      <w:r>
        <w:rPr>
          <w:rFonts w:hint="eastAsia" w:cs="Times New Roman"/>
          <w:sz w:val="18"/>
          <w:szCs w:val="18"/>
          <w:lang w:eastAsia="zh-CN"/>
        </w:rPr>
        <w:t>”</w:t>
      </w:r>
      <w:r>
        <w:rPr>
          <w:rFonts w:hint="default" w:ascii="Times New Roman" w:hAnsi="Times New Roman" w:eastAsia="宋体" w:cs="Times New Roman"/>
          <w:sz w:val="18"/>
          <w:szCs w:val="18"/>
        </w:rPr>
        <w:t>的目标，促进公司经营和业绩的持续、稳定、健康发展。</w:t>
      </w:r>
    </w:p>
    <w:p w14:paraId="43017326">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107" w:name="_Toc988959"/>
      <w:r>
        <w:rPr>
          <w:rFonts w:hint="default" w:ascii="Times New Roman" w:hAnsi="Times New Roman" w:eastAsia="宋体" w:cs="Times New Roman"/>
          <w:b/>
          <w:bCs/>
          <w:sz w:val="21"/>
          <w:szCs w:val="21"/>
        </w:rPr>
        <w:t>3、培训计划</w:t>
      </w:r>
      <w:bookmarkEnd w:id="107"/>
    </w:p>
    <w:p w14:paraId="7E54A74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363"/>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积极为员工拓宽培训和发展渠道，开展多层次培训，对管理技术岗位围绕岗位胜任力开展培训，报告期内公司有序推进新员工、生产一线人才、特殊工种岗位人员、中高层管理人员培训等，在提高员工岗位胜任力的同时，注重管理能力建设，公司管理层带头开展管理经验推广及文化宣讲活动，提升员工的凝聚力和向心力。聚焦销售一线，促进研发、生产、质量、采购、财务等工作与销售业务的深度融合，更好地促进公司业务的稳健发展和员工满意度的提升。</w:t>
      </w:r>
    </w:p>
    <w:p w14:paraId="0A3C8838">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108" w:name="_Toc988960"/>
      <w:r>
        <w:rPr>
          <w:rFonts w:hint="default" w:ascii="Times New Roman" w:hAnsi="Times New Roman" w:eastAsia="宋体" w:cs="Times New Roman"/>
          <w:b/>
          <w:bCs/>
          <w:sz w:val="21"/>
          <w:szCs w:val="21"/>
        </w:rPr>
        <w:t>4、劳务外包情况</w:t>
      </w:r>
      <w:bookmarkEnd w:id="108"/>
    </w:p>
    <w:p w14:paraId="570D12E0">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3610A2B4">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109" w:name="_Toc15681"/>
      <w:bookmarkStart w:id="110" w:name="_Toc988961"/>
      <w:r>
        <w:rPr>
          <w:rFonts w:hint="default" w:ascii="Times New Roman" w:hAnsi="Times New Roman" w:eastAsia="宋体" w:cs="Times New Roman"/>
          <w:b/>
          <w:bCs/>
          <w:sz w:val="24"/>
          <w:szCs w:val="24"/>
        </w:rPr>
        <w:t>十一、公司利润分配及资本公积金转增股本情况</w:t>
      </w:r>
      <w:bookmarkEnd w:id="109"/>
      <w:bookmarkEnd w:id="110"/>
    </w:p>
    <w:p w14:paraId="79D9DAAF">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报告期内利润分配政策，特别是现金分红政策的制定、执行或调整情况</w:t>
      </w:r>
    </w:p>
    <w:p w14:paraId="3F084270">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54B26DC7">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公司报告期利润分配预案及资本公积金转增股本预案与公司章程和分红管理办法等的相关规定一致</w:t>
      </w:r>
    </w:p>
    <w:p w14:paraId="3E77CC5C">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是 □否 □不适用</w:t>
      </w:r>
    </w:p>
    <w:p w14:paraId="5C880678">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公司报告期利润分配预案及资本公积金转增股本预案符合公司章程等的相关规定。</w:t>
      </w:r>
    </w:p>
    <w:p w14:paraId="5E9AA12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本年度利润分配及资本公积金转增股本情况</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0"/>
      </w:tblGrid>
      <w:tr w14:paraId="3DEB8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tcBorders>
              <w:top w:val="single" w:color="auto" w:sz="2" w:space="0"/>
              <w:left w:val="single" w:color="auto" w:sz="2" w:space="0"/>
              <w:bottom w:val="single" w:color="auto" w:sz="2" w:space="0"/>
              <w:right w:val="single" w:color="auto" w:sz="2" w:space="0"/>
            </w:tcBorders>
            <w:shd w:val="clear" w:color="auto" w:fill="D3D3D3"/>
            <w:vAlign w:val="center"/>
          </w:tcPr>
          <w:p w14:paraId="124B58E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本次现金分红情况</w:t>
            </w:r>
          </w:p>
        </w:tc>
      </w:tr>
      <w:tr w14:paraId="26C1C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tcBorders>
              <w:top w:val="single" w:color="auto" w:sz="2" w:space="0"/>
              <w:left w:val="single" w:color="auto" w:sz="2" w:space="0"/>
              <w:bottom w:val="single" w:color="auto" w:sz="2" w:space="0"/>
              <w:right w:val="single" w:color="auto" w:sz="2" w:space="0"/>
            </w:tcBorders>
            <w:vAlign w:val="center"/>
          </w:tcPr>
          <w:p w14:paraId="11800A7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r>
      <w:tr w14:paraId="669F0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tcBorders>
              <w:top w:val="single" w:color="auto" w:sz="2" w:space="0"/>
              <w:left w:val="single" w:color="auto" w:sz="2" w:space="0"/>
              <w:bottom w:val="single" w:color="auto" w:sz="2" w:space="0"/>
              <w:right w:val="single" w:color="auto" w:sz="2" w:space="0"/>
            </w:tcBorders>
            <w:shd w:val="clear" w:color="auto" w:fill="D3D3D3"/>
            <w:vAlign w:val="center"/>
          </w:tcPr>
          <w:p w14:paraId="21D6118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利润分配或资本公积金转增预案的详细情况说明</w:t>
            </w:r>
          </w:p>
        </w:tc>
      </w:tr>
    </w:tbl>
    <w:p w14:paraId="49A8537D">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公司报告期内盈利且母公司可供股东分配利润为正但未提出现金红利分配预案</w:t>
      </w:r>
    </w:p>
    <w:p w14:paraId="022CDF8C">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7778F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DB53A0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报告期内盈利且母公司可供股东分配利润为正但未提出现金红利分配预案的原因</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C3B242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公司未分配利润的用途和使用计划</w:t>
            </w:r>
          </w:p>
        </w:tc>
      </w:tr>
      <w:tr w14:paraId="43B5D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92BDF7B">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根据《上市公司监管指引第3号——上市公司现金分红》《股票上市规则》《创业板</w:t>
            </w:r>
            <w:r>
              <w:rPr>
                <w:rFonts w:hint="eastAsia" w:cs="Times New Roman"/>
                <w:sz w:val="18"/>
                <w:szCs w:val="18"/>
                <w:lang w:val="en-US" w:eastAsia="zh-CN"/>
              </w:rPr>
              <w:t>上市公司</w:t>
            </w:r>
            <w:r>
              <w:rPr>
                <w:rFonts w:hint="default" w:ascii="Times New Roman" w:hAnsi="Times New Roman" w:eastAsia="宋体" w:cs="Times New Roman"/>
                <w:sz w:val="18"/>
                <w:szCs w:val="18"/>
              </w:rPr>
              <w:t>规范运作指引》《公司章程》等相关规定，</w:t>
            </w:r>
            <w:r>
              <w:rPr>
                <w:rFonts w:hint="eastAsia" w:cs="Times New Roman"/>
                <w:sz w:val="18"/>
                <w:szCs w:val="18"/>
                <w:lang w:eastAsia="zh-CN"/>
              </w:rPr>
              <w:t>“</w:t>
            </w:r>
            <w:r>
              <w:rPr>
                <w:rFonts w:hint="default" w:ascii="Times New Roman" w:hAnsi="Times New Roman" w:eastAsia="宋体" w:cs="Times New Roman"/>
                <w:sz w:val="18"/>
                <w:szCs w:val="18"/>
              </w:rPr>
              <w:t>上市公司制定利润分配方案时，应当以母公司报表中可供分配利润为依据。同时，为避免出现超分配的情况，公司应当以合并报表、母公司报表中可供分配利润孰低的原则来确定具体的利润分配总额和比例</w:t>
            </w:r>
            <w:r>
              <w:rPr>
                <w:rFonts w:hint="eastAsia" w:cs="Times New Roman"/>
                <w:sz w:val="18"/>
                <w:szCs w:val="18"/>
                <w:lang w:eastAsia="zh-CN"/>
              </w:rPr>
              <w:t>”</w:t>
            </w:r>
            <w:r>
              <w:rPr>
                <w:rFonts w:hint="default" w:ascii="Times New Roman" w:hAnsi="Times New Roman" w:eastAsia="宋体" w:cs="Times New Roman"/>
                <w:sz w:val="18"/>
                <w:szCs w:val="18"/>
              </w:rPr>
              <w:t>。截至2025年度末公司合并报表累计可供分配利润为负数，未达到现金分红条件。</w:t>
            </w:r>
          </w:p>
        </w:tc>
        <w:tc>
          <w:tcPr>
            <w:tcW w:w="4820" w:type="dxa"/>
            <w:tcBorders>
              <w:top w:val="single" w:color="auto" w:sz="2" w:space="0"/>
              <w:left w:val="single" w:color="auto" w:sz="2" w:space="0"/>
              <w:bottom w:val="single" w:color="auto" w:sz="2" w:space="0"/>
              <w:right w:val="single" w:color="auto" w:sz="2" w:space="0"/>
            </w:tcBorders>
            <w:vAlign w:val="center"/>
          </w:tcPr>
          <w:p w14:paraId="2DB42DE0">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鉴于公司本年度未分配利润金额较小，为了保障公司持续稳定经营，增强抵御市场风险的能力，公司拟将本年度实现的未分配利润留存用于补充日常运营资金、支持业务稳步发展。</w:t>
            </w:r>
          </w:p>
        </w:tc>
      </w:tr>
    </w:tbl>
    <w:p w14:paraId="3B005250">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111" w:name="_Toc27990"/>
      <w:bookmarkStart w:id="112" w:name="_Toc988962"/>
      <w:r>
        <w:rPr>
          <w:rFonts w:hint="default" w:ascii="Times New Roman" w:hAnsi="Times New Roman" w:eastAsia="宋体" w:cs="Times New Roman"/>
          <w:b/>
          <w:bCs/>
          <w:sz w:val="24"/>
          <w:szCs w:val="24"/>
        </w:rPr>
        <w:t>十二、公司股权激励计划、员工持股计划或其他员工激励措施的实施情况</w:t>
      </w:r>
      <w:bookmarkEnd w:id="111"/>
      <w:bookmarkEnd w:id="112"/>
    </w:p>
    <w:p w14:paraId="5632F27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6012AA0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公司报告期无股权激励计划、员工持股计划或其他员工激励措施及其实施情况。</w:t>
      </w:r>
    </w:p>
    <w:p w14:paraId="29F01523">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113" w:name="_Toc14966"/>
      <w:bookmarkStart w:id="114" w:name="_Toc988963"/>
      <w:r>
        <w:rPr>
          <w:rFonts w:hint="default" w:ascii="Times New Roman" w:hAnsi="Times New Roman" w:eastAsia="宋体" w:cs="Times New Roman"/>
          <w:b/>
          <w:bCs/>
          <w:sz w:val="24"/>
          <w:szCs w:val="24"/>
        </w:rPr>
        <w:t>十三、报告期内的内部控制制度建设及实施情况</w:t>
      </w:r>
      <w:bookmarkEnd w:id="113"/>
      <w:bookmarkEnd w:id="114"/>
    </w:p>
    <w:p w14:paraId="26197DF8">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115" w:name="_Toc988964"/>
      <w:r>
        <w:rPr>
          <w:rFonts w:hint="default" w:ascii="Times New Roman" w:hAnsi="Times New Roman" w:eastAsia="宋体" w:cs="Times New Roman"/>
          <w:b/>
          <w:bCs/>
          <w:sz w:val="21"/>
          <w:szCs w:val="21"/>
        </w:rPr>
        <w:t>1、内部控制建设及实施情况</w:t>
      </w:r>
      <w:bookmarkEnd w:id="115"/>
    </w:p>
    <w:p w14:paraId="299B82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3"/>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重视风险管理和内部控制环境，已建立良好的治理结构与组织架构、完善的制度体系，在公司治理、安全生产、产品质量管理、业务管理、财务管理、人力资源管理、子公司管理等方面建立了内部控制体系，同时公司重视企业文化建设，并积极承担社会责任。公司针对财务会计、募集资金、投资活动、产品质量、采购业务、销售业务、资产管理、合同管理、关联交易、对外担保、信息披露、子公司管理等，制订了一系列管控制度并严格执行。</w:t>
      </w:r>
    </w:p>
    <w:p w14:paraId="4FDAD0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3"/>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公司成立风险控制部并下设内控部和内审部，建立了内审制度和配置专职人员，并向审计委员会汇报工作。内控部负责公司内控体系的建立和完善，建立反舞弊机制、把控公司法律层面风险以及投后风险等；内审部负责对公司及下属子公司的财务信息真实性和完整性、内部控制的健全和有效性等情况进行检查监督，并作出合理评价和提出改进建议。通过内控和内审，不断完善公司内控体系并促进有效执行，进一步提高风险防范能力，在公司内部形成有权必有责、用权受监督的良好氛围。</w:t>
      </w:r>
    </w:p>
    <w:p w14:paraId="41FB21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3"/>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报告期内，公司持续完善内部控制体系，进一步建立健全公司内部管理和控制制度，强化内部审计监督，梳理完善审计委员会及内审部的职能职责，强化在董事会领导下行使监督权，加强内审部对公司内部控制制度执行情况的监督力度，提高内部审计工作的深度和广度，强化关键岗位的内控意识和责任、加强内部控制培训及学习，及时组织董事、高级管理人员参加监管合规学习，有针对性地开展面向中层管理人员、普通员工的合规培训，持续强化董事会及关键岗位的内控意识和责任，充分认识完备的内部控制制度在改善企业管理、增强风险防控、帮助企业高质量发展中的重要性，强化合规经营意识，确保内部控制制度得到有效执行，切实提升公司规范运作水平，促进公司健康可持续发展。</w:t>
      </w:r>
    </w:p>
    <w:p w14:paraId="2EC10B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3"/>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18"/>
          <w:szCs w:val="18"/>
        </w:rPr>
        <w:t>根据公司财务报告内部控制重大缺陷的认定情况，于内部控制评价报告基准日，不存在财务报告内部控制重大缺陷。公司已按照企业内部控制规范体系和相关规定的要求在所有重大方面保持了有效的财务报告内部控制。根据公司非财务报告内部控制重大缺陷认定情况，于内部控制评价报告基准日，不存在非财务报告内部控制重大缺陷。</w:t>
      </w:r>
    </w:p>
    <w:p w14:paraId="4AB549E1">
      <w:pPr>
        <w:pStyle w:val="3"/>
        <w:keepNext/>
        <w:keepLines/>
        <w:spacing w:before="300" w:after="300" w:line="280" w:lineRule="exact"/>
        <w:jc w:val="left"/>
        <w:outlineLvl w:val="2"/>
        <w:rPr>
          <w:rFonts w:ascii="宋体" w:hAnsi="宋体" w:eastAsia="宋体" w:cs="宋体"/>
          <w:b/>
          <w:bCs/>
          <w:sz w:val="21"/>
          <w:szCs w:val="21"/>
        </w:rPr>
      </w:pPr>
      <w:bookmarkStart w:id="116" w:name="_Toc988965"/>
      <w:r>
        <w:rPr>
          <w:rFonts w:ascii="宋体" w:hAnsi="宋体" w:eastAsia="宋体" w:cs="宋体"/>
          <w:b/>
          <w:bCs/>
          <w:sz w:val="21"/>
          <w:szCs w:val="21"/>
        </w:rPr>
        <w:t>2、报告期内发现的内部控制重大缺陷的具体情况</w:t>
      </w:r>
      <w:bookmarkEnd w:id="116"/>
    </w:p>
    <w:p w14:paraId="0E916DCE">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480AE88F">
      <w:pPr>
        <w:pStyle w:val="2"/>
        <w:keepNext/>
        <w:keepLines/>
        <w:spacing w:before="300" w:after="300" w:line="320" w:lineRule="exact"/>
        <w:jc w:val="left"/>
        <w:outlineLvl w:val="1"/>
        <w:rPr>
          <w:rFonts w:ascii="宋体" w:hAnsi="宋体" w:eastAsia="宋体" w:cs="宋体"/>
          <w:b/>
          <w:bCs/>
          <w:sz w:val="24"/>
          <w:szCs w:val="24"/>
        </w:rPr>
      </w:pPr>
      <w:bookmarkStart w:id="117" w:name="_Toc23085"/>
      <w:bookmarkStart w:id="118" w:name="_Toc988966"/>
      <w:r>
        <w:rPr>
          <w:rFonts w:ascii="宋体" w:hAnsi="宋体" w:eastAsia="宋体" w:cs="宋体"/>
          <w:b/>
          <w:bCs/>
          <w:sz w:val="24"/>
          <w:szCs w:val="24"/>
        </w:rPr>
        <w:t>十四、公司报告期内对子公司的管理控制情况</w:t>
      </w:r>
      <w:bookmarkEnd w:id="117"/>
      <w:bookmarkEnd w:id="118"/>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0C69B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3B96734">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D9CE04E">
            <w:pPr>
              <w:spacing w:before="40" w:after="40" w:line="240" w:lineRule="exact"/>
              <w:jc w:val="center"/>
              <w:rPr>
                <w:rFonts w:ascii="宋体" w:hAnsi="宋体" w:eastAsia="宋体" w:cs="宋体"/>
                <w:sz w:val="18"/>
                <w:szCs w:val="18"/>
              </w:rPr>
            </w:pPr>
            <w:r>
              <w:rPr>
                <w:rFonts w:ascii="宋体" w:hAnsi="宋体" w:eastAsia="宋体" w:cs="宋体"/>
                <w:sz w:val="18"/>
                <w:szCs w:val="18"/>
              </w:rPr>
              <w:t>整合计划</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A017366">
            <w:pPr>
              <w:spacing w:before="40" w:after="40" w:line="240" w:lineRule="exact"/>
              <w:jc w:val="center"/>
              <w:rPr>
                <w:rFonts w:ascii="宋体" w:hAnsi="宋体" w:eastAsia="宋体" w:cs="宋体"/>
                <w:sz w:val="18"/>
                <w:szCs w:val="18"/>
              </w:rPr>
            </w:pPr>
            <w:r>
              <w:rPr>
                <w:rFonts w:ascii="宋体" w:hAnsi="宋体" w:eastAsia="宋体" w:cs="宋体"/>
                <w:sz w:val="18"/>
                <w:szCs w:val="18"/>
              </w:rPr>
              <w:t>整合进展</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CCCF330">
            <w:pPr>
              <w:spacing w:before="40" w:after="40" w:line="240" w:lineRule="exact"/>
              <w:jc w:val="center"/>
              <w:rPr>
                <w:rFonts w:ascii="宋体" w:hAnsi="宋体" w:eastAsia="宋体" w:cs="宋体"/>
                <w:sz w:val="18"/>
                <w:szCs w:val="18"/>
              </w:rPr>
            </w:pPr>
            <w:r>
              <w:rPr>
                <w:rFonts w:ascii="宋体" w:hAnsi="宋体" w:eastAsia="宋体" w:cs="宋体"/>
                <w:sz w:val="18"/>
                <w:szCs w:val="18"/>
              </w:rPr>
              <w:t>整合中遇到的问题</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67C0D91">
            <w:pPr>
              <w:spacing w:before="40" w:after="40" w:line="240" w:lineRule="exact"/>
              <w:jc w:val="center"/>
              <w:rPr>
                <w:rFonts w:ascii="宋体" w:hAnsi="宋体" w:eastAsia="宋体" w:cs="宋体"/>
                <w:sz w:val="18"/>
                <w:szCs w:val="18"/>
              </w:rPr>
            </w:pPr>
            <w:r>
              <w:rPr>
                <w:rFonts w:ascii="宋体" w:hAnsi="宋体" w:eastAsia="宋体" w:cs="宋体"/>
                <w:sz w:val="18"/>
                <w:szCs w:val="18"/>
              </w:rPr>
              <w:t>已采取的解决措施</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820E4B2">
            <w:pPr>
              <w:spacing w:before="40" w:after="40" w:line="240" w:lineRule="exact"/>
              <w:jc w:val="center"/>
              <w:rPr>
                <w:rFonts w:ascii="宋体" w:hAnsi="宋体" w:eastAsia="宋体" w:cs="宋体"/>
                <w:sz w:val="18"/>
                <w:szCs w:val="18"/>
              </w:rPr>
            </w:pPr>
            <w:r>
              <w:rPr>
                <w:rFonts w:ascii="宋体" w:hAnsi="宋体" w:eastAsia="宋体" w:cs="宋体"/>
                <w:sz w:val="18"/>
                <w:szCs w:val="18"/>
              </w:rPr>
              <w:t>解决进展</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7B842A0">
            <w:pPr>
              <w:spacing w:before="40" w:after="40" w:line="240" w:lineRule="exact"/>
              <w:jc w:val="center"/>
              <w:rPr>
                <w:rFonts w:ascii="宋体" w:hAnsi="宋体" w:eastAsia="宋体" w:cs="宋体"/>
                <w:sz w:val="18"/>
                <w:szCs w:val="18"/>
              </w:rPr>
            </w:pPr>
            <w:r>
              <w:rPr>
                <w:rFonts w:ascii="宋体" w:hAnsi="宋体" w:eastAsia="宋体" w:cs="宋体"/>
                <w:sz w:val="18"/>
                <w:szCs w:val="18"/>
              </w:rPr>
              <w:t>后续解决计划</w:t>
            </w:r>
          </w:p>
        </w:tc>
      </w:tr>
      <w:tr w14:paraId="61E23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865F42D">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66D826B6">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5894CEA6">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409082E2">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4337B073">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2525118D">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67F53356">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bl>
    <w:p w14:paraId="47914E30">
      <w:pPr>
        <w:spacing w:before="100" w:after="100" w:line="240" w:lineRule="exact"/>
        <w:jc w:val="left"/>
        <w:rPr>
          <w:rFonts w:ascii="宋体" w:hAnsi="宋体" w:eastAsia="宋体" w:cs="宋体"/>
          <w:sz w:val="18"/>
          <w:szCs w:val="18"/>
        </w:rPr>
      </w:pPr>
      <w:r>
        <w:rPr>
          <w:rFonts w:ascii="宋体" w:hAnsi="宋体" w:eastAsia="宋体" w:cs="宋体"/>
          <w:sz w:val="18"/>
          <w:szCs w:val="18"/>
        </w:rPr>
        <w:t>对子公司的管理控制存在异常</w:t>
      </w:r>
    </w:p>
    <w:p w14:paraId="1E39ADBE">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26D45ACD">
      <w:pPr>
        <w:pStyle w:val="2"/>
        <w:keepNext/>
        <w:keepLines/>
        <w:spacing w:before="300" w:after="300" w:line="320" w:lineRule="exact"/>
        <w:jc w:val="left"/>
        <w:outlineLvl w:val="1"/>
        <w:rPr>
          <w:rFonts w:ascii="宋体" w:hAnsi="宋体" w:eastAsia="宋体" w:cs="宋体"/>
          <w:b/>
          <w:bCs/>
          <w:sz w:val="24"/>
          <w:szCs w:val="24"/>
        </w:rPr>
      </w:pPr>
      <w:bookmarkStart w:id="119" w:name="_Toc18487"/>
      <w:bookmarkStart w:id="120" w:name="_Toc988967"/>
      <w:r>
        <w:rPr>
          <w:rFonts w:ascii="宋体" w:hAnsi="宋体" w:eastAsia="宋体" w:cs="宋体"/>
          <w:b/>
          <w:bCs/>
          <w:sz w:val="24"/>
          <w:szCs w:val="24"/>
        </w:rPr>
        <w:t>十五、内部控制评价报告及内部控制审计报告</w:t>
      </w:r>
      <w:bookmarkEnd w:id="119"/>
      <w:bookmarkEnd w:id="120"/>
    </w:p>
    <w:p w14:paraId="3D6DCB4C">
      <w:pPr>
        <w:pStyle w:val="3"/>
        <w:keepNext/>
        <w:keepLines/>
        <w:spacing w:before="300" w:after="300" w:line="280" w:lineRule="exact"/>
        <w:jc w:val="left"/>
        <w:outlineLvl w:val="2"/>
        <w:rPr>
          <w:rFonts w:ascii="宋体" w:hAnsi="宋体" w:eastAsia="宋体" w:cs="宋体"/>
          <w:b/>
          <w:bCs/>
          <w:sz w:val="21"/>
          <w:szCs w:val="21"/>
        </w:rPr>
      </w:pPr>
      <w:bookmarkStart w:id="121" w:name="_Toc988968"/>
      <w:r>
        <w:rPr>
          <w:rFonts w:hint="default" w:ascii="Times New Roman" w:hAnsi="Times New Roman" w:eastAsia="宋体" w:cs="Times New Roman"/>
          <w:b/>
          <w:bCs/>
          <w:sz w:val="21"/>
          <w:szCs w:val="21"/>
        </w:rPr>
        <w:t>1</w:t>
      </w:r>
      <w:r>
        <w:rPr>
          <w:rFonts w:ascii="宋体" w:hAnsi="宋体" w:eastAsia="宋体" w:cs="宋体"/>
          <w:b/>
          <w:bCs/>
          <w:sz w:val="21"/>
          <w:szCs w:val="21"/>
        </w:rPr>
        <w:t>、内控评价报告</w:t>
      </w:r>
      <w:bookmarkEnd w:id="121"/>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2F8F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EA3B15">
            <w:pPr>
              <w:spacing w:before="40" w:after="40" w:line="240" w:lineRule="exact"/>
              <w:jc w:val="left"/>
              <w:rPr>
                <w:rFonts w:ascii="宋体" w:hAnsi="宋体" w:eastAsia="宋体" w:cs="宋体"/>
                <w:sz w:val="18"/>
                <w:szCs w:val="18"/>
              </w:rPr>
            </w:pPr>
            <w:r>
              <w:rPr>
                <w:rFonts w:ascii="宋体" w:hAnsi="宋体" w:eastAsia="宋体" w:cs="宋体"/>
                <w:sz w:val="18"/>
                <w:szCs w:val="18"/>
              </w:rPr>
              <w:t>内部控制评价报告全文披露日期</w:t>
            </w:r>
          </w:p>
        </w:tc>
        <w:tc>
          <w:tcPr>
            <w:tcW w:w="6426" w:type="dxa"/>
            <w:gridSpan w:val="2"/>
            <w:tcBorders>
              <w:top w:val="single" w:color="auto" w:sz="2" w:space="0"/>
              <w:left w:val="single" w:color="auto" w:sz="2" w:space="0"/>
              <w:bottom w:val="single" w:color="auto" w:sz="2" w:space="0"/>
              <w:right w:val="single" w:color="auto" w:sz="2" w:space="0"/>
            </w:tcBorders>
            <w:vAlign w:val="center"/>
          </w:tcPr>
          <w:p w14:paraId="7AED3BF6">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2026</w:t>
            </w:r>
            <w:r>
              <w:rPr>
                <w:rFonts w:ascii="宋体" w:hAnsi="宋体" w:eastAsia="宋体" w:cs="宋体"/>
                <w:sz w:val="18"/>
                <w:szCs w:val="18"/>
              </w:rPr>
              <w:t>年</w:t>
            </w:r>
            <w:r>
              <w:rPr>
                <w:rFonts w:hint="default" w:ascii="Times New Roman" w:hAnsi="Times New Roman" w:eastAsia="宋体" w:cs="Times New Roman"/>
                <w:sz w:val="18"/>
                <w:szCs w:val="18"/>
              </w:rPr>
              <w:t>03</w:t>
            </w:r>
            <w:r>
              <w:rPr>
                <w:rFonts w:ascii="宋体" w:hAnsi="宋体" w:eastAsia="宋体" w:cs="宋体"/>
                <w:sz w:val="18"/>
                <w:szCs w:val="18"/>
              </w:rPr>
              <w:t>月</w:t>
            </w:r>
            <w:r>
              <w:rPr>
                <w:rFonts w:hint="default" w:ascii="Times New Roman" w:hAnsi="Times New Roman" w:eastAsia="宋体" w:cs="Times New Roman"/>
                <w:sz w:val="18"/>
                <w:szCs w:val="18"/>
              </w:rPr>
              <w:t>26</w:t>
            </w:r>
            <w:r>
              <w:rPr>
                <w:rFonts w:ascii="宋体" w:hAnsi="宋体" w:eastAsia="宋体" w:cs="宋体"/>
                <w:sz w:val="18"/>
                <w:szCs w:val="18"/>
              </w:rPr>
              <w:t>日</w:t>
            </w:r>
          </w:p>
        </w:tc>
      </w:tr>
      <w:tr w14:paraId="4A49E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ACBCDD">
            <w:pPr>
              <w:spacing w:before="40" w:after="40" w:line="240" w:lineRule="exact"/>
              <w:jc w:val="left"/>
              <w:rPr>
                <w:rFonts w:ascii="宋体" w:hAnsi="宋体" w:eastAsia="宋体" w:cs="宋体"/>
                <w:sz w:val="18"/>
                <w:szCs w:val="18"/>
              </w:rPr>
            </w:pPr>
            <w:r>
              <w:rPr>
                <w:rFonts w:ascii="宋体" w:hAnsi="宋体" w:eastAsia="宋体" w:cs="宋体"/>
                <w:sz w:val="18"/>
                <w:szCs w:val="18"/>
              </w:rPr>
              <w:t>内部控制评价报告全文披露索引</w:t>
            </w:r>
          </w:p>
        </w:tc>
        <w:tc>
          <w:tcPr>
            <w:tcW w:w="6426" w:type="dxa"/>
            <w:gridSpan w:val="2"/>
            <w:tcBorders>
              <w:top w:val="single" w:color="auto" w:sz="2" w:space="0"/>
              <w:left w:val="single" w:color="auto" w:sz="2" w:space="0"/>
              <w:bottom w:val="single" w:color="auto" w:sz="2" w:space="0"/>
              <w:right w:val="single" w:color="auto" w:sz="2" w:space="0"/>
            </w:tcBorders>
            <w:vAlign w:val="center"/>
          </w:tcPr>
          <w:p w14:paraId="2FDFF128">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w:t>
            </w:r>
          </w:p>
        </w:tc>
      </w:tr>
      <w:tr w14:paraId="14FDC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43FCA3">
            <w:pPr>
              <w:spacing w:before="40" w:after="40" w:line="240" w:lineRule="exact"/>
              <w:jc w:val="left"/>
              <w:rPr>
                <w:rFonts w:ascii="宋体" w:hAnsi="宋体" w:eastAsia="宋体" w:cs="宋体"/>
                <w:sz w:val="18"/>
                <w:szCs w:val="18"/>
              </w:rPr>
            </w:pPr>
            <w:r>
              <w:rPr>
                <w:rFonts w:ascii="宋体" w:hAnsi="宋体" w:eastAsia="宋体" w:cs="宋体"/>
                <w:sz w:val="18"/>
                <w:szCs w:val="18"/>
              </w:rPr>
              <w:t>纳入评价范围单位资产总额占公司合并财务报表资产总额的比例</w:t>
            </w:r>
          </w:p>
        </w:tc>
        <w:tc>
          <w:tcPr>
            <w:tcW w:w="6426" w:type="dxa"/>
            <w:gridSpan w:val="2"/>
            <w:tcBorders>
              <w:top w:val="single" w:color="auto" w:sz="2" w:space="0"/>
              <w:left w:val="single" w:color="auto" w:sz="2" w:space="0"/>
              <w:bottom w:val="single" w:color="auto" w:sz="2" w:space="0"/>
              <w:right w:val="single" w:color="auto" w:sz="2" w:space="0"/>
            </w:tcBorders>
            <w:vAlign w:val="center"/>
          </w:tcPr>
          <w:p w14:paraId="3461F07B">
            <w:pPr>
              <w:spacing w:before="0" w:after="0" w:line="240" w:lineRule="exact"/>
              <w:jc w:val="right"/>
              <w:rPr>
                <w:rFonts w:ascii="宋体" w:hAnsi="宋体" w:eastAsia="宋体" w:cs="宋体"/>
                <w:sz w:val="18"/>
                <w:szCs w:val="18"/>
              </w:rPr>
            </w:pPr>
            <w:r>
              <w:rPr>
                <w:rFonts w:hint="default" w:ascii="Times New Roman" w:hAnsi="Times New Roman" w:eastAsia="宋体" w:cs="Times New Roman"/>
                <w:sz w:val="18"/>
                <w:szCs w:val="18"/>
              </w:rPr>
              <w:t>100</w:t>
            </w:r>
            <w:r>
              <w:rPr>
                <w:rFonts w:ascii="宋体" w:hAnsi="宋体" w:eastAsia="宋体" w:cs="宋体"/>
                <w:sz w:val="18"/>
                <w:szCs w:val="18"/>
              </w:rPr>
              <w:t>.</w:t>
            </w:r>
            <w:r>
              <w:rPr>
                <w:rFonts w:hint="default" w:ascii="Times New Roman" w:hAnsi="Times New Roman" w:eastAsia="宋体" w:cs="Times New Roman"/>
                <w:sz w:val="18"/>
                <w:szCs w:val="18"/>
              </w:rPr>
              <w:t>00</w:t>
            </w:r>
            <w:r>
              <w:rPr>
                <w:rFonts w:ascii="宋体" w:hAnsi="宋体" w:eastAsia="宋体" w:cs="宋体"/>
                <w:sz w:val="18"/>
                <w:szCs w:val="18"/>
              </w:rPr>
              <w:t>%</w:t>
            </w:r>
          </w:p>
        </w:tc>
      </w:tr>
      <w:tr w14:paraId="4C80F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C4AFFC">
            <w:pPr>
              <w:spacing w:before="40" w:after="40" w:line="240" w:lineRule="exact"/>
              <w:jc w:val="left"/>
              <w:rPr>
                <w:rFonts w:ascii="宋体" w:hAnsi="宋体" w:eastAsia="宋体" w:cs="宋体"/>
                <w:sz w:val="18"/>
                <w:szCs w:val="18"/>
              </w:rPr>
            </w:pPr>
            <w:r>
              <w:rPr>
                <w:rFonts w:ascii="宋体" w:hAnsi="宋体" w:eastAsia="宋体" w:cs="宋体"/>
                <w:sz w:val="18"/>
                <w:szCs w:val="18"/>
              </w:rPr>
              <w:t>纳入评价范围单位营业收入占公司合并财务报表营业收入的比例</w:t>
            </w:r>
          </w:p>
        </w:tc>
        <w:tc>
          <w:tcPr>
            <w:tcW w:w="6426" w:type="dxa"/>
            <w:gridSpan w:val="2"/>
            <w:tcBorders>
              <w:top w:val="single" w:color="auto" w:sz="2" w:space="0"/>
              <w:left w:val="single" w:color="auto" w:sz="2" w:space="0"/>
              <w:bottom w:val="single" w:color="auto" w:sz="2" w:space="0"/>
              <w:right w:val="single" w:color="auto" w:sz="2" w:space="0"/>
            </w:tcBorders>
            <w:vAlign w:val="center"/>
          </w:tcPr>
          <w:p w14:paraId="293E1350">
            <w:pPr>
              <w:spacing w:before="0" w:after="0" w:line="240" w:lineRule="exact"/>
              <w:jc w:val="right"/>
              <w:rPr>
                <w:rFonts w:ascii="宋体" w:hAnsi="宋体" w:eastAsia="宋体" w:cs="宋体"/>
                <w:sz w:val="18"/>
                <w:szCs w:val="18"/>
              </w:rPr>
            </w:pPr>
            <w:r>
              <w:rPr>
                <w:rFonts w:hint="default" w:ascii="Times New Roman" w:hAnsi="Times New Roman" w:eastAsia="宋体" w:cs="Times New Roman"/>
                <w:sz w:val="18"/>
                <w:szCs w:val="18"/>
              </w:rPr>
              <w:t>100</w:t>
            </w:r>
            <w:r>
              <w:rPr>
                <w:rFonts w:ascii="宋体" w:hAnsi="宋体" w:eastAsia="宋体" w:cs="宋体"/>
                <w:sz w:val="18"/>
                <w:szCs w:val="18"/>
              </w:rPr>
              <w:t>.</w:t>
            </w:r>
            <w:r>
              <w:rPr>
                <w:rFonts w:hint="default" w:ascii="Times New Roman" w:hAnsi="Times New Roman" w:eastAsia="宋体" w:cs="Times New Roman"/>
                <w:sz w:val="18"/>
                <w:szCs w:val="18"/>
              </w:rPr>
              <w:t>00</w:t>
            </w:r>
            <w:r>
              <w:rPr>
                <w:rFonts w:ascii="宋体" w:hAnsi="宋体" w:eastAsia="宋体" w:cs="宋体"/>
                <w:sz w:val="18"/>
                <w:szCs w:val="18"/>
              </w:rPr>
              <w:t>%</w:t>
            </w:r>
          </w:p>
        </w:tc>
      </w:tr>
      <w:tr w14:paraId="10EB8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7511C8EF">
            <w:pPr>
              <w:spacing w:before="40" w:after="40" w:line="240" w:lineRule="exact"/>
              <w:jc w:val="center"/>
              <w:rPr>
                <w:rFonts w:ascii="宋体" w:hAnsi="宋体" w:eastAsia="宋体" w:cs="宋体"/>
                <w:sz w:val="18"/>
                <w:szCs w:val="18"/>
              </w:rPr>
            </w:pPr>
            <w:r>
              <w:rPr>
                <w:rFonts w:ascii="宋体" w:hAnsi="宋体" w:eastAsia="宋体" w:cs="宋体"/>
                <w:sz w:val="18"/>
                <w:szCs w:val="18"/>
              </w:rPr>
              <w:t>缺陷认定标准</w:t>
            </w:r>
          </w:p>
        </w:tc>
      </w:tr>
      <w:tr w14:paraId="750ED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90BF04">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46164D">
            <w:pPr>
              <w:spacing w:before="40" w:after="40" w:line="240" w:lineRule="exact"/>
              <w:jc w:val="center"/>
              <w:rPr>
                <w:rFonts w:ascii="宋体" w:hAnsi="宋体" w:eastAsia="宋体" w:cs="宋体"/>
                <w:sz w:val="18"/>
                <w:szCs w:val="18"/>
              </w:rPr>
            </w:pPr>
            <w:r>
              <w:rPr>
                <w:rFonts w:ascii="宋体" w:hAnsi="宋体" w:eastAsia="宋体" w:cs="宋体"/>
                <w:sz w:val="18"/>
                <w:szCs w:val="18"/>
              </w:rPr>
              <w:t>财务报告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145ECC">
            <w:pPr>
              <w:spacing w:before="40" w:after="40" w:line="240" w:lineRule="exact"/>
              <w:jc w:val="center"/>
              <w:rPr>
                <w:rFonts w:ascii="宋体" w:hAnsi="宋体" w:eastAsia="宋体" w:cs="宋体"/>
                <w:sz w:val="18"/>
                <w:szCs w:val="18"/>
              </w:rPr>
            </w:pPr>
            <w:r>
              <w:rPr>
                <w:rFonts w:ascii="宋体" w:hAnsi="宋体" w:eastAsia="宋体" w:cs="宋体"/>
                <w:sz w:val="18"/>
                <w:szCs w:val="18"/>
              </w:rPr>
              <w:t>非财务报告</w:t>
            </w:r>
          </w:p>
        </w:tc>
      </w:tr>
      <w:tr w14:paraId="51915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8366D5">
            <w:pPr>
              <w:spacing w:before="40" w:after="40" w:line="240" w:lineRule="exact"/>
              <w:jc w:val="left"/>
              <w:rPr>
                <w:rFonts w:ascii="宋体" w:hAnsi="宋体" w:eastAsia="宋体" w:cs="宋体"/>
                <w:sz w:val="18"/>
                <w:szCs w:val="18"/>
              </w:rPr>
            </w:pPr>
            <w:r>
              <w:rPr>
                <w:rFonts w:ascii="宋体" w:hAnsi="宋体" w:eastAsia="宋体" w:cs="宋体"/>
                <w:sz w:val="18"/>
                <w:szCs w:val="18"/>
              </w:rPr>
              <w:t>定性标准</w:t>
            </w:r>
          </w:p>
        </w:tc>
        <w:tc>
          <w:tcPr>
            <w:tcW w:w="3213" w:type="dxa"/>
            <w:tcBorders>
              <w:top w:val="single" w:color="auto" w:sz="2" w:space="0"/>
              <w:left w:val="single" w:color="auto" w:sz="2" w:space="0"/>
              <w:bottom w:val="single" w:color="auto" w:sz="2" w:space="0"/>
              <w:right w:val="single" w:color="auto" w:sz="2" w:space="0"/>
            </w:tcBorders>
            <w:vAlign w:val="center"/>
          </w:tcPr>
          <w:p w14:paraId="6F32BE08">
            <w:pPr>
              <w:spacing w:before="0" w:after="0" w:line="240" w:lineRule="exact"/>
              <w:jc w:val="left"/>
              <w:rPr>
                <w:rFonts w:ascii="宋体" w:hAnsi="宋体" w:eastAsia="宋体" w:cs="宋体"/>
                <w:sz w:val="18"/>
                <w:szCs w:val="18"/>
              </w:rPr>
            </w:pPr>
            <w:r>
              <w:rPr>
                <w:rFonts w:ascii="宋体" w:hAnsi="宋体" w:eastAsia="宋体" w:cs="宋体"/>
                <w:sz w:val="18"/>
                <w:szCs w:val="18"/>
              </w:rPr>
              <w:t>公司确定的财务报告内部控制缺陷评价的定性标准如下：</w:t>
            </w:r>
          </w:p>
          <w:p w14:paraId="19B434B8">
            <w:pPr>
              <w:spacing w:before="0" w:after="0" w:line="240" w:lineRule="exact"/>
              <w:jc w:val="left"/>
              <w:rPr>
                <w:rFonts w:ascii="宋体" w:hAnsi="宋体" w:eastAsia="宋体" w:cs="宋体"/>
                <w:sz w:val="18"/>
                <w:szCs w:val="18"/>
              </w:rPr>
            </w:pPr>
            <w:r>
              <w:rPr>
                <w:rFonts w:ascii="宋体" w:hAnsi="宋体" w:eastAsia="宋体" w:cs="宋体"/>
                <w:sz w:val="18"/>
                <w:szCs w:val="18"/>
              </w:rPr>
              <w:t>① 具有以下特征的缺陷，认定为重大缺陷：</w:t>
            </w:r>
          </w:p>
          <w:p w14:paraId="3D76A0B8">
            <w:pPr>
              <w:spacing w:before="0" w:after="0" w:line="240" w:lineRule="exact"/>
              <w:jc w:val="left"/>
              <w:rPr>
                <w:rFonts w:ascii="宋体" w:hAnsi="宋体" w:eastAsia="宋体" w:cs="宋体"/>
                <w:sz w:val="18"/>
                <w:szCs w:val="18"/>
              </w:rPr>
            </w:pPr>
            <w:r>
              <w:rPr>
                <w:rFonts w:ascii="宋体" w:hAnsi="宋体" w:eastAsia="宋体" w:cs="宋体"/>
                <w:sz w:val="18"/>
                <w:szCs w:val="18"/>
              </w:rPr>
              <w:t>A.公司董事、高级管理人员的舞弊行为；</w:t>
            </w:r>
          </w:p>
          <w:p w14:paraId="1100CF8E">
            <w:pPr>
              <w:spacing w:before="0" w:after="0" w:line="240" w:lineRule="exact"/>
              <w:jc w:val="left"/>
              <w:rPr>
                <w:rFonts w:ascii="宋体" w:hAnsi="宋体" w:eastAsia="宋体" w:cs="宋体"/>
                <w:sz w:val="18"/>
                <w:szCs w:val="18"/>
              </w:rPr>
            </w:pPr>
            <w:r>
              <w:rPr>
                <w:rFonts w:ascii="宋体" w:hAnsi="宋体" w:eastAsia="宋体" w:cs="宋体"/>
                <w:sz w:val="18"/>
                <w:szCs w:val="18"/>
              </w:rPr>
              <w:t>B. 因发现以前年度重大错报而更正已公布的财务报告（由于政策变化或其他客观因素变化导致的对以前年度的追溯调整除外）；</w:t>
            </w:r>
          </w:p>
          <w:p w14:paraId="18432AA5">
            <w:pPr>
              <w:spacing w:before="0" w:after="0" w:line="240" w:lineRule="exact"/>
              <w:jc w:val="left"/>
              <w:rPr>
                <w:rFonts w:ascii="宋体" w:hAnsi="宋体" w:eastAsia="宋体" w:cs="宋体"/>
                <w:sz w:val="18"/>
                <w:szCs w:val="18"/>
              </w:rPr>
            </w:pPr>
            <w:r>
              <w:rPr>
                <w:rFonts w:ascii="宋体" w:hAnsi="宋体" w:eastAsia="宋体" w:cs="宋体"/>
                <w:sz w:val="18"/>
                <w:szCs w:val="18"/>
              </w:rPr>
              <w:t>C.注册会计师发现的未被公司内部控制识别的当期财务报告中的重大错报；</w:t>
            </w:r>
          </w:p>
          <w:p w14:paraId="53ECB753">
            <w:pPr>
              <w:spacing w:before="0" w:after="0" w:line="240" w:lineRule="exact"/>
              <w:jc w:val="left"/>
              <w:rPr>
                <w:rFonts w:ascii="宋体" w:hAnsi="宋体" w:eastAsia="宋体" w:cs="宋体"/>
                <w:sz w:val="18"/>
                <w:szCs w:val="18"/>
              </w:rPr>
            </w:pPr>
            <w:r>
              <w:rPr>
                <w:rFonts w:ascii="宋体" w:hAnsi="宋体" w:eastAsia="宋体" w:cs="宋体"/>
                <w:sz w:val="18"/>
                <w:szCs w:val="18"/>
              </w:rPr>
              <w:t>D.审计委员会和审计部门对内部控制的监督无效。</w:t>
            </w:r>
          </w:p>
          <w:p w14:paraId="3B176FF4">
            <w:pPr>
              <w:spacing w:before="0" w:after="0" w:line="240" w:lineRule="exact"/>
              <w:jc w:val="left"/>
              <w:rPr>
                <w:rFonts w:ascii="宋体" w:hAnsi="宋体" w:eastAsia="宋体" w:cs="宋体"/>
                <w:sz w:val="18"/>
                <w:szCs w:val="18"/>
              </w:rPr>
            </w:pPr>
            <w:r>
              <w:rPr>
                <w:rFonts w:ascii="宋体" w:hAnsi="宋体" w:eastAsia="宋体" w:cs="宋体"/>
                <w:sz w:val="18"/>
                <w:szCs w:val="18"/>
              </w:rPr>
              <w:t>② 具有以下特征的缺陷，认定为重要缺陷：</w:t>
            </w:r>
          </w:p>
          <w:p w14:paraId="5F350660">
            <w:pPr>
              <w:spacing w:before="0" w:after="0" w:line="240" w:lineRule="exact"/>
              <w:jc w:val="left"/>
              <w:rPr>
                <w:rFonts w:ascii="宋体" w:hAnsi="宋体" w:eastAsia="宋体" w:cs="宋体"/>
                <w:sz w:val="18"/>
                <w:szCs w:val="18"/>
              </w:rPr>
            </w:pPr>
            <w:r>
              <w:rPr>
                <w:rFonts w:ascii="宋体" w:hAnsi="宋体" w:eastAsia="宋体" w:cs="宋体"/>
                <w:sz w:val="18"/>
                <w:szCs w:val="18"/>
              </w:rPr>
              <w:t>A.未依照公认会计准则选择和应用会计政策；</w:t>
            </w:r>
          </w:p>
          <w:p w14:paraId="0899AED3">
            <w:pPr>
              <w:spacing w:before="0" w:after="0" w:line="240" w:lineRule="exact"/>
              <w:jc w:val="left"/>
              <w:rPr>
                <w:rFonts w:ascii="宋体" w:hAnsi="宋体" w:eastAsia="宋体" w:cs="宋体"/>
                <w:sz w:val="18"/>
                <w:szCs w:val="18"/>
              </w:rPr>
            </w:pPr>
            <w:r>
              <w:rPr>
                <w:rFonts w:ascii="宋体" w:hAnsi="宋体" w:eastAsia="宋体" w:cs="宋体"/>
                <w:sz w:val="18"/>
                <w:szCs w:val="18"/>
              </w:rPr>
              <w:t>B.未建立反舞弊程序和控制措施；</w:t>
            </w:r>
          </w:p>
          <w:p w14:paraId="4406B4B1">
            <w:pPr>
              <w:spacing w:before="0" w:after="0" w:line="240" w:lineRule="exact"/>
              <w:jc w:val="left"/>
              <w:rPr>
                <w:rFonts w:ascii="宋体" w:hAnsi="宋体" w:eastAsia="宋体" w:cs="宋体"/>
                <w:sz w:val="18"/>
                <w:szCs w:val="18"/>
              </w:rPr>
            </w:pPr>
            <w:r>
              <w:rPr>
                <w:rFonts w:ascii="宋体" w:hAnsi="宋体" w:eastAsia="宋体" w:cs="宋体"/>
                <w:sz w:val="18"/>
                <w:szCs w:val="18"/>
              </w:rPr>
              <w:t>C.对于非常规或特殊交易的账务处理没有建立相应的控制机制或没有实施且没有相应的补偿性控制；</w:t>
            </w:r>
          </w:p>
          <w:p w14:paraId="61B1056E">
            <w:pPr>
              <w:spacing w:before="0" w:after="0" w:line="240" w:lineRule="exact"/>
              <w:jc w:val="left"/>
              <w:rPr>
                <w:rFonts w:ascii="宋体" w:hAnsi="宋体" w:eastAsia="宋体" w:cs="宋体"/>
                <w:sz w:val="18"/>
                <w:szCs w:val="18"/>
              </w:rPr>
            </w:pPr>
            <w:r>
              <w:rPr>
                <w:rFonts w:ascii="宋体" w:hAnsi="宋体" w:eastAsia="宋体" w:cs="宋体"/>
                <w:sz w:val="18"/>
                <w:szCs w:val="18"/>
              </w:rPr>
              <w:t>D.对于期末财务报告过程的控制存在一项或多项缺陷且不能合理保证编制的财务报表达到真实、完整的目标。</w:t>
            </w:r>
          </w:p>
          <w:p w14:paraId="4C17E0DE">
            <w:pPr>
              <w:spacing w:before="0" w:after="0" w:line="240" w:lineRule="exact"/>
              <w:jc w:val="left"/>
              <w:rPr>
                <w:rFonts w:ascii="宋体" w:hAnsi="宋体" w:eastAsia="宋体" w:cs="宋体"/>
                <w:sz w:val="18"/>
                <w:szCs w:val="18"/>
              </w:rPr>
            </w:pPr>
            <w:r>
              <w:rPr>
                <w:rFonts w:ascii="宋体" w:hAnsi="宋体" w:eastAsia="宋体" w:cs="宋体"/>
                <w:sz w:val="18"/>
                <w:szCs w:val="18"/>
              </w:rPr>
              <w:t>③ 一般缺陷是指除上述重大缺陷、重要缺陷之外的其他控制缺陷。</w:t>
            </w:r>
          </w:p>
        </w:tc>
        <w:tc>
          <w:tcPr>
            <w:tcW w:w="3213" w:type="dxa"/>
            <w:tcBorders>
              <w:top w:val="single" w:color="auto" w:sz="2" w:space="0"/>
              <w:left w:val="single" w:color="auto" w:sz="2" w:space="0"/>
              <w:bottom w:val="single" w:color="auto" w:sz="2" w:space="0"/>
              <w:right w:val="single" w:color="auto" w:sz="2" w:space="0"/>
            </w:tcBorders>
            <w:vAlign w:val="center"/>
          </w:tcPr>
          <w:p w14:paraId="69747D45">
            <w:pPr>
              <w:spacing w:before="0" w:after="0" w:line="240" w:lineRule="exact"/>
              <w:jc w:val="left"/>
              <w:rPr>
                <w:rFonts w:ascii="宋体" w:hAnsi="宋体" w:eastAsia="宋体" w:cs="宋体"/>
                <w:sz w:val="18"/>
                <w:szCs w:val="18"/>
              </w:rPr>
            </w:pPr>
            <w:r>
              <w:rPr>
                <w:rFonts w:ascii="宋体" w:hAnsi="宋体" w:eastAsia="宋体" w:cs="宋体"/>
                <w:sz w:val="18"/>
                <w:szCs w:val="18"/>
              </w:rPr>
              <w:t>公司确定的非财务报告内部控制缺陷评价的定性标准如下：</w:t>
            </w:r>
          </w:p>
          <w:p w14:paraId="3B5E3A16">
            <w:pPr>
              <w:spacing w:before="0" w:after="0" w:line="240" w:lineRule="exact"/>
              <w:jc w:val="left"/>
              <w:rPr>
                <w:rFonts w:ascii="宋体" w:hAnsi="宋体" w:eastAsia="宋体" w:cs="宋体"/>
                <w:sz w:val="18"/>
                <w:szCs w:val="18"/>
              </w:rPr>
            </w:pPr>
            <w:r>
              <w:rPr>
                <w:rFonts w:ascii="宋体" w:hAnsi="宋体" w:eastAsia="宋体" w:cs="宋体"/>
                <w:sz w:val="18"/>
                <w:szCs w:val="18"/>
              </w:rPr>
              <w:t>① 具有以下特征的缺陷，认定为重大缺陷：</w:t>
            </w:r>
          </w:p>
          <w:p w14:paraId="4C8DD73A">
            <w:pPr>
              <w:spacing w:before="0" w:after="0" w:line="240" w:lineRule="exact"/>
              <w:jc w:val="left"/>
              <w:rPr>
                <w:rFonts w:ascii="宋体" w:hAnsi="宋体" w:eastAsia="宋体" w:cs="宋体"/>
                <w:sz w:val="18"/>
                <w:szCs w:val="18"/>
              </w:rPr>
            </w:pPr>
            <w:r>
              <w:rPr>
                <w:rFonts w:ascii="宋体" w:hAnsi="宋体" w:eastAsia="宋体" w:cs="宋体"/>
                <w:sz w:val="18"/>
                <w:szCs w:val="18"/>
              </w:rPr>
              <w:t>A.公司经营活动违反国家法律法规；</w:t>
            </w:r>
          </w:p>
          <w:p w14:paraId="6B10A89A">
            <w:pPr>
              <w:spacing w:before="0" w:after="0" w:line="240" w:lineRule="exact"/>
              <w:jc w:val="left"/>
              <w:rPr>
                <w:rFonts w:ascii="宋体" w:hAnsi="宋体" w:eastAsia="宋体" w:cs="宋体"/>
                <w:sz w:val="18"/>
                <w:szCs w:val="18"/>
              </w:rPr>
            </w:pPr>
            <w:r>
              <w:rPr>
                <w:rFonts w:ascii="宋体" w:hAnsi="宋体" w:eastAsia="宋体" w:cs="宋体"/>
                <w:sz w:val="18"/>
                <w:szCs w:val="18"/>
              </w:rPr>
              <w:t>B.公司高级管理人员和高级技术人员流失严重，并对公司造成重大影响；</w:t>
            </w:r>
          </w:p>
          <w:p w14:paraId="14FCA9C1">
            <w:pPr>
              <w:spacing w:before="0" w:after="0" w:line="240" w:lineRule="exact"/>
              <w:jc w:val="left"/>
              <w:rPr>
                <w:rFonts w:ascii="宋体" w:hAnsi="宋体" w:eastAsia="宋体" w:cs="宋体"/>
                <w:sz w:val="18"/>
                <w:szCs w:val="18"/>
              </w:rPr>
            </w:pPr>
            <w:r>
              <w:rPr>
                <w:rFonts w:ascii="宋体" w:hAnsi="宋体" w:eastAsia="宋体" w:cs="宋体"/>
                <w:sz w:val="18"/>
                <w:szCs w:val="18"/>
              </w:rPr>
              <w:t>C.媒体频现重大负面新闻，涉及面广且负面影响一直未能消除；</w:t>
            </w:r>
          </w:p>
          <w:p w14:paraId="206E5625">
            <w:pPr>
              <w:spacing w:before="0" w:after="0" w:line="240" w:lineRule="exact"/>
              <w:jc w:val="left"/>
              <w:rPr>
                <w:rFonts w:ascii="宋体" w:hAnsi="宋体" w:eastAsia="宋体" w:cs="宋体"/>
                <w:sz w:val="18"/>
                <w:szCs w:val="18"/>
              </w:rPr>
            </w:pPr>
            <w:r>
              <w:rPr>
                <w:rFonts w:ascii="宋体" w:hAnsi="宋体" w:eastAsia="宋体" w:cs="宋体"/>
                <w:sz w:val="18"/>
                <w:szCs w:val="18"/>
              </w:rPr>
              <w:t>D.公司重要业务缺乏制度控制或制度体系失效；</w:t>
            </w:r>
          </w:p>
          <w:p w14:paraId="39FAF9B3">
            <w:pPr>
              <w:spacing w:before="0" w:after="0" w:line="240" w:lineRule="exact"/>
              <w:jc w:val="left"/>
              <w:rPr>
                <w:rFonts w:ascii="宋体" w:hAnsi="宋体" w:eastAsia="宋体" w:cs="宋体"/>
                <w:sz w:val="18"/>
                <w:szCs w:val="18"/>
              </w:rPr>
            </w:pPr>
            <w:r>
              <w:rPr>
                <w:rFonts w:ascii="宋体" w:hAnsi="宋体" w:eastAsia="宋体" w:cs="宋体"/>
                <w:sz w:val="18"/>
                <w:szCs w:val="18"/>
              </w:rPr>
              <w:t>E.公司内部控制重大缺陷未得到整改。</w:t>
            </w:r>
          </w:p>
          <w:p w14:paraId="7E641B54">
            <w:pPr>
              <w:spacing w:before="0" w:after="0" w:line="240" w:lineRule="exact"/>
              <w:jc w:val="left"/>
              <w:rPr>
                <w:rFonts w:ascii="宋体" w:hAnsi="宋体" w:eastAsia="宋体" w:cs="宋体"/>
                <w:sz w:val="18"/>
                <w:szCs w:val="18"/>
              </w:rPr>
            </w:pPr>
            <w:r>
              <w:rPr>
                <w:rFonts w:ascii="宋体" w:hAnsi="宋体" w:eastAsia="宋体" w:cs="宋体"/>
                <w:sz w:val="18"/>
                <w:szCs w:val="18"/>
              </w:rPr>
              <w:t>② 具有以下特征的缺陷，认定为重要缺陷：</w:t>
            </w:r>
          </w:p>
          <w:p w14:paraId="37CF886E">
            <w:pPr>
              <w:spacing w:before="0" w:after="0" w:line="240" w:lineRule="exact"/>
              <w:jc w:val="left"/>
              <w:rPr>
                <w:rFonts w:ascii="宋体" w:hAnsi="宋体" w:eastAsia="宋体" w:cs="宋体"/>
                <w:sz w:val="18"/>
                <w:szCs w:val="18"/>
              </w:rPr>
            </w:pPr>
            <w:r>
              <w:rPr>
                <w:rFonts w:ascii="宋体" w:hAnsi="宋体" w:eastAsia="宋体" w:cs="宋体"/>
                <w:sz w:val="18"/>
                <w:szCs w:val="18"/>
              </w:rPr>
              <w:t>A.公司决策程序导致出现重要失误；</w:t>
            </w:r>
          </w:p>
          <w:p w14:paraId="33E30724">
            <w:pPr>
              <w:spacing w:before="0" w:after="0" w:line="240" w:lineRule="exact"/>
              <w:jc w:val="left"/>
              <w:rPr>
                <w:rFonts w:ascii="宋体" w:hAnsi="宋体" w:eastAsia="宋体" w:cs="宋体"/>
                <w:sz w:val="18"/>
                <w:szCs w:val="18"/>
              </w:rPr>
            </w:pPr>
            <w:r>
              <w:rPr>
                <w:rFonts w:ascii="宋体" w:hAnsi="宋体" w:eastAsia="宋体" w:cs="宋体"/>
                <w:sz w:val="18"/>
                <w:szCs w:val="18"/>
              </w:rPr>
              <w:t>B.公司违反企业内部规章，造成重要损失；</w:t>
            </w:r>
          </w:p>
          <w:p w14:paraId="253FC57B">
            <w:pPr>
              <w:spacing w:before="0" w:after="0" w:line="240" w:lineRule="exact"/>
              <w:jc w:val="left"/>
              <w:rPr>
                <w:rFonts w:ascii="宋体" w:hAnsi="宋体" w:eastAsia="宋体" w:cs="宋体"/>
                <w:sz w:val="18"/>
                <w:szCs w:val="18"/>
              </w:rPr>
            </w:pPr>
            <w:r>
              <w:rPr>
                <w:rFonts w:ascii="宋体" w:hAnsi="宋体" w:eastAsia="宋体" w:cs="宋体"/>
                <w:sz w:val="18"/>
                <w:szCs w:val="18"/>
              </w:rPr>
              <w:t>C.公司关键岗位业务人员流失严重；</w:t>
            </w:r>
          </w:p>
          <w:p w14:paraId="3C6D4519">
            <w:pPr>
              <w:spacing w:before="0" w:after="0" w:line="240" w:lineRule="exact"/>
              <w:jc w:val="left"/>
              <w:rPr>
                <w:rFonts w:ascii="宋体" w:hAnsi="宋体" w:eastAsia="宋体" w:cs="宋体"/>
                <w:sz w:val="18"/>
                <w:szCs w:val="18"/>
              </w:rPr>
            </w:pPr>
            <w:r>
              <w:rPr>
                <w:rFonts w:ascii="宋体" w:hAnsi="宋体" w:eastAsia="宋体" w:cs="宋体"/>
                <w:sz w:val="18"/>
                <w:szCs w:val="18"/>
              </w:rPr>
              <w:t>D.公司重要业务制度或系统存在缺陷；</w:t>
            </w:r>
          </w:p>
          <w:p w14:paraId="434C58B0">
            <w:pPr>
              <w:spacing w:before="0" w:after="0" w:line="240" w:lineRule="exact"/>
              <w:jc w:val="left"/>
              <w:rPr>
                <w:rFonts w:ascii="宋体" w:hAnsi="宋体" w:eastAsia="宋体" w:cs="宋体"/>
                <w:sz w:val="18"/>
                <w:szCs w:val="18"/>
              </w:rPr>
            </w:pPr>
            <w:r>
              <w:rPr>
                <w:rFonts w:ascii="宋体" w:hAnsi="宋体" w:eastAsia="宋体" w:cs="宋体"/>
                <w:sz w:val="18"/>
                <w:szCs w:val="18"/>
              </w:rPr>
              <w:t>E.公司内部控制重要缺陷未得到整改。</w:t>
            </w:r>
          </w:p>
          <w:p w14:paraId="5BBCFA05">
            <w:pPr>
              <w:spacing w:before="0" w:after="0" w:line="240" w:lineRule="exact"/>
              <w:jc w:val="left"/>
              <w:rPr>
                <w:rFonts w:ascii="宋体" w:hAnsi="宋体" w:eastAsia="宋体" w:cs="宋体"/>
                <w:sz w:val="18"/>
                <w:szCs w:val="18"/>
              </w:rPr>
            </w:pPr>
            <w:r>
              <w:rPr>
                <w:rFonts w:ascii="宋体" w:hAnsi="宋体" w:eastAsia="宋体" w:cs="宋体"/>
                <w:sz w:val="18"/>
                <w:szCs w:val="18"/>
              </w:rPr>
              <w:t>③ 一般缺陷是指除上述重大缺陷、重要缺陷之外的其他控制缺陷。</w:t>
            </w:r>
          </w:p>
        </w:tc>
      </w:tr>
      <w:tr w14:paraId="0A7C6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9FC6B8">
            <w:pPr>
              <w:spacing w:before="40" w:after="40" w:line="240" w:lineRule="exact"/>
              <w:jc w:val="left"/>
              <w:rPr>
                <w:rFonts w:ascii="宋体" w:hAnsi="宋体" w:eastAsia="宋体" w:cs="宋体"/>
                <w:sz w:val="18"/>
                <w:szCs w:val="18"/>
              </w:rPr>
            </w:pPr>
            <w:r>
              <w:rPr>
                <w:rFonts w:ascii="宋体" w:hAnsi="宋体" w:eastAsia="宋体" w:cs="宋体"/>
                <w:sz w:val="18"/>
                <w:szCs w:val="18"/>
              </w:rPr>
              <w:t>定量标准</w:t>
            </w:r>
          </w:p>
        </w:tc>
        <w:tc>
          <w:tcPr>
            <w:tcW w:w="3213" w:type="dxa"/>
            <w:tcBorders>
              <w:top w:val="single" w:color="auto" w:sz="2" w:space="0"/>
              <w:left w:val="single" w:color="auto" w:sz="2" w:space="0"/>
              <w:bottom w:val="single" w:color="auto" w:sz="2" w:space="0"/>
              <w:right w:val="single" w:color="auto" w:sz="2" w:space="0"/>
            </w:tcBorders>
            <w:vAlign w:val="center"/>
          </w:tcPr>
          <w:p w14:paraId="1FE3EC4B">
            <w:pPr>
              <w:spacing w:before="0" w:after="0" w:line="240" w:lineRule="exact"/>
              <w:jc w:val="left"/>
              <w:rPr>
                <w:rFonts w:ascii="宋体" w:hAnsi="宋体" w:eastAsia="宋体" w:cs="宋体"/>
                <w:sz w:val="18"/>
                <w:szCs w:val="18"/>
              </w:rPr>
            </w:pPr>
            <w:r>
              <w:rPr>
                <w:rFonts w:ascii="宋体" w:hAnsi="宋体" w:eastAsia="宋体" w:cs="宋体"/>
                <w:sz w:val="18"/>
                <w:szCs w:val="18"/>
              </w:rPr>
              <w:t>公司确定的财务报告内部控制缺陷评价的定量标准如下：</w:t>
            </w:r>
          </w:p>
          <w:p w14:paraId="6FDFB4F8">
            <w:pPr>
              <w:spacing w:before="0" w:after="0" w:line="240" w:lineRule="exact"/>
              <w:jc w:val="left"/>
              <w:rPr>
                <w:rFonts w:ascii="宋体" w:hAnsi="宋体" w:eastAsia="宋体" w:cs="宋体"/>
                <w:sz w:val="18"/>
                <w:szCs w:val="18"/>
              </w:rPr>
            </w:pPr>
            <w:r>
              <w:rPr>
                <w:rFonts w:ascii="宋体" w:hAnsi="宋体" w:eastAsia="宋体" w:cs="宋体"/>
                <w:sz w:val="18"/>
                <w:szCs w:val="18"/>
              </w:rPr>
              <w:t>内部控制缺陷可能导致或导致的损失与利润表相关的以合并报表营业总收入为指标衡量，内部控制缺陷可能导致或导致的损失与资产管理相关的以合并报表资产总额为指标衡量。</w:t>
            </w:r>
          </w:p>
          <w:p w14:paraId="05329FC2">
            <w:pPr>
              <w:spacing w:before="0" w:after="0" w:line="240" w:lineRule="exact"/>
              <w:jc w:val="left"/>
              <w:rPr>
                <w:rFonts w:ascii="宋体" w:hAnsi="宋体" w:eastAsia="宋体" w:cs="宋体"/>
                <w:sz w:val="18"/>
                <w:szCs w:val="18"/>
              </w:rPr>
            </w:pPr>
            <w:r>
              <w:rPr>
                <w:rFonts w:ascii="宋体" w:hAnsi="宋体" w:eastAsia="宋体" w:cs="宋体"/>
                <w:sz w:val="18"/>
                <w:szCs w:val="18"/>
              </w:rPr>
              <w:t>① 重大缺陷：潜在错报金额&gt;合并报表营业总收入的</w:t>
            </w:r>
            <w:r>
              <w:rPr>
                <w:rFonts w:hint="default" w:ascii="Times New Roman" w:hAnsi="Times New Roman" w:eastAsia="宋体" w:cs="Times New Roman"/>
                <w:sz w:val="18"/>
                <w:szCs w:val="18"/>
              </w:rPr>
              <w:t>5%</w:t>
            </w:r>
            <w:r>
              <w:rPr>
                <w:rFonts w:ascii="宋体" w:hAnsi="宋体" w:eastAsia="宋体" w:cs="宋体"/>
                <w:sz w:val="18"/>
                <w:szCs w:val="18"/>
              </w:rPr>
              <w:t>，或潜在错报金额&gt;合并报表总资产的</w:t>
            </w:r>
            <w:r>
              <w:rPr>
                <w:rFonts w:hint="default" w:ascii="Times New Roman" w:hAnsi="Times New Roman" w:eastAsia="宋体" w:cs="Times New Roman"/>
                <w:sz w:val="18"/>
                <w:szCs w:val="18"/>
              </w:rPr>
              <w:t>5%</w:t>
            </w:r>
            <w:r>
              <w:rPr>
                <w:rFonts w:ascii="宋体" w:hAnsi="宋体" w:eastAsia="宋体" w:cs="宋体"/>
                <w:sz w:val="18"/>
                <w:szCs w:val="18"/>
              </w:rPr>
              <w:t>；</w:t>
            </w:r>
          </w:p>
          <w:p w14:paraId="7918BDA0">
            <w:pPr>
              <w:spacing w:before="0" w:after="0" w:line="240" w:lineRule="exact"/>
              <w:jc w:val="left"/>
              <w:rPr>
                <w:rFonts w:ascii="宋体" w:hAnsi="宋体" w:eastAsia="宋体" w:cs="宋体"/>
                <w:sz w:val="18"/>
                <w:szCs w:val="18"/>
              </w:rPr>
            </w:pPr>
            <w:r>
              <w:rPr>
                <w:rFonts w:ascii="宋体" w:hAnsi="宋体" w:eastAsia="宋体" w:cs="宋体"/>
                <w:sz w:val="18"/>
                <w:szCs w:val="18"/>
              </w:rPr>
              <w:t>② 重要缺陷：合并报表营业总收入的</w:t>
            </w:r>
            <w:r>
              <w:rPr>
                <w:rFonts w:hint="default" w:ascii="Times New Roman" w:hAnsi="Times New Roman" w:eastAsia="宋体" w:cs="Times New Roman"/>
                <w:sz w:val="18"/>
                <w:szCs w:val="18"/>
              </w:rPr>
              <w:t>2%</w:t>
            </w:r>
            <w:r>
              <w:rPr>
                <w:rFonts w:ascii="宋体" w:hAnsi="宋体" w:eastAsia="宋体" w:cs="宋体"/>
                <w:sz w:val="18"/>
                <w:szCs w:val="18"/>
              </w:rPr>
              <w:t>&lt;潜在错报金额≦合并报表营业总收入的</w:t>
            </w:r>
            <w:r>
              <w:rPr>
                <w:rFonts w:hint="default" w:ascii="Times New Roman" w:hAnsi="Times New Roman" w:eastAsia="宋体" w:cs="Times New Roman"/>
                <w:sz w:val="18"/>
                <w:szCs w:val="18"/>
              </w:rPr>
              <w:t>5%</w:t>
            </w:r>
            <w:r>
              <w:rPr>
                <w:rFonts w:ascii="宋体" w:hAnsi="宋体" w:eastAsia="宋体" w:cs="宋体"/>
                <w:sz w:val="18"/>
                <w:szCs w:val="18"/>
              </w:rPr>
              <w:t>，或合并报表总资产的</w:t>
            </w:r>
            <w:r>
              <w:rPr>
                <w:rFonts w:hint="default" w:ascii="Times New Roman" w:hAnsi="Times New Roman" w:eastAsia="宋体" w:cs="Times New Roman"/>
                <w:sz w:val="18"/>
                <w:szCs w:val="18"/>
              </w:rPr>
              <w:t>2%</w:t>
            </w:r>
            <w:r>
              <w:rPr>
                <w:rFonts w:ascii="宋体" w:hAnsi="宋体" w:eastAsia="宋体" w:cs="宋体"/>
                <w:sz w:val="18"/>
                <w:szCs w:val="18"/>
              </w:rPr>
              <w:t>&lt;潜在错报金额≦合并报表总资产的</w:t>
            </w:r>
            <w:r>
              <w:rPr>
                <w:rFonts w:hint="default" w:ascii="Times New Roman" w:hAnsi="Times New Roman" w:eastAsia="宋体" w:cs="Times New Roman"/>
                <w:sz w:val="18"/>
                <w:szCs w:val="18"/>
              </w:rPr>
              <w:t>5%</w:t>
            </w:r>
            <w:r>
              <w:rPr>
                <w:rFonts w:ascii="宋体" w:hAnsi="宋体" w:eastAsia="宋体" w:cs="宋体"/>
                <w:sz w:val="18"/>
                <w:szCs w:val="18"/>
              </w:rPr>
              <w:t>；</w:t>
            </w:r>
          </w:p>
          <w:p w14:paraId="40D1A540">
            <w:pPr>
              <w:spacing w:before="0" w:after="0" w:line="240" w:lineRule="exact"/>
              <w:jc w:val="left"/>
              <w:rPr>
                <w:rFonts w:ascii="宋体" w:hAnsi="宋体" w:eastAsia="宋体" w:cs="宋体"/>
                <w:sz w:val="18"/>
                <w:szCs w:val="18"/>
              </w:rPr>
            </w:pPr>
            <w:r>
              <w:rPr>
                <w:rFonts w:ascii="宋体" w:hAnsi="宋体" w:eastAsia="宋体" w:cs="宋体"/>
                <w:sz w:val="18"/>
                <w:szCs w:val="18"/>
              </w:rPr>
              <w:t>③ 一般缺陷：潜在错报金额≦合并报表营业总收入的</w:t>
            </w:r>
            <w:r>
              <w:rPr>
                <w:rFonts w:hint="default" w:ascii="Times New Roman" w:hAnsi="Times New Roman" w:eastAsia="宋体" w:cs="Times New Roman"/>
                <w:sz w:val="18"/>
                <w:szCs w:val="18"/>
              </w:rPr>
              <w:t>2%</w:t>
            </w:r>
            <w:r>
              <w:rPr>
                <w:rFonts w:ascii="宋体" w:hAnsi="宋体" w:eastAsia="宋体" w:cs="宋体"/>
                <w:sz w:val="18"/>
                <w:szCs w:val="18"/>
              </w:rPr>
              <w:t>，或潜在错报金额≦合并报表总资产的</w:t>
            </w:r>
            <w:r>
              <w:rPr>
                <w:rFonts w:hint="default" w:ascii="Times New Roman" w:hAnsi="Times New Roman" w:eastAsia="宋体" w:cs="Times New Roman"/>
                <w:sz w:val="18"/>
                <w:szCs w:val="18"/>
              </w:rPr>
              <w:t>2%</w:t>
            </w:r>
            <w:r>
              <w:rPr>
                <w:rFonts w:ascii="宋体" w:hAnsi="宋体" w:eastAsia="宋体" w:cs="宋体"/>
                <w:sz w:val="18"/>
                <w:szCs w:val="18"/>
              </w:rPr>
              <w:t>。</w:t>
            </w:r>
          </w:p>
        </w:tc>
        <w:tc>
          <w:tcPr>
            <w:tcW w:w="3213" w:type="dxa"/>
            <w:tcBorders>
              <w:top w:val="single" w:color="auto" w:sz="2" w:space="0"/>
              <w:left w:val="single" w:color="auto" w:sz="2" w:space="0"/>
              <w:bottom w:val="single" w:color="auto" w:sz="2" w:space="0"/>
              <w:right w:val="single" w:color="auto" w:sz="2" w:space="0"/>
            </w:tcBorders>
            <w:vAlign w:val="center"/>
          </w:tcPr>
          <w:p w14:paraId="4439E275">
            <w:pPr>
              <w:spacing w:before="0" w:after="0" w:line="240" w:lineRule="exact"/>
              <w:jc w:val="left"/>
              <w:rPr>
                <w:rFonts w:ascii="宋体" w:hAnsi="宋体" w:eastAsia="宋体" w:cs="宋体"/>
                <w:sz w:val="18"/>
                <w:szCs w:val="18"/>
              </w:rPr>
            </w:pPr>
            <w:r>
              <w:rPr>
                <w:rFonts w:ascii="宋体" w:hAnsi="宋体" w:eastAsia="宋体" w:cs="宋体"/>
                <w:sz w:val="18"/>
                <w:szCs w:val="18"/>
              </w:rPr>
              <w:t>公司确定的非财务报告内部控制缺陷评价定量标准如下：</w:t>
            </w:r>
          </w:p>
          <w:p w14:paraId="48472F14">
            <w:pPr>
              <w:spacing w:before="0" w:after="0" w:line="240" w:lineRule="exact"/>
              <w:jc w:val="left"/>
              <w:rPr>
                <w:rFonts w:ascii="宋体" w:hAnsi="宋体" w:eastAsia="宋体" w:cs="宋体"/>
                <w:sz w:val="18"/>
                <w:szCs w:val="18"/>
              </w:rPr>
            </w:pPr>
            <w:r>
              <w:rPr>
                <w:rFonts w:ascii="宋体" w:hAnsi="宋体" w:eastAsia="宋体" w:cs="宋体"/>
                <w:sz w:val="18"/>
                <w:szCs w:val="18"/>
              </w:rPr>
              <w:t>公司确定的非财务报告内部控制缺陷评价定量标准参照财务报告内部控制缺陷的定量评价标准执行。</w:t>
            </w:r>
          </w:p>
          <w:p w14:paraId="1ADA3864">
            <w:pPr>
              <w:spacing w:before="0" w:after="0" w:line="240" w:lineRule="exact"/>
              <w:jc w:val="left"/>
              <w:rPr>
                <w:rFonts w:ascii="宋体" w:hAnsi="宋体" w:eastAsia="宋体" w:cs="宋体"/>
                <w:sz w:val="18"/>
                <w:szCs w:val="18"/>
              </w:rPr>
            </w:pPr>
            <w:r>
              <w:rPr>
                <w:rFonts w:ascii="宋体" w:hAnsi="宋体" w:eastAsia="宋体" w:cs="宋体"/>
                <w:sz w:val="18"/>
                <w:szCs w:val="18"/>
              </w:rPr>
              <w:t>① 重大缺陷：损失金额&gt;合并报表营业总收入的</w:t>
            </w:r>
            <w:r>
              <w:rPr>
                <w:rFonts w:hint="default" w:ascii="Times New Roman" w:hAnsi="Times New Roman" w:eastAsia="宋体" w:cs="Times New Roman"/>
                <w:sz w:val="18"/>
                <w:szCs w:val="18"/>
              </w:rPr>
              <w:t>5%</w:t>
            </w:r>
            <w:r>
              <w:rPr>
                <w:rFonts w:ascii="宋体" w:hAnsi="宋体" w:eastAsia="宋体" w:cs="宋体"/>
                <w:sz w:val="18"/>
                <w:szCs w:val="18"/>
              </w:rPr>
              <w:t>，或潜在错报金额&gt;合并报表总资产的</w:t>
            </w:r>
            <w:r>
              <w:rPr>
                <w:rFonts w:hint="default" w:ascii="Times New Roman" w:hAnsi="Times New Roman" w:eastAsia="宋体" w:cs="Times New Roman"/>
                <w:sz w:val="18"/>
                <w:szCs w:val="18"/>
              </w:rPr>
              <w:t>5%</w:t>
            </w:r>
            <w:r>
              <w:rPr>
                <w:rFonts w:ascii="宋体" w:hAnsi="宋体" w:eastAsia="宋体" w:cs="宋体"/>
                <w:sz w:val="18"/>
                <w:szCs w:val="18"/>
              </w:rPr>
              <w:t>；</w:t>
            </w:r>
          </w:p>
          <w:p w14:paraId="538F5A16">
            <w:pPr>
              <w:spacing w:before="0" w:after="0" w:line="240" w:lineRule="exact"/>
              <w:jc w:val="left"/>
              <w:rPr>
                <w:rFonts w:ascii="宋体" w:hAnsi="宋体" w:eastAsia="宋体" w:cs="宋体"/>
                <w:sz w:val="18"/>
                <w:szCs w:val="18"/>
              </w:rPr>
            </w:pPr>
            <w:r>
              <w:rPr>
                <w:rFonts w:ascii="宋体" w:hAnsi="宋体" w:eastAsia="宋体" w:cs="宋体"/>
                <w:sz w:val="18"/>
                <w:szCs w:val="18"/>
              </w:rPr>
              <w:t>② 重要缺陷：合并报表营业总收入的</w:t>
            </w:r>
            <w:r>
              <w:rPr>
                <w:rFonts w:hint="default" w:ascii="Times New Roman" w:hAnsi="Times New Roman" w:eastAsia="宋体" w:cs="Times New Roman"/>
                <w:sz w:val="18"/>
                <w:szCs w:val="18"/>
              </w:rPr>
              <w:t>2%</w:t>
            </w:r>
            <w:r>
              <w:rPr>
                <w:rFonts w:ascii="宋体" w:hAnsi="宋体" w:eastAsia="宋体" w:cs="宋体"/>
                <w:sz w:val="18"/>
                <w:szCs w:val="18"/>
              </w:rPr>
              <w:t>&lt;损失金额≦合并报表营业总收入的</w:t>
            </w:r>
            <w:r>
              <w:rPr>
                <w:rFonts w:hint="default" w:ascii="Times New Roman" w:hAnsi="Times New Roman" w:eastAsia="宋体" w:cs="Times New Roman"/>
                <w:sz w:val="18"/>
                <w:szCs w:val="18"/>
              </w:rPr>
              <w:t>5%</w:t>
            </w:r>
            <w:r>
              <w:rPr>
                <w:rFonts w:ascii="宋体" w:hAnsi="宋体" w:eastAsia="宋体" w:cs="宋体"/>
                <w:sz w:val="18"/>
                <w:szCs w:val="18"/>
              </w:rPr>
              <w:t>，或合并报表总资产的</w:t>
            </w:r>
            <w:r>
              <w:rPr>
                <w:rFonts w:hint="default" w:ascii="Times New Roman" w:hAnsi="Times New Roman" w:eastAsia="宋体" w:cs="Times New Roman"/>
                <w:sz w:val="18"/>
                <w:szCs w:val="18"/>
              </w:rPr>
              <w:t>2%</w:t>
            </w:r>
            <w:r>
              <w:rPr>
                <w:rFonts w:ascii="宋体" w:hAnsi="宋体" w:eastAsia="宋体" w:cs="宋体"/>
                <w:sz w:val="18"/>
                <w:szCs w:val="18"/>
              </w:rPr>
              <w:t>&lt;损失金额≦合并报表总资产的</w:t>
            </w:r>
            <w:r>
              <w:rPr>
                <w:rFonts w:hint="default" w:ascii="Times New Roman" w:hAnsi="Times New Roman" w:eastAsia="宋体" w:cs="Times New Roman"/>
                <w:sz w:val="18"/>
                <w:szCs w:val="18"/>
              </w:rPr>
              <w:t>5%</w:t>
            </w:r>
            <w:r>
              <w:rPr>
                <w:rFonts w:ascii="宋体" w:hAnsi="宋体" w:eastAsia="宋体" w:cs="宋体"/>
                <w:sz w:val="18"/>
                <w:szCs w:val="18"/>
              </w:rPr>
              <w:t>；</w:t>
            </w:r>
          </w:p>
          <w:p w14:paraId="47F00AD7">
            <w:pPr>
              <w:spacing w:before="0" w:after="0" w:line="240" w:lineRule="exact"/>
              <w:jc w:val="left"/>
              <w:rPr>
                <w:rFonts w:ascii="宋体" w:hAnsi="宋体" w:eastAsia="宋体" w:cs="宋体"/>
                <w:sz w:val="18"/>
                <w:szCs w:val="18"/>
              </w:rPr>
            </w:pPr>
            <w:r>
              <w:rPr>
                <w:rFonts w:ascii="宋体" w:hAnsi="宋体" w:eastAsia="宋体" w:cs="宋体"/>
                <w:sz w:val="18"/>
                <w:szCs w:val="18"/>
              </w:rPr>
              <w:t>③ 一般缺陷：损失金额≦合并报表营业总收入的</w:t>
            </w:r>
            <w:r>
              <w:rPr>
                <w:rFonts w:hint="default" w:ascii="Times New Roman" w:hAnsi="Times New Roman" w:eastAsia="宋体" w:cs="Times New Roman"/>
                <w:sz w:val="18"/>
                <w:szCs w:val="18"/>
              </w:rPr>
              <w:t>2%</w:t>
            </w:r>
            <w:r>
              <w:rPr>
                <w:rFonts w:ascii="宋体" w:hAnsi="宋体" w:eastAsia="宋体" w:cs="宋体"/>
                <w:sz w:val="18"/>
                <w:szCs w:val="18"/>
              </w:rPr>
              <w:t>，或损失金额≦合并报表总资产的</w:t>
            </w:r>
            <w:r>
              <w:rPr>
                <w:rFonts w:hint="default" w:ascii="Times New Roman" w:hAnsi="Times New Roman" w:eastAsia="宋体" w:cs="Times New Roman"/>
                <w:sz w:val="18"/>
                <w:szCs w:val="18"/>
              </w:rPr>
              <w:t>2%</w:t>
            </w:r>
            <w:r>
              <w:rPr>
                <w:rFonts w:ascii="宋体" w:hAnsi="宋体" w:eastAsia="宋体" w:cs="宋体"/>
                <w:sz w:val="18"/>
                <w:szCs w:val="18"/>
              </w:rPr>
              <w:t>。</w:t>
            </w:r>
          </w:p>
        </w:tc>
      </w:tr>
      <w:tr w14:paraId="24A9C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EBDB27">
            <w:pPr>
              <w:spacing w:before="40" w:after="40" w:line="240" w:lineRule="exact"/>
              <w:jc w:val="left"/>
              <w:rPr>
                <w:rFonts w:ascii="宋体" w:hAnsi="宋体" w:eastAsia="宋体" w:cs="宋体"/>
                <w:sz w:val="18"/>
                <w:szCs w:val="18"/>
              </w:rPr>
            </w:pPr>
            <w:r>
              <w:rPr>
                <w:rFonts w:ascii="宋体" w:hAnsi="宋体" w:eastAsia="宋体" w:cs="宋体"/>
                <w:sz w:val="18"/>
                <w:szCs w:val="18"/>
              </w:rPr>
              <w:t>财务报告重大缺陷数量（个）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14:paraId="033C1681">
            <w:pPr>
              <w:spacing w:before="0" w:after="0" w:line="240" w:lineRule="exact"/>
              <w:jc w:val="right"/>
              <w:rPr>
                <w:rFonts w:ascii="宋体" w:hAnsi="宋体" w:eastAsia="宋体" w:cs="宋体"/>
                <w:sz w:val="18"/>
                <w:szCs w:val="18"/>
              </w:rPr>
            </w:pPr>
            <w:r>
              <w:rPr>
                <w:rFonts w:hint="default" w:ascii="Times New Roman" w:hAnsi="Times New Roman" w:eastAsia="宋体" w:cs="Times New Roman"/>
                <w:sz w:val="18"/>
                <w:szCs w:val="18"/>
              </w:rPr>
              <w:t>0</w:t>
            </w:r>
          </w:p>
        </w:tc>
      </w:tr>
      <w:tr w14:paraId="06581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4C12B9">
            <w:pPr>
              <w:spacing w:before="40" w:after="40" w:line="240" w:lineRule="exact"/>
              <w:jc w:val="left"/>
              <w:rPr>
                <w:rFonts w:ascii="宋体" w:hAnsi="宋体" w:eastAsia="宋体" w:cs="宋体"/>
                <w:sz w:val="18"/>
                <w:szCs w:val="18"/>
              </w:rPr>
            </w:pPr>
            <w:r>
              <w:rPr>
                <w:rFonts w:ascii="宋体" w:hAnsi="宋体" w:eastAsia="宋体" w:cs="宋体"/>
                <w:sz w:val="18"/>
                <w:szCs w:val="18"/>
              </w:rPr>
              <w:t>非财务报告重大缺陷数量（个）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14:paraId="75012237">
            <w:pPr>
              <w:spacing w:before="0" w:after="0" w:line="240" w:lineRule="exact"/>
              <w:jc w:val="right"/>
              <w:rPr>
                <w:rFonts w:ascii="宋体" w:hAnsi="宋体" w:eastAsia="宋体" w:cs="宋体"/>
                <w:sz w:val="18"/>
                <w:szCs w:val="18"/>
              </w:rPr>
            </w:pPr>
            <w:r>
              <w:rPr>
                <w:rFonts w:hint="default" w:ascii="Times New Roman" w:hAnsi="Times New Roman" w:eastAsia="宋体" w:cs="Times New Roman"/>
                <w:sz w:val="18"/>
                <w:szCs w:val="18"/>
              </w:rPr>
              <w:t>0</w:t>
            </w:r>
          </w:p>
        </w:tc>
      </w:tr>
      <w:tr w14:paraId="4CD62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6CE457">
            <w:pPr>
              <w:spacing w:before="40" w:after="40" w:line="240" w:lineRule="exact"/>
              <w:jc w:val="left"/>
              <w:rPr>
                <w:rFonts w:ascii="宋体" w:hAnsi="宋体" w:eastAsia="宋体" w:cs="宋体"/>
                <w:sz w:val="18"/>
                <w:szCs w:val="18"/>
              </w:rPr>
            </w:pPr>
            <w:r>
              <w:rPr>
                <w:rFonts w:ascii="宋体" w:hAnsi="宋体" w:eastAsia="宋体" w:cs="宋体"/>
                <w:sz w:val="18"/>
                <w:szCs w:val="18"/>
              </w:rPr>
              <w:t>财务报告重要缺陷数量（个）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14:paraId="3B79C2C9">
            <w:pPr>
              <w:spacing w:before="0" w:after="0" w:line="240" w:lineRule="exact"/>
              <w:jc w:val="right"/>
              <w:rPr>
                <w:rFonts w:ascii="宋体" w:hAnsi="宋体" w:eastAsia="宋体" w:cs="宋体"/>
                <w:sz w:val="18"/>
                <w:szCs w:val="18"/>
              </w:rPr>
            </w:pPr>
            <w:r>
              <w:rPr>
                <w:rFonts w:hint="default" w:ascii="Times New Roman" w:hAnsi="Times New Roman" w:eastAsia="宋体" w:cs="Times New Roman"/>
                <w:sz w:val="18"/>
                <w:szCs w:val="18"/>
              </w:rPr>
              <w:t>0</w:t>
            </w:r>
          </w:p>
        </w:tc>
      </w:tr>
      <w:tr w14:paraId="10670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F03796">
            <w:pPr>
              <w:spacing w:before="40" w:after="40" w:line="240" w:lineRule="exact"/>
              <w:jc w:val="left"/>
              <w:rPr>
                <w:rFonts w:ascii="宋体" w:hAnsi="宋体" w:eastAsia="宋体" w:cs="宋体"/>
                <w:sz w:val="18"/>
                <w:szCs w:val="18"/>
              </w:rPr>
            </w:pPr>
            <w:r>
              <w:rPr>
                <w:rFonts w:ascii="宋体" w:hAnsi="宋体" w:eastAsia="宋体" w:cs="宋体"/>
                <w:sz w:val="18"/>
                <w:szCs w:val="18"/>
              </w:rPr>
              <w:t>非财务报告重要缺陷数量（个）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14:paraId="79CDC4A8">
            <w:pPr>
              <w:spacing w:before="0" w:after="0" w:line="240" w:lineRule="exact"/>
              <w:jc w:val="right"/>
              <w:rPr>
                <w:rFonts w:ascii="宋体" w:hAnsi="宋体" w:eastAsia="宋体" w:cs="宋体"/>
                <w:sz w:val="18"/>
                <w:szCs w:val="18"/>
              </w:rPr>
            </w:pPr>
            <w:r>
              <w:rPr>
                <w:rFonts w:hint="default" w:ascii="Times New Roman" w:hAnsi="Times New Roman" w:eastAsia="宋体" w:cs="Times New Roman"/>
                <w:sz w:val="18"/>
                <w:szCs w:val="18"/>
              </w:rPr>
              <w:t>0</w:t>
            </w:r>
          </w:p>
        </w:tc>
      </w:tr>
    </w:tbl>
    <w:p w14:paraId="6C6097F3">
      <w:pPr>
        <w:pStyle w:val="3"/>
        <w:keepNext/>
        <w:keepLines/>
        <w:spacing w:before="300" w:after="300" w:line="280" w:lineRule="exact"/>
        <w:jc w:val="left"/>
        <w:outlineLvl w:val="2"/>
        <w:rPr>
          <w:rFonts w:ascii="宋体" w:hAnsi="宋体" w:eastAsia="宋体" w:cs="宋体"/>
          <w:b/>
          <w:bCs/>
          <w:sz w:val="21"/>
          <w:szCs w:val="21"/>
        </w:rPr>
      </w:pPr>
      <w:bookmarkStart w:id="122" w:name="_Toc988969"/>
      <w:r>
        <w:rPr>
          <w:rFonts w:hint="default" w:ascii="Times New Roman" w:hAnsi="Times New Roman" w:eastAsia="宋体" w:cs="Times New Roman"/>
          <w:b/>
          <w:bCs/>
          <w:sz w:val="21"/>
          <w:szCs w:val="21"/>
        </w:rPr>
        <w:t>2</w:t>
      </w:r>
      <w:r>
        <w:rPr>
          <w:rFonts w:ascii="宋体" w:hAnsi="宋体" w:eastAsia="宋体" w:cs="宋体"/>
          <w:b/>
          <w:bCs/>
          <w:sz w:val="21"/>
          <w:szCs w:val="21"/>
        </w:rPr>
        <w:t>、内部控制审计报告</w:t>
      </w:r>
      <w:bookmarkEnd w:id="122"/>
    </w:p>
    <w:p w14:paraId="727600E5">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3E5C8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7746F76">
            <w:pPr>
              <w:spacing w:before="40" w:after="40" w:line="240" w:lineRule="exact"/>
              <w:jc w:val="center"/>
              <w:rPr>
                <w:rFonts w:ascii="宋体" w:hAnsi="宋体" w:eastAsia="宋体" w:cs="宋体"/>
                <w:sz w:val="18"/>
                <w:szCs w:val="18"/>
              </w:rPr>
            </w:pPr>
            <w:r>
              <w:rPr>
                <w:rFonts w:ascii="宋体" w:hAnsi="宋体" w:eastAsia="宋体" w:cs="宋体"/>
                <w:sz w:val="18"/>
                <w:szCs w:val="18"/>
              </w:rPr>
              <w:t>内部控制审计报告中的审议意见段</w:t>
            </w:r>
          </w:p>
        </w:tc>
      </w:tr>
      <w:tr w14:paraId="4016A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vAlign w:val="center"/>
          </w:tcPr>
          <w:p w14:paraId="2A9C99A6">
            <w:pPr>
              <w:spacing w:before="0" w:after="0" w:line="240" w:lineRule="exact"/>
              <w:jc w:val="left"/>
              <w:rPr>
                <w:rFonts w:ascii="宋体" w:hAnsi="宋体" w:eastAsia="宋体" w:cs="宋体"/>
                <w:sz w:val="18"/>
                <w:szCs w:val="18"/>
              </w:rPr>
            </w:pPr>
            <w:r>
              <w:rPr>
                <w:rFonts w:ascii="宋体" w:hAnsi="宋体" w:eastAsia="宋体" w:cs="宋体"/>
                <w:sz w:val="18"/>
                <w:szCs w:val="18"/>
              </w:rPr>
              <w:t>我们认为，冠昊生物公司按照《企业内部控制基本规范》和相关规定在所有重大方面保持了有效的财务报告内部控制。</w:t>
            </w:r>
          </w:p>
        </w:tc>
      </w:tr>
      <w:tr w14:paraId="11E61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31BEC41">
            <w:pPr>
              <w:spacing w:before="40" w:after="40" w:line="240" w:lineRule="exact"/>
              <w:jc w:val="left"/>
              <w:rPr>
                <w:rFonts w:ascii="宋体" w:hAnsi="宋体" w:eastAsia="宋体" w:cs="宋体"/>
                <w:sz w:val="18"/>
                <w:szCs w:val="18"/>
              </w:rPr>
            </w:pPr>
            <w:r>
              <w:rPr>
                <w:rFonts w:ascii="宋体" w:hAnsi="宋体" w:eastAsia="宋体" w:cs="宋体"/>
                <w:sz w:val="18"/>
                <w:szCs w:val="18"/>
              </w:rPr>
              <w:t>内控审计报告披露情况</w:t>
            </w:r>
          </w:p>
        </w:tc>
        <w:tc>
          <w:tcPr>
            <w:tcW w:w="4820" w:type="dxa"/>
            <w:tcBorders>
              <w:top w:val="single" w:color="auto" w:sz="2" w:space="0"/>
              <w:left w:val="single" w:color="auto" w:sz="2" w:space="0"/>
              <w:bottom w:val="single" w:color="auto" w:sz="2" w:space="0"/>
              <w:right w:val="single" w:color="auto" w:sz="2" w:space="0"/>
            </w:tcBorders>
            <w:vAlign w:val="center"/>
          </w:tcPr>
          <w:p w14:paraId="51D37915">
            <w:pPr>
              <w:spacing w:before="0" w:after="0" w:line="240" w:lineRule="exact"/>
              <w:jc w:val="left"/>
              <w:rPr>
                <w:rFonts w:ascii="宋体" w:hAnsi="宋体" w:eastAsia="宋体" w:cs="宋体"/>
                <w:sz w:val="18"/>
                <w:szCs w:val="18"/>
              </w:rPr>
            </w:pPr>
            <w:r>
              <w:rPr>
                <w:rFonts w:ascii="宋体" w:hAnsi="宋体" w:eastAsia="宋体" w:cs="宋体"/>
                <w:sz w:val="18"/>
                <w:szCs w:val="18"/>
              </w:rPr>
              <w:t>披露</w:t>
            </w:r>
          </w:p>
        </w:tc>
      </w:tr>
      <w:tr w14:paraId="541D9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98156F7">
            <w:pPr>
              <w:spacing w:before="40" w:after="40" w:line="240" w:lineRule="exact"/>
              <w:jc w:val="left"/>
              <w:rPr>
                <w:rFonts w:ascii="宋体" w:hAnsi="宋体" w:eastAsia="宋体" w:cs="宋体"/>
                <w:sz w:val="18"/>
                <w:szCs w:val="18"/>
              </w:rPr>
            </w:pPr>
            <w:r>
              <w:rPr>
                <w:rFonts w:ascii="宋体" w:hAnsi="宋体" w:eastAsia="宋体" w:cs="宋体"/>
                <w:sz w:val="18"/>
                <w:szCs w:val="18"/>
              </w:rPr>
              <w:t>内部控制审计报告全文披露日期</w:t>
            </w:r>
          </w:p>
        </w:tc>
        <w:tc>
          <w:tcPr>
            <w:tcW w:w="4820" w:type="dxa"/>
            <w:tcBorders>
              <w:top w:val="single" w:color="auto" w:sz="2" w:space="0"/>
              <w:left w:val="single" w:color="auto" w:sz="2" w:space="0"/>
              <w:bottom w:val="single" w:color="auto" w:sz="2" w:space="0"/>
              <w:right w:val="single" w:color="auto" w:sz="2" w:space="0"/>
            </w:tcBorders>
            <w:vAlign w:val="center"/>
          </w:tcPr>
          <w:p w14:paraId="728D49D2">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2026</w:t>
            </w:r>
            <w:r>
              <w:rPr>
                <w:rFonts w:ascii="宋体" w:hAnsi="宋体" w:eastAsia="宋体" w:cs="宋体"/>
                <w:sz w:val="18"/>
                <w:szCs w:val="18"/>
              </w:rPr>
              <w:t>年</w:t>
            </w:r>
            <w:r>
              <w:rPr>
                <w:rFonts w:hint="default" w:ascii="Times New Roman" w:hAnsi="Times New Roman" w:eastAsia="宋体" w:cs="Times New Roman"/>
                <w:sz w:val="18"/>
                <w:szCs w:val="18"/>
              </w:rPr>
              <w:t>03</w:t>
            </w:r>
            <w:r>
              <w:rPr>
                <w:rFonts w:ascii="宋体" w:hAnsi="宋体" w:eastAsia="宋体" w:cs="宋体"/>
                <w:sz w:val="18"/>
                <w:szCs w:val="18"/>
              </w:rPr>
              <w:t>月</w:t>
            </w:r>
            <w:r>
              <w:rPr>
                <w:rFonts w:hint="default" w:ascii="Times New Roman" w:hAnsi="Times New Roman" w:eastAsia="宋体" w:cs="Times New Roman"/>
                <w:sz w:val="18"/>
                <w:szCs w:val="18"/>
              </w:rPr>
              <w:t>26</w:t>
            </w:r>
            <w:r>
              <w:rPr>
                <w:rFonts w:ascii="宋体" w:hAnsi="宋体" w:eastAsia="宋体" w:cs="宋体"/>
                <w:sz w:val="18"/>
                <w:szCs w:val="18"/>
              </w:rPr>
              <w:t>日</w:t>
            </w:r>
          </w:p>
        </w:tc>
      </w:tr>
      <w:tr w14:paraId="1FC41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B08AA4E">
            <w:pPr>
              <w:spacing w:before="40" w:after="40" w:line="240" w:lineRule="exact"/>
              <w:jc w:val="left"/>
              <w:rPr>
                <w:rFonts w:ascii="宋体" w:hAnsi="宋体" w:eastAsia="宋体" w:cs="宋体"/>
                <w:sz w:val="18"/>
                <w:szCs w:val="18"/>
              </w:rPr>
            </w:pPr>
            <w:r>
              <w:rPr>
                <w:rFonts w:ascii="宋体" w:hAnsi="宋体" w:eastAsia="宋体" w:cs="宋体"/>
                <w:sz w:val="18"/>
                <w:szCs w:val="18"/>
              </w:rPr>
              <w:t>内部控制审计报告全文披露索引</w:t>
            </w:r>
          </w:p>
        </w:tc>
        <w:tc>
          <w:tcPr>
            <w:tcW w:w="4820" w:type="dxa"/>
            <w:tcBorders>
              <w:top w:val="single" w:color="auto" w:sz="2" w:space="0"/>
              <w:left w:val="single" w:color="auto" w:sz="2" w:space="0"/>
              <w:bottom w:val="single" w:color="auto" w:sz="2" w:space="0"/>
              <w:right w:val="single" w:color="auto" w:sz="2" w:space="0"/>
            </w:tcBorders>
            <w:vAlign w:val="center"/>
          </w:tcPr>
          <w:p w14:paraId="3E940576">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w:t>
            </w:r>
          </w:p>
        </w:tc>
      </w:tr>
      <w:tr w14:paraId="26208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7A7C591">
            <w:pPr>
              <w:spacing w:before="40" w:after="40" w:line="240" w:lineRule="exact"/>
              <w:jc w:val="left"/>
              <w:rPr>
                <w:rFonts w:ascii="宋体" w:hAnsi="宋体" w:eastAsia="宋体" w:cs="宋体"/>
                <w:sz w:val="18"/>
                <w:szCs w:val="18"/>
              </w:rPr>
            </w:pPr>
            <w:r>
              <w:rPr>
                <w:rFonts w:ascii="宋体" w:hAnsi="宋体" w:eastAsia="宋体" w:cs="宋体"/>
                <w:sz w:val="18"/>
                <w:szCs w:val="18"/>
              </w:rPr>
              <w:t>内控审计报告意见类型</w:t>
            </w:r>
          </w:p>
        </w:tc>
        <w:tc>
          <w:tcPr>
            <w:tcW w:w="4820" w:type="dxa"/>
            <w:tcBorders>
              <w:top w:val="single" w:color="auto" w:sz="2" w:space="0"/>
              <w:left w:val="single" w:color="auto" w:sz="2" w:space="0"/>
              <w:bottom w:val="single" w:color="auto" w:sz="2" w:space="0"/>
              <w:right w:val="single" w:color="auto" w:sz="2" w:space="0"/>
            </w:tcBorders>
            <w:vAlign w:val="center"/>
          </w:tcPr>
          <w:p w14:paraId="175D4CCE">
            <w:pPr>
              <w:spacing w:before="0" w:after="0" w:line="240" w:lineRule="exact"/>
              <w:jc w:val="left"/>
              <w:rPr>
                <w:rFonts w:ascii="宋体" w:hAnsi="宋体" w:eastAsia="宋体" w:cs="宋体"/>
                <w:sz w:val="18"/>
                <w:szCs w:val="18"/>
              </w:rPr>
            </w:pPr>
            <w:r>
              <w:rPr>
                <w:rFonts w:ascii="宋体" w:hAnsi="宋体" w:eastAsia="宋体" w:cs="宋体"/>
                <w:sz w:val="18"/>
                <w:szCs w:val="18"/>
              </w:rPr>
              <w:t>标准无保留意见</w:t>
            </w:r>
          </w:p>
        </w:tc>
      </w:tr>
      <w:tr w14:paraId="4FDF3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B64B634">
            <w:pPr>
              <w:spacing w:before="40" w:after="40" w:line="240" w:lineRule="exact"/>
              <w:jc w:val="left"/>
              <w:rPr>
                <w:rFonts w:ascii="宋体" w:hAnsi="宋体" w:eastAsia="宋体" w:cs="宋体"/>
                <w:sz w:val="18"/>
                <w:szCs w:val="18"/>
              </w:rPr>
            </w:pPr>
            <w:r>
              <w:rPr>
                <w:rFonts w:ascii="宋体" w:hAnsi="宋体" w:eastAsia="宋体" w:cs="宋体"/>
                <w:sz w:val="18"/>
                <w:szCs w:val="18"/>
              </w:rPr>
              <w:t>非财务报告是否存在重大缺陷</w:t>
            </w:r>
          </w:p>
        </w:tc>
        <w:tc>
          <w:tcPr>
            <w:tcW w:w="4820" w:type="dxa"/>
            <w:tcBorders>
              <w:top w:val="single" w:color="auto" w:sz="2" w:space="0"/>
              <w:left w:val="single" w:color="auto" w:sz="2" w:space="0"/>
              <w:bottom w:val="single" w:color="auto" w:sz="2" w:space="0"/>
              <w:right w:val="single" w:color="auto" w:sz="2" w:space="0"/>
            </w:tcBorders>
            <w:vAlign w:val="center"/>
          </w:tcPr>
          <w:p w14:paraId="706D6AC9">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bl>
    <w:p w14:paraId="06905781">
      <w:pPr>
        <w:spacing w:before="100" w:after="100" w:line="240" w:lineRule="exact"/>
        <w:jc w:val="left"/>
        <w:rPr>
          <w:rFonts w:ascii="宋体" w:hAnsi="宋体" w:eastAsia="宋体" w:cs="宋体"/>
          <w:sz w:val="18"/>
          <w:szCs w:val="18"/>
        </w:rPr>
      </w:pPr>
      <w:r>
        <w:rPr>
          <w:rFonts w:ascii="宋体" w:hAnsi="宋体" w:eastAsia="宋体" w:cs="宋体"/>
          <w:sz w:val="18"/>
          <w:szCs w:val="18"/>
        </w:rPr>
        <w:t>会计师事务所是否出具非标准意见的内部控制审计报告</w:t>
      </w:r>
    </w:p>
    <w:p w14:paraId="7D37C365">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0546E09C">
      <w:pPr>
        <w:spacing w:before="100" w:after="100" w:line="240" w:lineRule="exact"/>
        <w:jc w:val="left"/>
        <w:rPr>
          <w:rFonts w:ascii="宋体" w:hAnsi="宋体" w:eastAsia="宋体" w:cs="宋体"/>
          <w:sz w:val="18"/>
          <w:szCs w:val="18"/>
        </w:rPr>
      </w:pPr>
      <w:r>
        <w:rPr>
          <w:rFonts w:ascii="宋体" w:hAnsi="宋体" w:eastAsia="宋体" w:cs="宋体"/>
          <w:sz w:val="18"/>
          <w:szCs w:val="18"/>
        </w:rPr>
        <w:t>会计师事务所出具的内部控制审计报告与董事会的自我评价报告意见是否一致</w:t>
      </w:r>
    </w:p>
    <w:p w14:paraId="144A90B9">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14:paraId="594A6A4C">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报告期或上年度是否被出具内部控制非标准审计意见</w:t>
      </w:r>
    </w:p>
    <w:p w14:paraId="16E8349F">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46AFE97B">
      <w:pPr>
        <w:pStyle w:val="2"/>
        <w:keepNext/>
        <w:keepLines/>
        <w:spacing w:before="300" w:after="300" w:line="320" w:lineRule="exact"/>
        <w:jc w:val="left"/>
        <w:outlineLvl w:val="1"/>
        <w:rPr>
          <w:rFonts w:ascii="宋体" w:hAnsi="宋体" w:eastAsia="宋体" w:cs="宋体"/>
          <w:b/>
          <w:bCs/>
          <w:sz w:val="24"/>
          <w:szCs w:val="24"/>
        </w:rPr>
      </w:pPr>
      <w:bookmarkStart w:id="123" w:name="_Toc988970"/>
      <w:bookmarkStart w:id="124" w:name="_Toc12093"/>
      <w:r>
        <w:rPr>
          <w:rFonts w:ascii="宋体" w:hAnsi="宋体" w:eastAsia="宋体" w:cs="宋体"/>
          <w:b/>
          <w:bCs/>
          <w:sz w:val="24"/>
          <w:szCs w:val="24"/>
        </w:rPr>
        <w:t>十六、上市公司治理专项行动自查问题整改情况</w:t>
      </w:r>
      <w:bookmarkEnd w:id="123"/>
      <w:bookmarkEnd w:id="124"/>
    </w:p>
    <w:p w14:paraId="346409EE">
      <w:pPr>
        <w:pStyle w:val="6"/>
        <w:keepNext w:val="0"/>
        <w:keepLines w:val="0"/>
        <w:widowControl/>
        <w:suppressLineNumbers w:val="0"/>
      </w:pPr>
      <w:r>
        <w:rPr>
          <w:rFonts w:hint="eastAsia" w:ascii="宋体" w:hAnsi="宋体" w:eastAsia="宋体" w:cs="宋体"/>
          <w:sz w:val="18"/>
          <w:szCs w:val="18"/>
        </w:rPr>
        <w:t>不适用。</w:t>
      </w:r>
    </w:p>
    <w:p w14:paraId="301BE9F2">
      <w:pPr>
        <w:pStyle w:val="2"/>
        <w:keepNext/>
        <w:keepLines/>
        <w:spacing w:before="300" w:after="300" w:line="320" w:lineRule="exact"/>
        <w:jc w:val="left"/>
        <w:outlineLvl w:val="1"/>
        <w:rPr>
          <w:rFonts w:ascii="宋体" w:hAnsi="宋体" w:eastAsia="宋体" w:cs="宋体"/>
          <w:b/>
          <w:bCs/>
          <w:sz w:val="24"/>
          <w:szCs w:val="24"/>
        </w:rPr>
      </w:pPr>
      <w:bookmarkStart w:id="125" w:name="_Toc988971"/>
      <w:bookmarkStart w:id="126" w:name="_Toc23724"/>
      <w:r>
        <w:rPr>
          <w:rFonts w:ascii="宋体" w:hAnsi="宋体" w:eastAsia="宋体" w:cs="宋体"/>
          <w:b/>
          <w:bCs/>
          <w:sz w:val="24"/>
          <w:szCs w:val="24"/>
        </w:rPr>
        <w:t>十七、环境信息披露情况</w:t>
      </w:r>
      <w:bookmarkEnd w:id="125"/>
      <w:bookmarkEnd w:id="126"/>
    </w:p>
    <w:p w14:paraId="6226E0E4">
      <w:pPr>
        <w:spacing w:before="100" w:after="100" w:line="240" w:lineRule="exact"/>
        <w:jc w:val="left"/>
        <w:rPr>
          <w:rFonts w:ascii="宋体" w:hAnsi="宋体" w:eastAsia="宋体" w:cs="宋体"/>
          <w:sz w:val="18"/>
          <w:szCs w:val="18"/>
        </w:rPr>
      </w:pPr>
      <w:r>
        <w:rPr>
          <w:rFonts w:ascii="宋体" w:hAnsi="宋体" w:eastAsia="宋体" w:cs="宋体"/>
          <w:sz w:val="18"/>
          <w:szCs w:val="18"/>
        </w:rPr>
        <w:t>上市公司及其主要子公司是否纳入环境信息依法披露企业名单</w:t>
      </w:r>
    </w:p>
    <w:p w14:paraId="66ECFF00">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8B8E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2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6C05DD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纳入环境信息依法披露企业名单中的企业数量（家）</w:t>
            </w:r>
          </w:p>
        </w:tc>
        <w:tc>
          <w:tcPr>
            <w:tcW w:w="3213" w:type="dxa"/>
            <w:tcBorders>
              <w:top w:val="single" w:color="auto" w:sz="2" w:space="0"/>
              <w:left w:val="single" w:color="auto" w:sz="2" w:space="0"/>
              <w:bottom w:val="single" w:color="auto" w:sz="2" w:space="0"/>
              <w:right w:val="single" w:color="auto" w:sz="2" w:space="0"/>
            </w:tcBorders>
            <w:vAlign w:val="center"/>
          </w:tcPr>
          <w:p w14:paraId="1D1FE7B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r>
      <w:tr w14:paraId="068A5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99D42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序号</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06272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企业名称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E50CC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环境信息依法披露报告的查询索引</w:t>
            </w:r>
          </w:p>
        </w:tc>
      </w:tr>
      <w:tr w14:paraId="6DD00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D47E76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3213" w:type="dxa"/>
            <w:tcBorders>
              <w:top w:val="single" w:color="auto" w:sz="2" w:space="0"/>
              <w:left w:val="single" w:color="auto" w:sz="2" w:space="0"/>
              <w:bottom w:val="single" w:color="auto" w:sz="2" w:space="0"/>
              <w:right w:val="single" w:color="auto" w:sz="2" w:space="0"/>
            </w:tcBorders>
            <w:vAlign w:val="center"/>
          </w:tcPr>
          <w:p w14:paraId="05563650">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广东中昊药业有限公司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32A723D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广东省生态环境厅公众网</w:t>
            </w:r>
          </w:p>
          <w:p w14:paraId="5703872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https://gdee.gd.gov.cn/gdeepub/front/dal/ent/list</w:t>
            </w:r>
          </w:p>
        </w:tc>
      </w:tr>
    </w:tbl>
    <w:p w14:paraId="56DD064D">
      <w:pPr>
        <w:pStyle w:val="2"/>
        <w:keepNext/>
        <w:keepLines/>
        <w:spacing w:before="300" w:after="300" w:line="320" w:lineRule="exact"/>
        <w:jc w:val="left"/>
        <w:outlineLvl w:val="1"/>
        <w:rPr>
          <w:rFonts w:ascii="宋体" w:hAnsi="宋体" w:eastAsia="宋体" w:cs="宋体"/>
          <w:b/>
          <w:bCs/>
          <w:sz w:val="24"/>
          <w:szCs w:val="24"/>
        </w:rPr>
      </w:pPr>
      <w:bookmarkStart w:id="127" w:name="_Toc2825"/>
      <w:bookmarkStart w:id="128" w:name="_Toc988972"/>
      <w:r>
        <w:rPr>
          <w:rFonts w:ascii="宋体" w:hAnsi="宋体" w:eastAsia="宋体" w:cs="宋体"/>
          <w:b/>
          <w:bCs/>
          <w:sz w:val="24"/>
          <w:szCs w:val="24"/>
        </w:rPr>
        <w:t>十八、社会责任情况</w:t>
      </w:r>
      <w:bookmarkEnd w:id="127"/>
      <w:bookmarkEnd w:id="128"/>
    </w:p>
    <w:p w14:paraId="65616AA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eastAsia" w:ascii="宋体" w:hAnsi="宋体" w:eastAsia="宋体" w:cs="宋体"/>
          <w:sz w:val="24"/>
          <w:szCs w:val="24"/>
          <w:lang w:eastAsia="zh-CN"/>
        </w:rPr>
      </w:pPr>
      <w:r>
        <w:rPr>
          <w:rStyle w:val="9"/>
          <w:rFonts w:hint="default" w:ascii="Times New Roman" w:hAnsi="Times New Roman" w:eastAsia="宋体" w:cs="Times New Roman"/>
          <w:sz w:val="18"/>
          <w:szCs w:val="18"/>
        </w:rPr>
        <w:t>1</w:t>
      </w:r>
      <w:r>
        <w:rPr>
          <w:rStyle w:val="9"/>
          <w:rFonts w:hint="eastAsia" w:ascii="宋体" w:hAnsi="宋体" w:eastAsia="宋体" w:cs="宋体"/>
          <w:sz w:val="18"/>
          <w:szCs w:val="18"/>
        </w:rPr>
        <w:t>、强化党建引领，筑牢发展</w:t>
      </w:r>
      <w:r>
        <w:rPr>
          <w:rStyle w:val="9"/>
          <w:rFonts w:hint="eastAsia" w:ascii="宋体" w:hAnsi="宋体" w:cs="宋体"/>
          <w:sz w:val="18"/>
          <w:szCs w:val="18"/>
          <w:lang w:eastAsia="zh-CN"/>
        </w:rPr>
        <w:t>“</w:t>
      </w:r>
      <w:r>
        <w:rPr>
          <w:rStyle w:val="9"/>
          <w:rFonts w:hint="eastAsia" w:ascii="宋体" w:hAnsi="宋体" w:eastAsia="宋体" w:cs="宋体"/>
          <w:sz w:val="18"/>
          <w:szCs w:val="18"/>
        </w:rPr>
        <w:t>红色引擎</w:t>
      </w:r>
      <w:r>
        <w:rPr>
          <w:rStyle w:val="9"/>
          <w:rFonts w:hint="eastAsia" w:ascii="宋体" w:hAnsi="宋体" w:cs="宋体"/>
          <w:sz w:val="18"/>
          <w:szCs w:val="18"/>
          <w:lang w:eastAsia="zh-CN"/>
        </w:rPr>
        <w:t>”</w:t>
      </w:r>
    </w:p>
    <w:p w14:paraId="300563A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eastAsia" w:ascii="宋体" w:hAnsi="宋体" w:eastAsia="宋体" w:cs="宋体"/>
          <w:sz w:val="24"/>
          <w:szCs w:val="24"/>
        </w:rPr>
      </w:pPr>
      <w:r>
        <w:rPr>
          <w:rFonts w:hint="eastAsia" w:ascii="宋体" w:hAnsi="宋体" w:eastAsia="宋体" w:cs="宋体"/>
          <w:sz w:val="18"/>
          <w:szCs w:val="18"/>
        </w:rPr>
        <w:t>公司始终将党建工作作为引领高质量发展的红色引擎，把加强党的建设作为企业行稳致远的政治根基。以习近平新时代中国特色社会主义思想为指导，深入学习贯彻党的二十届四中全会精神，紧扣</w:t>
      </w:r>
      <w:r>
        <w:rPr>
          <w:rFonts w:hint="eastAsia" w:ascii="宋体" w:hAnsi="宋体" w:cs="宋体"/>
          <w:sz w:val="18"/>
          <w:szCs w:val="18"/>
          <w:lang w:eastAsia="zh-CN"/>
        </w:rPr>
        <w:t>“</w:t>
      </w:r>
      <w:r>
        <w:rPr>
          <w:rFonts w:hint="eastAsia" w:ascii="宋体" w:hAnsi="宋体" w:eastAsia="宋体" w:cs="宋体"/>
          <w:sz w:val="18"/>
          <w:szCs w:val="18"/>
        </w:rPr>
        <w:t>十五五</w:t>
      </w:r>
      <w:r>
        <w:rPr>
          <w:rFonts w:hint="eastAsia" w:ascii="宋体" w:hAnsi="宋体" w:cs="宋体"/>
          <w:sz w:val="18"/>
          <w:szCs w:val="18"/>
          <w:lang w:eastAsia="zh-CN"/>
        </w:rPr>
        <w:t>”</w:t>
      </w:r>
      <w:r>
        <w:rPr>
          <w:rFonts w:hint="eastAsia" w:ascii="宋体" w:hAnsi="宋体" w:eastAsia="宋体" w:cs="宋体"/>
          <w:sz w:val="18"/>
          <w:szCs w:val="18"/>
        </w:rPr>
        <w:t>高质量发展主题，弘扬伟大建党精神，巩固主题教育成果，全面提升党建工作质量，为企业发展提供坚强政治保证与组织保障。报告期内，公司不断创新党建活动形式，结合植树节开展义务植树，践行生态文明理念；组织安全生产知识竞赛，强化党员责任担当。打造学习型党组织，开展</w:t>
      </w:r>
      <w:r>
        <w:rPr>
          <w:rFonts w:hint="eastAsia" w:ascii="宋体" w:hAnsi="宋体" w:cs="宋体"/>
          <w:sz w:val="18"/>
          <w:szCs w:val="18"/>
          <w:lang w:eastAsia="zh-CN"/>
        </w:rPr>
        <w:t>“</w:t>
      </w:r>
      <w:r>
        <w:rPr>
          <w:rFonts w:hint="eastAsia" w:ascii="宋体" w:hAnsi="宋体" w:eastAsia="宋体" w:cs="宋体"/>
          <w:sz w:val="18"/>
          <w:szCs w:val="18"/>
        </w:rPr>
        <w:t>书香支部・共享阅读</w:t>
      </w:r>
      <w:r>
        <w:rPr>
          <w:rFonts w:hint="eastAsia" w:ascii="宋体" w:hAnsi="宋体" w:cs="宋体"/>
          <w:sz w:val="18"/>
          <w:szCs w:val="18"/>
          <w:lang w:eastAsia="zh-CN"/>
        </w:rPr>
        <w:t>”</w:t>
      </w:r>
      <w:r>
        <w:rPr>
          <w:rFonts w:hint="eastAsia" w:ascii="宋体" w:hAnsi="宋体" w:eastAsia="宋体" w:cs="宋体"/>
          <w:sz w:val="18"/>
          <w:szCs w:val="18"/>
        </w:rPr>
        <w:t>系列活动，营造勤学善思、比学赶超的支部文化。推进党建与业务深度融合，与对口单位开展党建共建，通过联合研讨、资源共享实现协同发展。坚持党建引领基层服务，与属地街道联动开展</w:t>
      </w:r>
      <w:r>
        <w:rPr>
          <w:rFonts w:hint="eastAsia" w:ascii="宋体" w:hAnsi="宋体" w:cs="宋体"/>
          <w:sz w:val="18"/>
          <w:szCs w:val="18"/>
          <w:lang w:eastAsia="zh-CN"/>
        </w:rPr>
        <w:t>“</w:t>
      </w:r>
      <w:r>
        <w:rPr>
          <w:rFonts w:hint="eastAsia" w:ascii="宋体" w:hAnsi="宋体" w:eastAsia="宋体" w:cs="宋体"/>
          <w:sz w:val="18"/>
          <w:szCs w:val="18"/>
        </w:rPr>
        <w:t>健康护航</w:t>
      </w:r>
      <w:r>
        <w:rPr>
          <w:rFonts w:hint="eastAsia" w:ascii="宋体" w:hAnsi="宋体" w:cs="宋体"/>
          <w:sz w:val="18"/>
          <w:szCs w:val="18"/>
          <w:lang w:eastAsia="zh-CN"/>
        </w:rPr>
        <w:t>”</w:t>
      </w:r>
      <w:r>
        <w:rPr>
          <w:rFonts w:hint="eastAsia" w:ascii="宋体" w:hAnsi="宋体" w:eastAsia="宋体" w:cs="宋体"/>
          <w:sz w:val="18"/>
          <w:szCs w:val="18"/>
        </w:rPr>
        <w:t>公益宣传，推动党建服务直达基层、惠及群众。严格落实</w:t>
      </w:r>
      <w:r>
        <w:rPr>
          <w:rFonts w:hint="eastAsia" w:ascii="宋体" w:hAnsi="宋体" w:cs="宋体"/>
          <w:sz w:val="18"/>
          <w:szCs w:val="18"/>
          <w:lang w:eastAsia="zh-CN"/>
        </w:rPr>
        <w:t>“</w:t>
      </w:r>
      <w:r>
        <w:rPr>
          <w:rFonts w:hint="eastAsia" w:ascii="宋体" w:hAnsi="宋体" w:eastAsia="宋体" w:cs="宋体"/>
          <w:sz w:val="18"/>
          <w:szCs w:val="18"/>
        </w:rPr>
        <w:t>把党员培养成骨干，把骨干发展成党员</w:t>
      </w:r>
      <w:r>
        <w:rPr>
          <w:rFonts w:hint="eastAsia" w:ascii="宋体" w:hAnsi="宋体" w:cs="宋体"/>
          <w:sz w:val="18"/>
          <w:szCs w:val="18"/>
          <w:lang w:eastAsia="zh-CN"/>
        </w:rPr>
        <w:t>”</w:t>
      </w:r>
      <w:r>
        <w:rPr>
          <w:rFonts w:hint="eastAsia" w:ascii="宋体" w:hAnsi="宋体" w:eastAsia="宋体" w:cs="宋体"/>
          <w:sz w:val="18"/>
          <w:szCs w:val="18"/>
        </w:rPr>
        <w:t>双培养机制，在关键岗位、重大项目中锤炼党员先锋模范作用，加强对青年员工与业务骨干的政治引领与培养吸纳，持续锻造政治坚定、能力过硬、作风扎实的党员骨干队伍，以高质量党建引领企业高质量发展。</w:t>
      </w:r>
    </w:p>
    <w:p w14:paraId="19E102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eastAsia" w:ascii="宋体" w:hAnsi="宋体" w:eastAsia="宋体" w:cs="宋体"/>
          <w:sz w:val="24"/>
          <w:szCs w:val="24"/>
        </w:rPr>
      </w:pPr>
      <w:r>
        <w:rPr>
          <w:rStyle w:val="9"/>
          <w:rFonts w:hint="default" w:ascii="Times New Roman" w:hAnsi="Times New Roman" w:eastAsia="宋体" w:cs="Times New Roman"/>
          <w:sz w:val="18"/>
          <w:szCs w:val="18"/>
        </w:rPr>
        <w:t>2</w:t>
      </w:r>
      <w:r>
        <w:rPr>
          <w:rStyle w:val="9"/>
          <w:rFonts w:hint="eastAsia" w:ascii="宋体" w:hAnsi="宋体" w:eastAsia="宋体" w:cs="宋体"/>
          <w:sz w:val="18"/>
          <w:szCs w:val="18"/>
        </w:rPr>
        <w:t>、坚持以人为本，守护员工全面发展</w:t>
      </w:r>
    </w:p>
    <w:p w14:paraId="019514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eastAsia" w:ascii="宋体" w:hAnsi="宋体" w:eastAsia="宋体" w:cs="宋体"/>
          <w:sz w:val="24"/>
          <w:szCs w:val="24"/>
        </w:rPr>
      </w:pPr>
      <w:r>
        <w:rPr>
          <w:rFonts w:hint="eastAsia" w:ascii="宋体" w:hAnsi="宋体" w:eastAsia="宋体" w:cs="宋体"/>
          <w:sz w:val="18"/>
          <w:szCs w:val="18"/>
        </w:rPr>
        <w:t>公司秉持</w:t>
      </w:r>
      <w:r>
        <w:rPr>
          <w:rFonts w:hint="eastAsia" w:ascii="宋体" w:hAnsi="宋体" w:cs="宋体"/>
          <w:sz w:val="18"/>
          <w:szCs w:val="18"/>
          <w:lang w:eastAsia="zh-CN"/>
        </w:rPr>
        <w:t>“</w:t>
      </w:r>
      <w:r>
        <w:rPr>
          <w:rFonts w:hint="eastAsia" w:ascii="宋体" w:hAnsi="宋体" w:eastAsia="宋体" w:cs="宋体"/>
          <w:sz w:val="18"/>
          <w:szCs w:val="18"/>
        </w:rPr>
        <w:t>以人为本</w:t>
      </w:r>
      <w:r>
        <w:rPr>
          <w:rFonts w:hint="eastAsia" w:ascii="宋体" w:hAnsi="宋体" w:cs="宋体"/>
          <w:sz w:val="18"/>
          <w:szCs w:val="18"/>
          <w:lang w:eastAsia="zh-CN"/>
        </w:rPr>
        <w:t>”</w:t>
      </w:r>
      <w:r>
        <w:rPr>
          <w:rFonts w:hint="eastAsia" w:ascii="宋体" w:hAnsi="宋体" w:eastAsia="宋体" w:cs="宋体"/>
          <w:sz w:val="18"/>
          <w:szCs w:val="18"/>
        </w:rPr>
        <w:t>理念，致力于营造公平、和谐、健康的工作环境。严格遵守劳动保障法律法规，与员工在平等自愿、协商一致的基础上签订劳动合同，建立覆盖劳动合同管理、薪酬福利、绩效考核、培训晋升、休息休假等完善的用工管理制度。依法为全体员工足额缴纳养老、医疗、工伤、失业、生育等社会保险，构建包含带薪年假、高温补贴、健康体检、婚礼礼金、丧病慰问金、租房及交通补贴等在内的多元化福利体系。同时建立系统化人才发展与自主培养机制，为员工搭建清晰的职业成长通道，激发个人潜能。公司高度重视职工身心健康，通过心理健康讲座、一对一心理咨询等形式，持续关注并守护员工心理健康。</w:t>
      </w:r>
    </w:p>
    <w:p w14:paraId="46AD59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eastAsia" w:ascii="宋体" w:hAnsi="宋体" w:eastAsia="宋体" w:cs="宋体"/>
          <w:sz w:val="24"/>
          <w:szCs w:val="24"/>
        </w:rPr>
      </w:pPr>
      <w:r>
        <w:rPr>
          <w:rStyle w:val="9"/>
          <w:rFonts w:hint="default" w:ascii="Times New Roman" w:hAnsi="Times New Roman" w:eastAsia="宋体" w:cs="Times New Roman"/>
          <w:sz w:val="18"/>
          <w:szCs w:val="18"/>
        </w:rPr>
        <w:t>3</w:t>
      </w:r>
      <w:r>
        <w:rPr>
          <w:rStyle w:val="9"/>
          <w:rFonts w:hint="eastAsia" w:ascii="宋体" w:hAnsi="宋体" w:eastAsia="宋体" w:cs="宋体"/>
          <w:sz w:val="18"/>
          <w:szCs w:val="18"/>
        </w:rPr>
        <w:t>、践行绿色发展，严守生态环保与安全生产底线</w:t>
      </w:r>
    </w:p>
    <w:p w14:paraId="0646236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eastAsia" w:ascii="宋体" w:hAnsi="宋体" w:eastAsia="宋体" w:cs="宋体"/>
          <w:sz w:val="24"/>
          <w:szCs w:val="24"/>
        </w:rPr>
      </w:pPr>
      <w:r>
        <w:rPr>
          <w:rFonts w:hint="eastAsia" w:ascii="宋体" w:hAnsi="宋体" w:eastAsia="宋体" w:cs="宋体"/>
          <w:sz w:val="18"/>
          <w:szCs w:val="18"/>
        </w:rPr>
        <w:t>公司坚守</w:t>
      </w:r>
      <w:r>
        <w:rPr>
          <w:rFonts w:hint="eastAsia" w:ascii="宋体" w:hAnsi="宋体" w:cs="宋体"/>
          <w:sz w:val="18"/>
          <w:szCs w:val="18"/>
          <w:lang w:eastAsia="zh-CN"/>
        </w:rPr>
        <w:t>“</w:t>
      </w:r>
      <w:r>
        <w:rPr>
          <w:rFonts w:hint="eastAsia" w:ascii="宋体" w:hAnsi="宋体" w:eastAsia="宋体" w:cs="宋体"/>
          <w:sz w:val="18"/>
          <w:szCs w:val="18"/>
        </w:rPr>
        <w:t>低碳节能、绿色健康</w:t>
      </w:r>
      <w:r>
        <w:rPr>
          <w:rFonts w:hint="eastAsia" w:ascii="宋体" w:hAnsi="宋体" w:cs="宋体"/>
          <w:sz w:val="18"/>
          <w:szCs w:val="18"/>
          <w:lang w:eastAsia="zh-CN"/>
        </w:rPr>
        <w:t>”</w:t>
      </w:r>
      <w:r>
        <w:rPr>
          <w:rFonts w:hint="eastAsia" w:ascii="宋体" w:hAnsi="宋体" w:eastAsia="宋体" w:cs="宋体"/>
          <w:sz w:val="18"/>
          <w:szCs w:val="18"/>
        </w:rPr>
        <w:t>理念，严格执行国家环保法律法规，建立健全环境保护内部控制体系，将绿色发展融入建设、生产、包装、办公等全流程。在生产环节采用先进环保技术，优化能源结构，推动循环经济与清洁生产，废水、废料等均委托具备资质的第三方专业机构规范处理，确保主要污染物达标排放。在办公环节积极推行无纸化办公、节能低碳运营，开展节能降耗及杜绝</w:t>
      </w:r>
      <w:r>
        <w:rPr>
          <w:rFonts w:hint="eastAsia" w:ascii="宋体" w:hAnsi="宋体" w:cs="宋体"/>
          <w:sz w:val="18"/>
          <w:szCs w:val="18"/>
          <w:lang w:eastAsia="zh-CN"/>
        </w:rPr>
        <w:t>“</w:t>
      </w:r>
      <w:r>
        <w:rPr>
          <w:rFonts w:hint="eastAsia" w:ascii="宋体" w:hAnsi="宋体" w:eastAsia="宋体" w:cs="宋体"/>
          <w:sz w:val="18"/>
          <w:szCs w:val="18"/>
        </w:rPr>
        <w:t>跑冒滴漏</w:t>
      </w:r>
      <w:r>
        <w:rPr>
          <w:rFonts w:hint="eastAsia" w:ascii="宋体" w:hAnsi="宋体" w:cs="宋体"/>
          <w:sz w:val="18"/>
          <w:szCs w:val="18"/>
          <w:lang w:eastAsia="zh-CN"/>
        </w:rPr>
        <w:t>”</w:t>
      </w:r>
      <w:r>
        <w:rPr>
          <w:rFonts w:hint="eastAsia" w:ascii="宋体" w:hAnsi="宋体" w:eastAsia="宋体" w:cs="宋体"/>
          <w:sz w:val="18"/>
          <w:szCs w:val="18"/>
        </w:rPr>
        <w:t>专项行动，规范水、电、办公用品使用，实现资源高效利用。报告期内，公司不存在环保违法违规行为，未受到环保行政处罚。同时，公司坚持</w:t>
      </w:r>
      <w:r>
        <w:rPr>
          <w:rFonts w:hint="eastAsia" w:ascii="宋体" w:hAnsi="宋体" w:cs="宋体"/>
          <w:sz w:val="18"/>
          <w:szCs w:val="18"/>
          <w:lang w:eastAsia="zh-CN"/>
        </w:rPr>
        <w:t>“</w:t>
      </w:r>
      <w:r>
        <w:rPr>
          <w:rFonts w:hint="eastAsia" w:ascii="宋体" w:hAnsi="宋体" w:eastAsia="宋体" w:cs="宋体"/>
          <w:sz w:val="18"/>
          <w:szCs w:val="18"/>
        </w:rPr>
        <w:t>安全第一、预防为主、综合治理</w:t>
      </w:r>
      <w:r>
        <w:rPr>
          <w:rFonts w:hint="eastAsia" w:ascii="宋体" w:hAnsi="宋体" w:cs="宋体"/>
          <w:sz w:val="18"/>
          <w:szCs w:val="18"/>
          <w:lang w:eastAsia="zh-CN"/>
        </w:rPr>
        <w:t>”</w:t>
      </w:r>
      <w:r>
        <w:rPr>
          <w:rFonts w:hint="eastAsia" w:ascii="宋体" w:hAnsi="宋体" w:eastAsia="宋体" w:cs="宋体"/>
          <w:sz w:val="18"/>
          <w:szCs w:val="18"/>
        </w:rPr>
        <w:t>的方针，持续健全安全生产管理体系，定期开展安全生产检查、消防培训、应急演练等活动，强化安全隐患排查与闭环整改，不断提升全员安全意识与应急处置能力，切实以规范化管理保障员工生产安全，维护公司经营发展稳定。</w:t>
      </w:r>
    </w:p>
    <w:p w14:paraId="724C2CB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eastAsia" w:ascii="宋体" w:hAnsi="宋体" w:eastAsia="宋体" w:cs="宋体"/>
          <w:sz w:val="24"/>
          <w:szCs w:val="24"/>
        </w:rPr>
      </w:pPr>
      <w:r>
        <w:rPr>
          <w:rStyle w:val="9"/>
          <w:rFonts w:hint="default" w:ascii="Times New Roman" w:hAnsi="Times New Roman" w:eastAsia="宋体" w:cs="Times New Roman"/>
          <w:sz w:val="18"/>
          <w:szCs w:val="18"/>
        </w:rPr>
        <w:t>4</w:t>
      </w:r>
      <w:r>
        <w:rPr>
          <w:rStyle w:val="9"/>
          <w:rFonts w:hint="eastAsia" w:ascii="宋体" w:hAnsi="宋体" w:eastAsia="宋体" w:cs="宋体"/>
          <w:sz w:val="18"/>
          <w:szCs w:val="18"/>
        </w:rPr>
        <w:t>、坚守诚信合规，维护多方权益</w:t>
      </w:r>
    </w:p>
    <w:p w14:paraId="040B3ED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eastAsia" w:ascii="宋体" w:hAnsi="宋体" w:eastAsia="宋体" w:cs="宋体"/>
          <w:sz w:val="24"/>
          <w:szCs w:val="24"/>
        </w:rPr>
      </w:pPr>
      <w:r>
        <w:rPr>
          <w:rFonts w:hint="eastAsia" w:ascii="宋体" w:hAnsi="宋体" w:eastAsia="宋体" w:cs="宋体"/>
          <w:sz w:val="18"/>
          <w:szCs w:val="18"/>
        </w:rPr>
        <w:t>公司始终坚持诚信经营、依法纳税，主动接受社会各界监督，切实将供应商、客户及消费者权益保护融入经营各环节。与供应商合作坚守公平协商、诚信履约原则，规范采购流程、依约及时付款，打造公正透明的合作平台；针对第三类医疗器械产品特性，从采购、生产到销售服务全流程实施严苛质量管控，同时通过准确的产品信息披露、高效的售后服务体系，全方位保障客户与消费者核心利益，致力实现多方互惠共赢。报告期内，公司凭借专业化、精细化发展优势，成功获评国家级专精特新</w:t>
      </w:r>
      <w:r>
        <w:rPr>
          <w:rFonts w:hint="eastAsia" w:ascii="宋体" w:hAnsi="宋体" w:cs="宋体"/>
          <w:sz w:val="18"/>
          <w:szCs w:val="18"/>
          <w:lang w:eastAsia="zh-CN"/>
        </w:rPr>
        <w:t>“</w:t>
      </w:r>
      <w:r>
        <w:rPr>
          <w:rFonts w:hint="eastAsia" w:ascii="宋体" w:hAnsi="宋体" w:eastAsia="宋体" w:cs="宋体"/>
          <w:sz w:val="18"/>
          <w:szCs w:val="18"/>
        </w:rPr>
        <w:t>小巨人</w:t>
      </w:r>
      <w:r>
        <w:rPr>
          <w:rFonts w:hint="eastAsia" w:ascii="宋体" w:hAnsi="宋体" w:cs="宋体"/>
          <w:sz w:val="18"/>
          <w:szCs w:val="18"/>
          <w:lang w:eastAsia="zh-CN"/>
        </w:rPr>
        <w:t>”</w:t>
      </w:r>
      <w:r>
        <w:rPr>
          <w:rFonts w:hint="eastAsia" w:ascii="宋体" w:hAnsi="宋体" w:eastAsia="宋体" w:cs="宋体"/>
          <w:sz w:val="18"/>
          <w:szCs w:val="18"/>
        </w:rPr>
        <w:t>企业称号，创新能力与细分领域领先地位获得权威认可；并顺利通过国家数据管理能力成熟度稳健级（三级）认证，标志着公司数据治理体系、安全应用与资产管理水平达到国家标准，为企业持续健康发展注入强劲动能。</w:t>
      </w:r>
    </w:p>
    <w:p w14:paraId="3A35E3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eastAsia" w:ascii="宋体" w:hAnsi="宋体" w:eastAsia="宋体" w:cs="宋体"/>
          <w:sz w:val="24"/>
          <w:szCs w:val="24"/>
        </w:rPr>
      </w:pPr>
      <w:r>
        <w:rPr>
          <w:rStyle w:val="9"/>
          <w:rFonts w:hint="default" w:ascii="Times New Roman" w:hAnsi="Times New Roman" w:eastAsia="宋体" w:cs="Times New Roman"/>
          <w:sz w:val="18"/>
          <w:szCs w:val="18"/>
        </w:rPr>
        <w:t>5</w:t>
      </w:r>
      <w:r>
        <w:rPr>
          <w:rStyle w:val="9"/>
          <w:rFonts w:hint="eastAsia" w:ascii="宋体" w:hAnsi="宋体" w:eastAsia="宋体" w:cs="宋体"/>
          <w:sz w:val="18"/>
          <w:szCs w:val="18"/>
        </w:rPr>
        <w:t>、践行公益捐赠，共筑健康社会责任</w:t>
      </w:r>
    </w:p>
    <w:p w14:paraId="36997B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eastAsia" w:ascii="宋体" w:hAnsi="宋体" w:eastAsia="宋体" w:cs="宋体"/>
          <w:sz w:val="24"/>
          <w:szCs w:val="24"/>
        </w:rPr>
      </w:pPr>
      <w:r>
        <w:rPr>
          <w:rFonts w:hint="eastAsia" w:ascii="宋体" w:hAnsi="宋体" w:eastAsia="宋体" w:cs="宋体"/>
          <w:sz w:val="18"/>
          <w:szCs w:val="18"/>
        </w:rPr>
        <w:t>公司积极践行社会责任，持续深化公益实践。</w:t>
      </w:r>
      <w:r>
        <w:rPr>
          <w:rFonts w:hint="default" w:ascii="Times New Roman" w:hAnsi="Times New Roman" w:eastAsia="宋体" w:cs="Times New Roman"/>
          <w:sz w:val="18"/>
          <w:szCs w:val="18"/>
        </w:rPr>
        <w:t>2025</w:t>
      </w:r>
      <w:r>
        <w:rPr>
          <w:rFonts w:hint="eastAsia" w:ascii="宋体" w:hAnsi="宋体" w:eastAsia="宋体" w:cs="宋体"/>
          <w:sz w:val="18"/>
          <w:szCs w:val="18"/>
        </w:rPr>
        <w:t>年，为支持妇女儿童、医学事业发展和社区建设，公司累计向各类公益组织及机构捐赠</w:t>
      </w:r>
      <w:r>
        <w:rPr>
          <w:rFonts w:hint="default" w:ascii="Times New Roman" w:hAnsi="Times New Roman" w:eastAsia="宋体" w:cs="Times New Roman"/>
          <w:sz w:val="18"/>
          <w:szCs w:val="18"/>
        </w:rPr>
        <w:t>80</w:t>
      </w:r>
      <w:r>
        <w:rPr>
          <w:rFonts w:hint="eastAsia" w:ascii="宋体" w:hAnsi="宋体" w:eastAsia="宋体" w:cs="宋体"/>
          <w:sz w:val="18"/>
          <w:szCs w:val="18"/>
        </w:rPr>
        <w:t>万元。公司还常态化开展健康科普、志愿服务等公益行动，将社会责任融入日常发展。同时，公司深度参与行业标准制定，以科技力量推动行业规范发展与公众健康守护。报告期内，公司参与发布国家标准《基于细胞的医疗器械生产加工过程中微生物风险控制》，填补行业空白；全资子公司北昊研究院牵头或参与制定多项细胞治疗、呼吸疾病领域临床应用指南及技术要求，为相关疾病规范化诊疗提供关键技术支撑，以专业坚守安全底线，以责任护航行业创新与公众健康。</w:t>
      </w:r>
    </w:p>
    <w:p w14:paraId="6A59BA74">
      <w:pPr>
        <w:pStyle w:val="2"/>
        <w:keepNext/>
        <w:keepLines/>
        <w:spacing w:before="300" w:after="300" w:line="320" w:lineRule="exact"/>
        <w:jc w:val="left"/>
        <w:outlineLvl w:val="1"/>
        <w:rPr>
          <w:rFonts w:ascii="宋体" w:hAnsi="宋体" w:eastAsia="宋体" w:cs="宋体"/>
          <w:b/>
          <w:bCs/>
          <w:sz w:val="24"/>
          <w:szCs w:val="24"/>
        </w:rPr>
      </w:pPr>
      <w:bookmarkStart w:id="129" w:name="_Toc353"/>
      <w:bookmarkStart w:id="130" w:name="_Toc988973"/>
      <w:r>
        <w:rPr>
          <w:rFonts w:ascii="宋体" w:hAnsi="宋体" w:eastAsia="宋体" w:cs="宋体"/>
          <w:b/>
          <w:bCs/>
          <w:sz w:val="24"/>
          <w:szCs w:val="24"/>
        </w:rPr>
        <w:t>十九、巩固拓展脱贫攻坚成果、乡村振兴的情况</w:t>
      </w:r>
      <w:bookmarkEnd w:id="129"/>
      <w:bookmarkEnd w:id="130"/>
    </w:p>
    <w:p w14:paraId="496F9C0D">
      <w:pPr>
        <w:pStyle w:val="6"/>
        <w:keepNext w:val="0"/>
        <w:keepLines w:val="0"/>
        <w:widowControl/>
        <w:suppressLineNumbers w:val="0"/>
        <w:ind w:left="0" w:right="0" w:firstLine="360"/>
        <w:rPr>
          <w:rFonts w:hint="eastAsia" w:ascii="宋体" w:hAnsi="宋体" w:eastAsia="宋体" w:cs="宋体"/>
          <w:sz w:val="24"/>
          <w:szCs w:val="24"/>
        </w:rPr>
      </w:pPr>
      <w:r>
        <w:rPr>
          <w:rFonts w:hint="eastAsia" w:ascii="宋体" w:hAnsi="宋体" w:eastAsia="宋体" w:cs="宋体"/>
          <w:sz w:val="18"/>
          <w:szCs w:val="18"/>
        </w:rPr>
        <w:t>报告期内，公司子公司携手广东省亮睛工程慈善基金会，扎实推进</w:t>
      </w:r>
      <w:r>
        <w:rPr>
          <w:rFonts w:hint="eastAsia" w:ascii="宋体" w:hAnsi="宋体" w:cs="宋体"/>
          <w:sz w:val="18"/>
          <w:szCs w:val="18"/>
          <w:lang w:eastAsia="zh-CN"/>
        </w:rPr>
        <w:t>“</w:t>
      </w:r>
      <w:r>
        <w:rPr>
          <w:rFonts w:hint="eastAsia" w:ascii="宋体" w:hAnsi="宋体" w:eastAsia="宋体" w:cs="宋体"/>
          <w:sz w:val="18"/>
          <w:szCs w:val="18"/>
        </w:rPr>
        <w:t>光明未来——白内障患者复明行动</w:t>
      </w:r>
      <w:r>
        <w:rPr>
          <w:rFonts w:hint="eastAsia" w:ascii="宋体" w:hAnsi="宋体" w:cs="宋体"/>
          <w:sz w:val="18"/>
          <w:szCs w:val="18"/>
          <w:lang w:eastAsia="zh-CN"/>
        </w:rPr>
        <w:t>”</w:t>
      </w:r>
      <w:r>
        <w:rPr>
          <w:rFonts w:hint="eastAsia" w:ascii="宋体" w:hAnsi="宋体" w:eastAsia="宋体" w:cs="宋体"/>
          <w:sz w:val="18"/>
          <w:szCs w:val="18"/>
        </w:rPr>
        <w:t>，聚焦乡村基层医疗服务薄弱环节，定向向广东省河源市东源县、贵州省威宁县等乡村地区多家医院捐赠</w:t>
      </w:r>
      <w:r>
        <w:rPr>
          <w:rFonts w:hint="eastAsia" w:ascii="宋体" w:hAnsi="宋体" w:cs="宋体"/>
          <w:sz w:val="18"/>
          <w:szCs w:val="18"/>
          <w:lang w:val="en-US" w:eastAsia="zh-CN"/>
        </w:rPr>
        <w:t>一批</w:t>
      </w:r>
      <w:r>
        <w:rPr>
          <w:rFonts w:hint="eastAsia" w:ascii="宋体" w:hAnsi="宋体" w:eastAsia="宋体" w:cs="宋体"/>
          <w:sz w:val="18"/>
          <w:szCs w:val="18"/>
        </w:rPr>
        <w:t>医疗物资，医保集中采购价值</w:t>
      </w:r>
      <w:r>
        <w:rPr>
          <w:rFonts w:hint="default" w:ascii="Times New Roman" w:hAnsi="Times New Roman" w:eastAsia="宋体" w:cs="Times New Roman"/>
          <w:sz w:val="18"/>
          <w:szCs w:val="18"/>
        </w:rPr>
        <w:t>113.86</w:t>
      </w:r>
      <w:r>
        <w:rPr>
          <w:rFonts w:hint="eastAsia" w:ascii="宋体" w:hAnsi="宋体" w:eastAsia="宋体" w:cs="宋体"/>
          <w:sz w:val="18"/>
          <w:szCs w:val="18"/>
        </w:rPr>
        <w:t>万元，专项用于当地防盲治盲眼科手术开展及基层医护人员专业培训，既切实帮助乡村困难白内障患者重见光明，解决群众就医难题，又为提升乡村基层眼科医疗技术水平、完善基层医疗服务体系提供了坚实物资与技术支撑，以实际行动助力乡村医疗振兴，让健康福祉惠及更多乡村群众。</w:t>
      </w:r>
    </w:p>
    <w:p w14:paraId="56036B1D">
      <w:r>
        <w:br w:type="page"/>
      </w:r>
    </w:p>
    <w:p w14:paraId="2749265A">
      <w:pPr>
        <w:pStyle w:val="11"/>
        <w:keepNext/>
        <w:keepLines/>
        <w:spacing w:before="340" w:after="330" w:line="773" w:lineRule="exact"/>
        <w:jc w:val="center"/>
        <w:outlineLvl w:val="0"/>
        <w:rPr>
          <w:rFonts w:ascii="宋体" w:hAnsi="宋体" w:eastAsia="宋体" w:cs="宋体"/>
          <w:b/>
          <w:bCs/>
          <w:sz w:val="32"/>
          <w:szCs w:val="32"/>
        </w:rPr>
      </w:pPr>
      <w:bookmarkStart w:id="131" w:name="_Toc27065"/>
      <w:bookmarkStart w:id="132" w:name="_Toc988974"/>
      <w:r>
        <w:rPr>
          <w:rFonts w:ascii="宋体" w:hAnsi="宋体" w:eastAsia="宋体" w:cs="宋体"/>
          <w:b/>
          <w:bCs/>
          <w:sz w:val="32"/>
          <w:szCs w:val="32"/>
        </w:rPr>
        <w:t>第五节 重要事项</w:t>
      </w:r>
      <w:bookmarkEnd w:id="131"/>
      <w:bookmarkEnd w:id="132"/>
    </w:p>
    <w:p w14:paraId="5882F3FC">
      <w:pPr>
        <w:pStyle w:val="2"/>
        <w:keepNext/>
        <w:keepLines/>
        <w:spacing w:before="300" w:after="300" w:line="320" w:lineRule="exact"/>
        <w:jc w:val="left"/>
        <w:outlineLvl w:val="1"/>
        <w:rPr>
          <w:rFonts w:ascii="宋体" w:hAnsi="宋体" w:eastAsia="宋体" w:cs="宋体"/>
          <w:b/>
          <w:bCs/>
          <w:sz w:val="24"/>
          <w:szCs w:val="24"/>
        </w:rPr>
      </w:pPr>
      <w:bookmarkStart w:id="133" w:name="_Toc8068"/>
      <w:bookmarkStart w:id="134" w:name="_Toc988975"/>
      <w:r>
        <w:rPr>
          <w:rFonts w:ascii="宋体" w:hAnsi="宋体" w:eastAsia="宋体" w:cs="宋体"/>
          <w:b/>
          <w:bCs/>
          <w:sz w:val="24"/>
          <w:szCs w:val="24"/>
        </w:rPr>
        <w:t>一、承诺事项履行情况</w:t>
      </w:r>
      <w:bookmarkEnd w:id="133"/>
      <w:bookmarkEnd w:id="134"/>
    </w:p>
    <w:p w14:paraId="50B5F243">
      <w:pPr>
        <w:pStyle w:val="3"/>
        <w:keepNext/>
        <w:keepLines/>
        <w:spacing w:before="300" w:after="300" w:line="280" w:lineRule="exact"/>
        <w:jc w:val="left"/>
        <w:outlineLvl w:val="2"/>
        <w:rPr>
          <w:rFonts w:ascii="宋体" w:hAnsi="宋体" w:eastAsia="宋体" w:cs="宋体"/>
          <w:b/>
          <w:bCs/>
          <w:sz w:val="21"/>
          <w:szCs w:val="21"/>
        </w:rPr>
      </w:pPr>
      <w:bookmarkStart w:id="135" w:name="_Toc988976"/>
      <w:r>
        <w:rPr>
          <w:rFonts w:hint="default" w:ascii="Times New Roman" w:hAnsi="Times New Roman" w:eastAsia="宋体" w:cs="Times New Roman"/>
          <w:b/>
          <w:bCs/>
          <w:sz w:val="21"/>
          <w:szCs w:val="21"/>
        </w:rPr>
        <w:t>1</w:t>
      </w:r>
      <w:r>
        <w:rPr>
          <w:rFonts w:ascii="宋体" w:hAnsi="宋体" w:eastAsia="宋体" w:cs="宋体"/>
          <w:b/>
          <w:bCs/>
          <w:sz w:val="21"/>
          <w:szCs w:val="21"/>
        </w:rPr>
        <w:t>、公司实际控制人、股东、关联方、收购人以及公司等承诺相关方在报告期内履行完毕及截至报告期末尚未履行完毕的承诺事项</w:t>
      </w:r>
      <w:bookmarkEnd w:id="135"/>
    </w:p>
    <w:p w14:paraId="44A90DA6">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735"/>
        <w:gridCol w:w="1150"/>
        <w:gridCol w:w="1246"/>
      </w:tblGrid>
      <w:tr w14:paraId="3FD95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D9F97F9">
            <w:pPr>
              <w:spacing w:before="40" w:after="40" w:line="240" w:lineRule="exact"/>
              <w:jc w:val="center"/>
              <w:rPr>
                <w:rFonts w:ascii="宋体" w:hAnsi="宋体" w:eastAsia="宋体" w:cs="宋体"/>
                <w:sz w:val="18"/>
                <w:szCs w:val="18"/>
              </w:rPr>
            </w:pPr>
            <w:r>
              <w:rPr>
                <w:rFonts w:ascii="宋体" w:hAnsi="宋体" w:eastAsia="宋体" w:cs="宋体"/>
                <w:sz w:val="18"/>
                <w:szCs w:val="18"/>
              </w:rPr>
              <w:t>承诺事由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BF6B774">
            <w:pPr>
              <w:spacing w:before="40" w:after="40" w:line="240" w:lineRule="exact"/>
              <w:jc w:val="center"/>
              <w:rPr>
                <w:rFonts w:ascii="宋体" w:hAnsi="宋体" w:eastAsia="宋体" w:cs="宋体"/>
                <w:sz w:val="18"/>
                <w:szCs w:val="18"/>
              </w:rPr>
            </w:pPr>
            <w:r>
              <w:rPr>
                <w:rFonts w:ascii="宋体" w:hAnsi="宋体" w:eastAsia="宋体" w:cs="宋体"/>
                <w:sz w:val="18"/>
                <w:szCs w:val="18"/>
              </w:rPr>
              <w:t>承诺方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925D1AC">
            <w:pPr>
              <w:spacing w:before="40" w:after="40" w:line="240" w:lineRule="exact"/>
              <w:jc w:val="center"/>
              <w:rPr>
                <w:rFonts w:ascii="宋体" w:hAnsi="宋体" w:eastAsia="宋体" w:cs="宋体"/>
                <w:sz w:val="18"/>
                <w:szCs w:val="18"/>
              </w:rPr>
            </w:pPr>
            <w:r>
              <w:rPr>
                <w:rFonts w:ascii="宋体" w:hAnsi="宋体" w:eastAsia="宋体" w:cs="宋体"/>
                <w:sz w:val="18"/>
                <w:szCs w:val="18"/>
              </w:rPr>
              <w:t>承诺类型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C81B5E7">
            <w:pPr>
              <w:spacing w:before="40" w:after="40" w:line="240" w:lineRule="exact"/>
              <w:jc w:val="center"/>
              <w:rPr>
                <w:rFonts w:ascii="宋体" w:hAnsi="宋体" w:eastAsia="宋体" w:cs="宋体"/>
                <w:sz w:val="18"/>
                <w:szCs w:val="18"/>
              </w:rPr>
            </w:pPr>
            <w:r>
              <w:rPr>
                <w:rFonts w:ascii="宋体" w:hAnsi="宋体" w:eastAsia="宋体" w:cs="宋体"/>
                <w:sz w:val="18"/>
                <w:szCs w:val="18"/>
              </w:rPr>
              <w:t>承诺内容</w:t>
            </w:r>
          </w:p>
        </w:tc>
        <w:tc>
          <w:tcPr>
            <w:tcW w:w="1735" w:type="dxa"/>
            <w:tcBorders>
              <w:top w:val="single" w:color="auto" w:sz="2" w:space="0"/>
              <w:left w:val="single" w:color="auto" w:sz="2" w:space="0"/>
              <w:bottom w:val="single" w:color="auto" w:sz="2" w:space="0"/>
              <w:right w:val="single" w:color="auto" w:sz="2" w:space="0"/>
            </w:tcBorders>
            <w:shd w:val="clear" w:color="auto" w:fill="D3D3D3"/>
            <w:vAlign w:val="center"/>
          </w:tcPr>
          <w:p w14:paraId="05079960">
            <w:pPr>
              <w:spacing w:before="40" w:after="40" w:line="240" w:lineRule="exact"/>
              <w:jc w:val="center"/>
              <w:rPr>
                <w:rFonts w:ascii="宋体" w:hAnsi="宋体" w:eastAsia="宋体" w:cs="宋体"/>
                <w:sz w:val="18"/>
                <w:szCs w:val="18"/>
              </w:rPr>
            </w:pPr>
            <w:r>
              <w:rPr>
                <w:rFonts w:ascii="宋体" w:hAnsi="宋体" w:eastAsia="宋体" w:cs="宋体"/>
                <w:sz w:val="18"/>
                <w:szCs w:val="18"/>
              </w:rPr>
              <w:t>承诺时间</w:t>
            </w:r>
          </w:p>
        </w:tc>
        <w:tc>
          <w:tcPr>
            <w:tcW w:w="1150" w:type="dxa"/>
            <w:tcBorders>
              <w:top w:val="single" w:color="auto" w:sz="2" w:space="0"/>
              <w:left w:val="single" w:color="auto" w:sz="2" w:space="0"/>
              <w:bottom w:val="single" w:color="auto" w:sz="2" w:space="0"/>
              <w:right w:val="single" w:color="auto" w:sz="2" w:space="0"/>
            </w:tcBorders>
            <w:shd w:val="clear" w:color="auto" w:fill="D3D3D3"/>
            <w:vAlign w:val="center"/>
          </w:tcPr>
          <w:p w14:paraId="70290648">
            <w:pPr>
              <w:spacing w:before="40" w:after="40" w:line="240" w:lineRule="exact"/>
              <w:jc w:val="center"/>
              <w:rPr>
                <w:rFonts w:ascii="宋体" w:hAnsi="宋体" w:eastAsia="宋体" w:cs="宋体"/>
                <w:sz w:val="18"/>
                <w:szCs w:val="18"/>
              </w:rPr>
            </w:pPr>
            <w:r>
              <w:rPr>
                <w:rFonts w:ascii="宋体" w:hAnsi="宋体" w:eastAsia="宋体" w:cs="宋体"/>
                <w:sz w:val="18"/>
                <w:szCs w:val="18"/>
              </w:rPr>
              <w:t>承诺期限</w:t>
            </w:r>
          </w:p>
        </w:tc>
        <w:tc>
          <w:tcPr>
            <w:tcW w:w="1246" w:type="dxa"/>
            <w:tcBorders>
              <w:top w:val="single" w:color="auto" w:sz="2" w:space="0"/>
              <w:left w:val="single" w:color="auto" w:sz="2" w:space="0"/>
              <w:bottom w:val="single" w:color="auto" w:sz="2" w:space="0"/>
              <w:right w:val="single" w:color="auto" w:sz="2" w:space="0"/>
            </w:tcBorders>
            <w:shd w:val="clear" w:color="auto" w:fill="D3D3D3"/>
            <w:vAlign w:val="center"/>
          </w:tcPr>
          <w:p w14:paraId="0A72D473">
            <w:pPr>
              <w:spacing w:before="40" w:after="40" w:line="240" w:lineRule="exact"/>
              <w:jc w:val="center"/>
              <w:rPr>
                <w:rFonts w:ascii="宋体" w:hAnsi="宋体" w:eastAsia="宋体" w:cs="宋体"/>
                <w:sz w:val="18"/>
                <w:szCs w:val="18"/>
              </w:rPr>
            </w:pPr>
            <w:r>
              <w:rPr>
                <w:rFonts w:ascii="宋体" w:hAnsi="宋体" w:eastAsia="宋体" w:cs="宋体"/>
                <w:sz w:val="18"/>
                <w:szCs w:val="18"/>
              </w:rPr>
              <w:t>履行情况</w:t>
            </w:r>
          </w:p>
        </w:tc>
      </w:tr>
      <w:tr w14:paraId="5BEC6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259F38B">
            <w:pPr>
              <w:spacing w:before="40" w:after="40" w:line="240" w:lineRule="exact"/>
              <w:jc w:val="left"/>
              <w:rPr>
                <w:rFonts w:ascii="宋体" w:hAnsi="宋体" w:eastAsia="宋体" w:cs="宋体"/>
                <w:sz w:val="18"/>
                <w:szCs w:val="18"/>
              </w:rPr>
            </w:pPr>
            <w:r>
              <w:rPr>
                <w:rFonts w:ascii="宋体" w:hAnsi="宋体" w:eastAsia="宋体" w:cs="宋体"/>
                <w:sz w:val="18"/>
                <w:szCs w:val="18"/>
              </w:rPr>
              <w:t>资产重组时所作承诺</w:t>
            </w:r>
          </w:p>
        </w:tc>
        <w:tc>
          <w:tcPr>
            <w:tcW w:w="1377" w:type="dxa"/>
            <w:tcBorders>
              <w:top w:val="single" w:color="auto" w:sz="2" w:space="0"/>
              <w:left w:val="single" w:color="auto" w:sz="2" w:space="0"/>
              <w:bottom w:val="single" w:color="auto" w:sz="2" w:space="0"/>
              <w:right w:val="single" w:color="auto" w:sz="2" w:space="0"/>
            </w:tcBorders>
            <w:vAlign w:val="center"/>
          </w:tcPr>
          <w:p w14:paraId="77BA6D67">
            <w:pPr>
              <w:spacing w:before="0" w:after="0" w:line="240" w:lineRule="exact"/>
              <w:jc w:val="left"/>
              <w:rPr>
                <w:rFonts w:ascii="宋体" w:hAnsi="宋体" w:eastAsia="宋体" w:cs="宋体"/>
                <w:sz w:val="18"/>
                <w:szCs w:val="18"/>
              </w:rPr>
            </w:pPr>
            <w:r>
              <w:rPr>
                <w:rFonts w:ascii="宋体" w:hAnsi="宋体" w:eastAsia="宋体" w:cs="宋体"/>
                <w:sz w:val="18"/>
                <w:szCs w:val="18"/>
              </w:rPr>
              <w:t>寇冰、胡承华</w:t>
            </w:r>
          </w:p>
        </w:tc>
        <w:tc>
          <w:tcPr>
            <w:tcW w:w="1377" w:type="dxa"/>
            <w:tcBorders>
              <w:top w:val="single" w:color="auto" w:sz="2" w:space="0"/>
              <w:left w:val="single" w:color="auto" w:sz="2" w:space="0"/>
              <w:bottom w:val="single" w:color="auto" w:sz="2" w:space="0"/>
              <w:right w:val="single" w:color="auto" w:sz="2" w:space="0"/>
            </w:tcBorders>
            <w:vAlign w:val="center"/>
          </w:tcPr>
          <w:p w14:paraId="24AB1211">
            <w:pPr>
              <w:spacing w:before="0" w:after="0" w:line="240" w:lineRule="exact"/>
              <w:jc w:val="left"/>
              <w:rPr>
                <w:rFonts w:ascii="宋体" w:hAnsi="宋体" w:eastAsia="宋体" w:cs="宋体"/>
                <w:sz w:val="18"/>
                <w:szCs w:val="18"/>
              </w:rPr>
            </w:pPr>
            <w:r>
              <w:rPr>
                <w:rFonts w:ascii="宋体" w:hAnsi="宋体" w:eastAsia="宋体" w:cs="宋体"/>
                <w:sz w:val="18"/>
                <w:szCs w:val="18"/>
              </w:rPr>
              <w:t>关于同业竞争、关联交易、资金占用方面的承</w:t>
            </w:r>
          </w:p>
        </w:tc>
        <w:tc>
          <w:tcPr>
            <w:tcW w:w="1377" w:type="dxa"/>
            <w:tcBorders>
              <w:top w:val="single" w:color="auto" w:sz="2" w:space="0"/>
              <w:left w:val="single" w:color="auto" w:sz="2" w:space="0"/>
              <w:bottom w:val="single" w:color="auto" w:sz="2" w:space="0"/>
              <w:right w:val="single" w:color="auto" w:sz="2" w:space="0"/>
            </w:tcBorders>
            <w:vAlign w:val="center"/>
          </w:tcPr>
          <w:p w14:paraId="4AF08004">
            <w:pPr>
              <w:spacing w:before="0" w:after="0" w:line="240" w:lineRule="exact"/>
              <w:jc w:val="left"/>
              <w:rPr>
                <w:rFonts w:hint="eastAsia" w:ascii="宋体" w:hAnsi="宋体" w:eastAsia="宋体" w:cs="宋体"/>
                <w:sz w:val="18"/>
                <w:szCs w:val="18"/>
                <w:lang w:eastAsia="zh-CN"/>
              </w:rPr>
            </w:pPr>
            <w:r>
              <w:rPr>
                <w:rFonts w:hint="eastAsia" w:ascii="宋体" w:hAnsi="宋体" w:cs="宋体"/>
                <w:sz w:val="18"/>
                <w:szCs w:val="18"/>
                <w:lang w:eastAsia="zh-CN"/>
              </w:rPr>
              <w:t>“</w:t>
            </w:r>
            <w:r>
              <w:rPr>
                <w:rFonts w:ascii="宋体" w:hAnsi="宋体" w:eastAsia="宋体" w:cs="宋体"/>
                <w:sz w:val="18"/>
                <w:szCs w:val="18"/>
              </w:rPr>
              <w:t>本人及本人控制的企业不在任何地域以任何形式，从事法律、法规和中国证监会规定的可能与冠昊生物和珠海祥乐构成竞争或可能构成竞争的产品生产或业务经营，也不直接或以投资控股、参股、合资、联营或其他形式经营或为他人经营任何与冠昊生物和珠海祥乐构成竞争或可能构成竞争的产品生产或业务经营。为避免对冠昊生物和珠海祥乐构成新的（或可能的）、直接（或间接）的业务竞争，本人承诺在持有通过本次交易取得的冠昊生物股票期间：</w:t>
            </w:r>
            <w:r>
              <w:rPr>
                <w:rFonts w:hint="default" w:ascii="Times New Roman" w:hAnsi="Times New Roman" w:eastAsia="宋体" w:cs="Times New Roman"/>
                <w:sz w:val="18"/>
                <w:szCs w:val="18"/>
              </w:rPr>
              <w:t>1</w:t>
            </w:r>
            <w:r>
              <w:rPr>
                <w:rFonts w:ascii="宋体" w:hAnsi="宋体" w:eastAsia="宋体" w:cs="宋体"/>
                <w:sz w:val="18"/>
                <w:szCs w:val="18"/>
              </w:rPr>
              <w:t>、本人及本人控制的企业将不直接或间接从事与冠昊生物或珠海祥乐相同或类似的产品生产和业务经营；</w:t>
            </w:r>
            <w:r>
              <w:rPr>
                <w:rFonts w:hint="default" w:ascii="Times New Roman" w:hAnsi="Times New Roman" w:eastAsia="宋体" w:cs="Times New Roman"/>
                <w:sz w:val="18"/>
                <w:szCs w:val="18"/>
              </w:rPr>
              <w:t>2</w:t>
            </w:r>
            <w:r>
              <w:rPr>
                <w:rFonts w:ascii="宋体" w:hAnsi="宋体" w:eastAsia="宋体" w:cs="宋体"/>
                <w:sz w:val="18"/>
                <w:szCs w:val="18"/>
              </w:rPr>
              <w:t>、本人将不会投资于任何与冠昊生物或珠海祥乐的产品生产和业务经营构成竞争或可能构成竞争的企业；</w:t>
            </w:r>
            <w:r>
              <w:rPr>
                <w:rFonts w:hint="default" w:ascii="Times New Roman" w:hAnsi="Times New Roman" w:eastAsia="宋体" w:cs="Times New Roman"/>
                <w:sz w:val="18"/>
                <w:szCs w:val="18"/>
              </w:rPr>
              <w:t>3</w:t>
            </w:r>
            <w:r>
              <w:rPr>
                <w:rFonts w:ascii="宋体" w:hAnsi="宋体" w:eastAsia="宋体" w:cs="宋体"/>
                <w:sz w:val="18"/>
                <w:szCs w:val="18"/>
              </w:rPr>
              <w:t>、本人直接或间接所参股的企业，如从事与冠昊生物或珠海祥乐构成竞争的产品生产和业务经营，本人将避免成为该等企业的控股股东或获得该等企业的实际控制权；</w:t>
            </w:r>
            <w:r>
              <w:rPr>
                <w:rFonts w:hint="default" w:ascii="Times New Roman" w:hAnsi="Times New Roman" w:eastAsia="宋体" w:cs="Times New Roman"/>
                <w:sz w:val="18"/>
                <w:szCs w:val="18"/>
              </w:rPr>
              <w:t>4</w:t>
            </w:r>
            <w:r>
              <w:rPr>
                <w:rFonts w:ascii="宋体" w:hAnsi="宋体" w:eastAsia="宋体" w:cs="宋体"/>
                <w:sz w:val="18"/>
                <w:szCs w:val="18"/>
              </w:rPr>
              <w:t>、如冠昊生物或珠海祥乐此后进一步拓展产品或业务范围，本人和本人控制的企业将不与冠昊生物或珠海祥乐拓展后的产品或业务相竞争，如本人和本人控制的企业与冠昊生物或珠海祥乐拓展后的产品或业务构成或可能构成竞争，则本人将亲自和促成控制的企业采取措施避免该等竞争，包括但不限于：（</w:t>
            </w:r>
            <w:r>
              <w:rPr>
                <w:rFonts w:hint="default" w:ascii="Times New Roman" w:hAnsi="Times New Roman" w:eastAsia="宋体" w:cs="Times New Roman"/>
                <w:sz w:val="18"/>
                <w:szCs w:val="18"/>
              </w:rPr>
              <w:t>1</w:t>
            </w:r>
            <w:r>
              <w:rPr>
                <w:rFonts w:ascii="宋体" w:hAnsi="宋体" w:eastAsia="宋体" w:cs="宋体"/>
                <w:sz w:val="18"/>
                <w:szCs w:val="18"/>
              </w:rPr>
              <w:t>）停止生产构成竞争或可能构成竞争的产品；（</w:t>
            </w:r>
            <w:r>
              <w:rPr>
                <w:rFonts w:hint="default" w:ascii="Times New Roman" w:hAnsi="Times New Roman" w:eastAsia="宋体" w:cs="Times New Roman"/>
                <w:sz w:val="18"/>
                <w:szCs w:val="18"/>
              </w:rPr>
              <w:t>2</w:t>
            </w:r>
            <w:r>
              <w:rPr>
                <w:rFonts w:ascii="宋体" w:hAnsi="宋体" w:eastAsia="宋体" w:cs="宋体"/>
                <w:sz w:val="18"/>
                <w:szCs w:val="18"/>
              </w:rPr>
              <w:t>）停止经营构成或可能构成竞争的业务；（</w:t>
            </w:r>
            <w:r>
              <w:rPr>
                <w:rFonts w:hint="default" w:ascii="Times New Roman" w:hAnsi="Times New Roman" w:eastAsia="宋体" w:cs="Times New Roman"/>
                <w:sz w:val="18"/>
                <w:szCs w:val="18"/>
              </w:rPr>
              <w:t>3</w:t>
            </w:r>
            <w:r>
              <w:rPr>
                <w:rFonts w:ascii="宋体" w:hAnsi="宋体" w:eastAsia="宋体" w:cs="宋体"/>
                <w:sz w:val="18"/>
                <w:szCs w:val="18"/>
              </w:rPr>
              <w:t>）将相竞争的业务转让给无关联的第三方；（</w:t>
            </w:r>
            <w:r>
              <w:rPr>
                <w:rFonts w:hint="default" w:ascii="Times New Roman" w:hAnsi="Times New Roman" w:eastAsia="宋体" w:cs="Times New Roman"/>
                <w:sz w:val="18"/>
                <w:szCs w:val="18"/>
              </w:rPr>
              <w:t>4</w:t>
            </w:r>
            <w:r>
              <w:rPr>
                <w:rFonts w:ascii="宋体" w:hAnsi="宋体" w:eastAsia="宋体" w:cs="宋体"/>
                <w:sz w:val="18"/>
                <w:szCs w:val="18"/>
              </w:rPr>
              <w:t>）将相竞争的业务纳入到冠昊生物来经营。</w:t>
            </w:r>
            <w:r>
              <w:rPr>
                <w:rFonts w:hint="default" w:ascii="Times New Roman" w:hAnsi="Times New Roman" w:eastAsia="宋体" w:cs="Times New Roman"/>
                <w:sz w:val="18"/>
                <w:szCs w:val="18"/>
              </w:rPr>
              <w:t>5</w:t>
            </w:r>
            <w:r>
              <w:rPr>
                <w:rFonts w:ascii="宋体" w:hAnsi="宋体" w:eastAsia="宋体" w:cs="宋体"/>
                <w:sz w:val="18"/>
                <w:szCs w:val="18"/>
              </w:rPr>
              <w:t>、本人同意对因违背上述承诺或未履行上述承诺而给冠昊生物及股东造成的一切损失进行赔偿。</w:t>
            </w:r>
            <w:r>
              <w:rPr>
                <w:rFonts w:hint="eastAsia" w:ascii="宋体" w:hAnsi="宋体" w:cs="宋体"/>
                <w:sz w:val="18"/>
                <w:szCs w:val="18"/>
                <w:lang w:eastAsia="zh-CN"/>
              </w:rPr>
              <w:t>”“</w:t>
            </w:r>
            <w:r>
              <w:rPr>
                <w:rFonts w:hint="default" w:ascii="Times New Roman" w:hAnsi="Times New Roman" w:eastAsia="宋体" w:cs="Times New Roman"/>
                <w:sz w:val="18"/>
                <w:szCs w:val="18"/>
              </w:rPr>
              <w:t>1</w:t>
            </w:r>
            <w:r>
              <w:rPr>
                <w:rFonts w:ascii="宋体" w:hAnsi="宋体" w:eastAsia="宋体" w:cs="宋体"/>
                <w:sz w:val="18"/>
                <w:szCs w:val="18"/>
              </w:rPr>
              <w:t>、本人将尽量避免或减少本人及本人控制的企业与冠昊生物及子公司之间的关联交易。若关联交易无法避免，则关联交易必须按公平、公允、等价有偿的原则进行，并按照《冠昊生物科技股份有限公司章程》（以下简称</w:t>
            </w:r>
            <w:r>
              <w:rPr>
                <w:rFonts w:hint="eastAsia" w:ascii="宋体" w:hAnsi="宋体" w:cs="宋体"/>
                <w:sz w:val="18"/>
                <w:szCs w:val="18"/>
                <w:lang w:eastAsia="zh-CN"/>
              </w:rPr>
              <w:t>“</w:t>
            </w:r>
            <w:r>
              <w:rPr>
                <w:rFonts w:ascii="宋体" w:hAnsi="宋体" w:eastAsia="宋体" w:cs="宋体"/>
                <w:sz w:val="18"/>
                <w:szCs w:val="18"/>
              </w:rPr>
              <w:t>公司章程</w:t>
            </w:r>
            <w:r>
              <w:rPr>
                <w:rFonts w:hint="eastAsia" w:ascii="宋体" w:hAnsi="宋体" w:cs="宋体"/>
                <w:sz w:val="18"/>
                <w:szCs w:val="18"/>
                <w:lang w:eastAsia="zh-CN"/>
              </w:rPr>
              <w:t>”</w:t>
            </w:r>
            <w:r>
              <w:rPr>
                <w:rFonts w:ascii="宋体" w:hAnsi="宋体" w:eastAsia="宋体" w:cs="宋体"/>
                <w:sz w:val="18"/>
                <w:szCs w:val="18"/>
              </w:rPr>
              <w:t>）规定的关联交易决策程序回避股东大会对关联交易事项的表决或促成关联董事回避董事会对关联交易事项的表决。</w:t>
            </w:r>
            <w:r>
              <w:rPr>
                <w:rFonts w:hint="default" w:ascii="Times New Roman" w:hAnsi="Times New Roman" w:eastAsia="宋体" w:cs="Times New Roman"/>
                <w:sz w:val="18"/>
                <w:szCs w:val="18"/>
              </w:rPr>
              <w:t>2</w:t>
            </w:r>
            <w:r>
              <w:rPr>
                <w:rFonts w:ascii="宋体" w:hAnsi="宋体" w:eastAsia="宋体" w:cs="宋体"/>
                <w:sz w:val="18"/>
                <w:szCs w:val="18"/>
              </w:rPr>
              <w:t>、本人不利用自身对冠昊生物的股东地位，谋求冠昊生物及子公司在业务合作等方面给予本人及本人控制的企业优于市场第三方的权利或达成交易的优先权利。</w:t>
            </w:r>
            <w:r>
              <w:rPr>
                <w:rFonts w:hint="default" w:ascii="Times New Roman" w:hAnsi="Times New Roman" w:eastAsia="宋体" w:cs="Times New Roman"/>
                <w:sz w:val="18"/>
                <w:szCs w:val="18"/>
              </w:rPr>
              <w:t>3</w:t>
            </w:r>
            <w:r>
              <w:rPr>
                <w:rFonts w:ascii="宋体" w:hAnsi="宋体" w:eastAsia="宋体" w:cs="宋体"/>
                <w:sz w:val="18"/>
                <w:szCs w:val="18"/>
              </w:rPr>
              <w:t>、未经冠昊生物书面同意，本人及本人控制的企业将避免占用、使用或转移冠昊生物及子公司任何资金和资产或要求冠昊生物及子公司向本人及本人控制的企业提供任何形式借款和担保的行为。</w:t>
            </w:r>
            <w:r>
              <w:rPr>
                <w:rFonts w:hint="default" w:ascii="Times New Roman" w:hAnsi="Times New Roman" w:eastAsia="宋体" w:cs="Times New Roman"/>
                <w:sz w:val="18"/>
                <w:szCs w:val="18"/>
              </w:rPr>
              <w:t>4</w:t>
            </w:r>
            <w:r>
              <w:rPr>
                <w:rFonts w:ascii="宋体" w:hAnsi="宋体" w:eastAsia="宋体" w:cs="宋体"/>
                <w:sz w:val="18"/>
                <w:szCs w:val="18"/>
              </w:rPr>
              <w:t>、本人同意对因未履行上述承诺而给冠昊生物或股东造成的一切损失进行赔偿。</w:t>
            </w:r>
            <w:r>
              <w:rPr>
                <w:rFonts w:hint="eastAsia" w:ascii="宋体" w:hAnsi="宋体" w:cs="宋体"/>
                <w:sz w:val="18"/>
                <w:szCs w:val="18"/>
                <w:lang w:eastAsia="zh-CN"/>
              </w:rPr>
              <w:t>”</w:t>
            </w:r>
          </w:p>
        </w:tc>
        <w:tc>
          <w:tcPr>
            <w:tcW w:w="1735" w:type="dxa"/>
            <w:tcBorders>
              <w:top w:val="single" w:color="auto" w:sz="2" w:space="0"/>
              <w:left w:val="single" w:color="auto" w:sz="2" w:space="0"/>
              <w:bottom w:val="single" w:color="auto" w:sz="2" w:space="0"/>
              <w:right w:val="single" w:color="auto" w:sz="2" w:space="0"/>
            </w:tcBorders>
            <w:vAlign w:val="center"/>
          </w:tcPr>
          <w:p w14:paraId="1A4BFD52">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2016</w:t>
            </w:r>
            <w:r>
              <w:rPr>
                <w:rFonts w:ascii="宋体" w:hAnsi="宋体" w:eastAsia="宋体" w:cs="宋体"/>
                <w:sz w:val="18"/>
                <w:szCs w:val="18"/>
              </w:rPr>
              <w:t>年</w:t>
            </w:r>
            <w:r>
              <w:rPr>
                <w:rFonts w:hint="default" w:ascii="Times New Roman" w:hAnsi="Times New Roman" w:eastAsia="宋体" w:cs="Times New Roman"/>
                <w:sz w:val="18"/>
                <w:szCs w:val="18"/>
              </w:rPr>
              <w:t>03</w:t>
            </w:r>
            <w:r>
              <w:rPr>
                <w:rFonts w:ascii="宋体" w:hAnsi="宋体" w:eastAsia="宋体" w:cs="宋体"/>
                <w:sz w:val="18"/>
                <w:szCs w:val="18"/>
              </w:rPr>
              <w:t>月</w:t>
            </w:r>
            <w:r>
              <w:rPr>
                <w:rFonts w:hint="default" w:ascii="Times New Roman" w:hAnsi="Times New Roman" w:eastAsia="宋体" w:cs="Times New Roman"/>
                <w:sz w:val="18"/>
                <w:szCs w:val="18"/>
              </w:rPr>
              <w:t>14</w:t>
            </w:r>
            <w:r>
              <w:rPr>
                <w:rFonts w:ascii="宋体" w:hAnsi="宋体" w:eastAsia="宋体" w:cs="宋体"/>
                <w:sz w:val="18"/>
                <w:szCs w:val="18"/>
              </w:rPr>
              <w:t>日</w:t>
            </w:r>
          </w:p>
        </w:tc>
        <w:tc>
          <w:tcPr>
            <w:tcW w:w="1150" w:type="dxa"/>
            <w:tcBorders>
              <w:top w:val="single" w:color="auto" w:sz="2" w:space="0"/>
              <w:left w:val="single" w:color="auto" w:sz="2" w:space="0"/>
              <w:bottom w:val="single" w:color="auto" w:sz="2" w:space="0"/>
              <w:right w:val="single" w:color="auto" w:sz="2" w:space="0"/>
            </w:tcBorders>
            <w:vAlign w:val="center"/>
          </w:tcPr>
          <w:p w14:paraId="3FBC21E1">
            <w:pPr>
              <w:spacing w:before="0" w:after="0" w:line="240" w:lineRule="exact"/>
              <w:jc w:val="left"/>
              <w:rPr>
                <w:rFonts w:ascii="宋体" w:hAnsi="宋体" w:eastAsia="宋体" w:cs="宋体"/>
                <w:sz w:val="18"/>
                <w:szCs w:val="18"/>
              </w:rPr>
            </w:pPr>
          </w:p>
        </w:tc>
        <w:tc>
          <w:tcPr>
            <w:tcW w:w="1246" w:type="dxa"/>
            <w:tcBorders>
              <w:top w:val="single" w:color="auto" w:sz="2" w:space="0"/>
              <w:left w:val="single" w:color="auto" w:sz="2" w:space="0"/>
              <w:bottom w:val="single" w:color="auto" w:sz="2" w:space="0"/>
              <w:right w:val="single" w:color="auto" w:sz="2" w:space="0"/>
            </w:tcBorders>
            <w:vAlign w:val="center"/>
          </w:tcPr>
          <w:p w14:paraId="14A95301">
            <w:pPr>
              <w:spacing w:before="0" w:after="0" w:line="240" w:lineRule="exact"/>
              <w:jc w:val="left"/>
              <w:rPr>
                <w:rFonts w:ascii="宋体" w:hAnsi="宋体" w:eastAsia="宋体" w:cs="宋体"/>
                <w:sz w:val="18"/>
                <w:szCs w:val="18"/>
              </w:rPr>
            </w:pPr>
            <w:r>
              <w:rPr>
                <w:rFonts w:ascii="宋体" w:hAnsi="宋体" w:eastAsia="宋体" w:cs="宋体"/>
                <w:sz w:val="18"/>
                <w:szCs w:val="18"/>
              </w:rPr>
              <w:t>严格履行中</w:t>
            </w:r>
          </w:p>
        </w:tc>
      </w:tr>
      <w:tr w14:paraId="61533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06D4BD2">
            <w:pPr>
              <w:spacing w:before="40" w:after="40" w:line="240" w:lineRule="exact"/>
              <w:jc w:val="left"/>
              <w:rPr>
                <w:rFonts w:ascii="宋体" w:hAnsi="宋体" w:eastAsia="宋体" w:cs="宋体"/>
                <w:sz w:val="18"/>
                <w:szCs w:val="18"/>
              </w:rPr>
            </w:pPr>
            <w:r>
              <w:rPr>
                <w:rFonts w:ascii="宋体" w:hAnsi="宋体" w:eastAsia="宋体" w:cs="宋体"/>
                <w:sz w:val="18"/>
                <w:szCs w:val="18"/>
              </w:rPr>
              <w:t>资产重组时所作承诺</w:t>
            </w:r>
          </w:p>
        </w:tc>
        <w:tc>
          <w:tcPr>
            <w:tcW w:w="1377" w:type="dxa"/>
            <w:tcBorders>
              <w:top w:val="single" w:color="auto" w:sz="2" w:space="0"/>
              <w:left w:val="single" w:color="auto" w:sz="2" w:space="0"/>
              <w:bottom w:val="single" w:color="auto" w:sz="2" w:space="0"/>
              <w:right w:val="single" w:color="auto" w:sz="2" w:space="0"/>
            </w:tcBorders>
            <w:vAlign w:val="center"/>
          </w:tcPr>
          <w:p w14:paraId="25326219">
            <w:pPr>
              <w:spacing w:before="0" w:after="0" w:line="240" w:lineRule="exact"/>
              <w:jc w:val="left"/>
              <w:rPr>
                <w:rFonts w:ascii="宋体" w:hAnsi="宋体" w:eastAsia="宋体" w:cs="宋体"/>
                <w:sz w:val="18"/>
                <w:szCs w:val="18"/>
              </w:rPr>
            </w:pPr>
            <w:r>
              <w:rPr>
                <w:rFonts w:ascii="宋体" w:hAnsi="宋体" w:eastAsia="宋体" w:cs="宋体"/>
                <w:sz w:val="18"/>
                <w:szCs w:val="18"/>
              </w:rPr>
              <w:t>寇冰</w:t>
            </w:r>
          </w:p>
        </w:tc>
        <w:tc>
          <w:tcPr>
            <w:tcW w:w="1377" w:type="dxa"/>
            <w:tcBorders>
              <w:top w:val="single" w:color="auto" w:sz="2" w:space="0"/>
              <w:left w:val="single" w:color="auto" w:sz="2" w:space="0"/>
              <w:bottom w:val="single" w:color="auto" w:sz="2" w:space="0"/>
              <w:right w:val="single" w:color="auto" w:sz="2" w:space="0"/>
            </w:tcBorders>
            <w:vAlign w:val="center"/>
          </w:tcPr>
          <w:p w14:paraId="4D8DCDBF">
            <w:pPr>
              <w:spacing w:before="0" w:after="0" w:line="240" w:lineRule="exact"/>
              <w:jc w:val="left"/>
              <w:rPr>
                <w:rFonts w:ascii="宋体" w:hAnsi="宋体" w:eastAsia="宋体" w:cs="宋体"/>
                <w:sz w:val="18"/>
                <w:szCs w:val="18"/>
              </w:rPr>
            </w:pPr>
            <w:r>
              <w:rPr>
                <w:rFonts w:ascii="宋体" w:hAnsi="宋体" w:eastAsia="宋体" w:cs="宋体"/>
                <w:sz w:val="18"/>
                <w:szCs w:val="18"/>
              </w:rPr>
              <w:t>其他承诺</w:t>
            </w:r>
          </w:p>
        </w:tc>
        <w:tc>
          <w:tcPr>
            <w:tcW w:w="1377" w:type="dxa"/>
            <w:tcBorders>
              <w:top w:val="single" w:color="auto" w:sz="2" w:space="0"/>
              <w:left w:val="single" w:color="auto" w:sz="2" w:space="0"/>
              <w:bottom w:val="single" w:color="auto" w:sz="2" w:space="0"/>
              <w:right w:val="single" w:color="auto" w:sz="2" w:space="0"/>
            </w:tcBorders>
            <w:vAlign w:val="center"/>
          </w:tcPr>
          <w:p w14:paraId="6B639A37">
            <w:pPr>
              <w:spacing w:before="0" w:after="0" w:line="240" w:lineRule="exact"/>
              <w:jc w:val="left"/>
              <w:rPr>
                <w:rFonts w:hint="eastAsia" w:ascii="宋体" w:hAnsi="宋体" w:eastAsia="宋体" w:cs="宋体"/>
                <w:sz w:val="18"/>
                <w:szCs w:val="18"/>
                <w:lang w:eastAsia="zh-CN"/>
              </w:rPr>
            </w:pPr>
            <w:r>
              <w:rPr>
                <w:rFonts w:hint="eastAsia" w:ascii="宋体" w:hAnsi="宋体" w:cs="宋体"/>
                <w:sz w:val="18"/>
                <w:szCs w:val="18"/>
                <w:lang w:eastAsia="zh-CN"/>
              </w:rPr>
              <w:t>“</w:t>
            </w:r>
            <w:r>
              <w:rPr>
                <w:rFonts w:ascii="宋体" w:hAnsi="宋体" w:eastAsia="宋体" w:cs="宋体"/>
                <w:sz w:val="18"/>
                <w:szCs w:val="18"/>
              </w:rPr>
              <w:t>如珠海祥乐（包括子公司香港祥乐、香港耀昌）在本次重组基准日（</w:t>
            </w:r>
            <w:r>
              <w:rPr>
                <w:rFonts w:hint="default" w:ascii="Times New Roman" w:hAnsi="Times New Roman" w:eastAsia="宋体" w:cs="Times New Roman"/>
                <w:sz w:val="18"/>
                <w:szCs w:val="18"/>
              </w:rPr>
              <w:t>2015</w:t>
            </w:r>
            <w:r>
              <w:rPr>
                <w:rFonts w:ascii="宋体" w:hAnsi="宋体" w:eastAsia="宋体" w:cs="宋体"/>
                <w:sz w:val="18"/>
                <w:szCs w:val="18"/>
              </w:rPr>
              <w:t>年</w:t>
            </w:r>
            <w:r>
              <w:rPr>
                <w:rFonts w:hint="default" w:ascii="Times New Roman" w:hAnsi="Times New Roman" w:eastAsia="宋体" w:cs="Times New Roman"/>
                <w:sz w:val="18"/>
                <w:szCs w:val="18"/>
              </w:rPr>
              <w:t>10</w:t>
            </w:r>
            <w:r>
              <w:rPr>
                <w:rFonts w:ascii="宋体" w:hAnsi="宋体" w:eastAsia="宋体" w:cs="宋体"/>
                <w:sz w:val="18"/>
                <w:szCs w:val="18"/>
              </w:rPr>
              <w:t>月</w:t>
            </w:r>
            <w:r>
              <w:rPr>
                <w:rFonts w:hint="default" w:ascii="Times New Roman" w:hAnsi="Times New Roman" w:eastAsia="宋体" w:cs="Times New Roman"/>
                <w:sz w:val="18"/>
                <w:szCs w:val="18"/>
              </w:rPr>
              <w:t>31</w:t>
            </w:r>
            <w:r>
              <w:rPr>
                <w:rFonts w:ascii="宋体" w:hAnsi="宋体" w:eastAsia="宋体" w:cs="宋体"/>
                <w:sz w:val="18"/>
                <w:szCs w:val="18"/>
              </w:rPr>
              <w:t>日）前已发生但延续至基准日后，及重组基准日至珠海祥乐股权交割日之间发生但延续至股权交割日之后产生的纠纷、潜在纠纷、担保、诉讼、仲裁等导致珠海祥乐被有关权利人主张权利、要求支付赔偿、违约金等或根据法律法规、存在违法违规行为被政府行政主管部门要求补缴款项或行政处罚，给珠海祥乐带来经济损失的，本人承诺将对珠海祥乐发生的全部经济损失提供补偿，并放弃对珠海祥乐的追索权。本承诺为不可撤销承诺。</w:t>
            </w:r>
            <w:r>
              <w:rPr>
                <w:rFonts w:hint="eastAsia" w:ascii="宋体" w:hAnsi="宋体" w:cs="宋体"/>
                <w:sz w:val="18"/>
                <w:szCs w:val="18"/>
                <w:lang w:eastAsia="zh-CN"/>
              </w:rPr>
              <w:t>”</w:t>
            </w:r>
          </w:p>
        </w:tc>
        <w:tc>
          <w:tcPr>
            <w:tcW w:w="1735" w:type="dxa"/>
            <w:tcBorders>
              <w:top w:val="single" w:color="auto" w:sz="2" w:space="0"/>
              <w:left w:val="single" w:color="auto" w:sz="2" w:space="0"/>
              <w:bottom w:val="single" w:color="auto" w:sz="2" w:space="0"/>
              <w:right w:val="single" w:color="auto" w:sz="2" w:space="0"/>
            </w:tcBorders>
            <w:vAlign w:val="center"/>
          </w:tcPr>
          <w:p w14:paraId="762A2F1C">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2016</w:t>
            </w:r>
            <w:r>
              <w:rPr>
                <w:rFonts w:ascii="宋体" w:hAnsi="宋体" w:eastAsia="宋体" w:cs="宋体"/>
                <w:sz w:val="18"/>
                <w:szCs w:val="18"/>
              </w:rPr>
              <w:t>年</w:t>
            </w:r>
            <w:r>
              <w:rPr>
                <w:rFonts w:hint="default" w:ascii="Times New Roman" w:hAnsi="Times New Roman" w:eastAsia="宋体" w:cs="Times New Roman"/>
                <w:sz w:val="18"/>
                <w:szCs w:val="18"/>
              </w:rPr>
              <w:t>03</w:t>
            </w:r>
            <w:r>
              <w:rPr>
                <w:rFonts w:ascii="宋体" w:hAnsi="宋体" w:eastAsia="宋体" w:cs="宋体"/>
                <w:sz w:val="18"/>
                <w:szCs w:val="18"/>
              </w:rPr>
              <w:t>月</w:t>
            </w:r>
            <w:r>
              <w:rPr>
                <w:rFonts w:hint="default" w:ascii="Times New Roman" w:hAnsi="Times New Roman" w:eastAsia="宋体" w:cs="Times New Roman"/>
                <w:sz w:val="18"/>
                <w:szCs w:val="18"/>
              </w:rPr>
              <w:t>14</w:t>
            </w:r>
            <w:r>
              <w:rPr>
                <w:rFonts w:ascii="宋体" w:hAnsi="宋体" w:eastAsia="宋体" w:cs="宋体"/>
                <w:sz w:val="18"/>
                <w:szCs w:val="18"/>
              </w:rPr>
              <w:t>日</w:t>
            </w:r>
          </w:p>
        </w:tc>
        <w:tc>
          <w:tcPr>
            <w:tcW w:w="1150" w:type="dxa"/>
            <w:tcBorders>
              <w:top w:val="single" w:color="auto" w:sz="2" w:space="0"/>
              <w:left w:val="single" w:color="auto" w:sz="2" w:space="0"/>
              <w:bottom w:val="single" w:color="auto" w:sz="2" w:space="0"/>
              <w:right w:val="single" w:color="auto" w:sz="2" w:space="0"/>
            </w:tcBorders>
            <w:vAlign w:val="center"/>
          </w:tcPr>
          <w:p w14:paraId="110FFFBE">
            <w:pPr>
              <w:spacing w:before="0" w:after="0" w:line="240" w:lineRule="exact"/>
              <w:jc w:val="left"/>
              <w:rPr>
                <w:rFonts w:ascii="宋体" w:hAnsi="宋体" w:eastAsia="宋体" w:cs="宋体"/>
                <w:sz w:val="18"/>
                <w:szCs w:val="18"/>
              </w:rPr>
            </w:pPr>
          </w:p>
        </w:tc>
        <w:tc>
          <w:tcPr>
            <w:tcW w:w="1246" w:type="dxa"/>
            <w:tcBorders>
              <w:top w:val="single" w:color="auto" w:sz="2" w:space="0"/>
              <w:left w:val="single" w:color="auto" w:sz="2" w:space="0"/>
              <w:bottom w:val="single" w:color="auto" w:sz="2" w:space="0"/>
              <w:right w:val="single" w:color="auto" w:sz="2" w:space="0"/>
            </w:tcBorders>
            <w:vAlign w:val="center"/>
          </w:tcPr>
          <w:p w14:paraId="25ECC58C">
            <w:pPr>
              <w:spacing w:before="0" w:after="0" w:line="240" w:lineRule="exact"/>
              <w:jc w:val="left"/>
              <w:rPr>
                <w:rFonts w:ascii="宋体" w:hAnsi="宋体" w:eastAsia="宋体" w:cs="宋体"/>
                <w:sz w:val="18"/>
                <w:szCs w:val="18"/>
              </w:rPr>
            </w:pPr>
            <w:r>
              <w:rPr>
                <w:rFonts w:ascii="宋体" w:hAnsi="宋体" w:eastAsia="宋体" w:cs="宋体"/>
                <w:sz w:val="18"/>
                <w:szCs w:val="18"/>
              </w:rPr>
              <w:t>严格履行中</w:t>
            </w:r>
          </w:p>
        </w:tc>
      </w:tr>
      <w:tr w14:paraId="42C4A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8F8902A">
            <w:pPr>
              <w:spacing w:before="40" w:after="40" w:line="240" w:lineRule="exact"/>
              <w:jc w:val="left"/>
              <w:rPr>
                <w:rFonts w:ascii="宋体" w:hAnsi="宋体" w:eastAsia="宋体" w:cs="宋体"/>
                <w:sz w:val="18"/>
                <w:szCs w:val="18"/>
              </w:rPr>
            </w:pPr>
            <w:r>
              <w:rPr>
                <w:rFonts w:ascii="宋体" w:hAnsi="宋体" w:eastAsia="宋体" w:cs="宋体"/>
                <w:sz w:val="18"/>
                <w:szCs w:val="18"/>
              </w:rPr>
              <w:t>首次公开发行或再融资时所作承诺</w:t>
            </w:r>
          </w:p>
        </w:tc>
        <w:tc>
          <w:tcPr>
            <w:tcW w:w="1377" w:type="dxa"/>
            <w:tcBorders>
              <w:top w:val="single" w:color="auto" w:sz="2" w:space="0"/>
              <w:left w:val="single" w:color="auto" w:sz="2" w:space="0"/>
              <w:bottom w:val="single" w:color="auto" w:sz="2" w:space="0"/>
              <w:right w:val="single" w:color="auto" w:sz="2" w:space="0"/>
            </w:tcBorders>
            <w:vAlign w:val="center"/>
          </w:tcPr>
          <w:p w14:paraId="3F0DFA53">
            <w:pPr>
              <w:spacing w:before="0" w:after="0" w:line="240" w:lineRule="exact"/>
              <w:jc w:val="left"/>
              <w:rPr>
                <w:rFonts w:ascii="宋体" w:hAnsi="宋体" w:eastAsia="宋体" w:cs="宋体"/>
                <w:sz w:val="18"/>
                <w:szCs w:val="18"/>
              </w:rPr>
            </w:pPr>
            <w:r>
              <w:rPr>
                <w:rFonts w:ascii="宋体" w:hAnsi="宋体" w:eastAsia="宋体" w:cs="宋体"/>
                <w:sz w:val="18"/>
                <w:szCs w:val="18"/>
              </w:rPr>
              <w:t>朱卫平、徐国风、广东知光生物科技有限公司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5EA33CB8">
            <w:pPr>
              <w:spacing w:before="0" w:after="0" w:line="240" w:lineRule="exact"/>
              <w:jc w:val="left"/>
              <w:rPr>
                <w:rFonts w:ascii="宋体" w:hAnsi="宋体" w:eastAsia="宋体" w:cs="宋体"/>
                <w:sz w:val="18"/>
                <w:szCs w:val="18"/>
              </w:rPr>
            </w:pPr>
            <w:r>
              <w:rPr>
                <w:rFonts w:ascii="宋体" w:hAnsi="宋体" w:eastAsia="宋体" w:cs="宋体"/>
                <w:sz w:val="18"/>
                <w:szCs w:val="18"/>
              </w:rPr>
              <w:t>其他承诺</w:t>
            </w:r>
          </w:p>
        </w:tc>
        <w:tc>
          <w:tcPr>
            <w:tcW w:w="1377" w:type="dxa"/>
            <w:tcBorders>
              <w:top w:val="single" w:color="auto" w:sz="2" w:space="0"/>
              <w:left w:val="single" w:color="auto" w:sz="2" w:space="0"/>
              <w:bottom w:val="single" w:color="auto" w:sz="2" w:space="0"/>
              <w:right w:val="single" w:color="auto" w:sz="2" w:space="0"/>
            </w:tcBorders>
            <w:vAlign w:val="center"/>
          </w:tcPr>
          <w:p w14:paraId="1EECB99A">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公司控股股东广州知光生物科技有限公司及公司原实际控制人朱卫平和徐国风承诺：不在任何地域以任何形式，从事法律、法规和中国证券监督管理委员会规章所规定的可能与冠昊生物构成同业竞争的活动；今后如果不再直接或间接持有冠昊生物股份的，自该股权关系解除之日起五年内，仍必须信守承诺；不以任何方式从事任何可能影响冠昊生物经营和发展的业务或活动。</w:t>
            </w:r>
            <w:r>
              <w:rPr>
                <w:rFonts w:hint="default" w:ascii="Times New Roman" w:hAnsi="Times New Roman" w:eastAsia="宋体" w:cs="Times New Roman"/>
                <w:sz w:val="18"/>
                <w:szCs w:val="18"/>
              </w:rPr>
              <w:t>2</w:t>
            </w:r>
            <w:r>
              <w:rPr>
                <w:rFonts w:ascii="宋体" w:hAnsi="宋体" w:eastAsia="宋体" w:cs="宋体"/>
                <w:sz w:val="18"/>
                <w:szCs w:val="18"/>
              </w:rPr>
              <w:t>．公司控股股东广州知光生物科技有限公司、公司原实际控制人朱卫平和徐国风承诺、冠昊生物科技股份有限公司承诺：四方共同签订了《不竞争协议》，约定广东知光、朱卫平以及徐国风不得经营与冠昊生物存在竞争关系的业务或投资任何与冠昊生物存在竞争业务的企业，且有义务促使其下属关联企业不经营与冠昊生物存在竞争关系的业务或投资任何与冠昊生物存在竞争业务的企业。</w:t>
            </w:r>
          </w:p>
        </w:tc>
        <w:tc>
          <w:tcPr>
            <w:tcW w:w="1735" w:type="dxa"/>
            <w:tcBorders>
              <w:top w:val="single" w:color="auto" w:sz="2" w:space="0"/>
              <w:left w:val="single" w:color="auto" w:sz="2" w:space="0"/>
              <w:bottom w:val="single" w:color="auto" w:sz="2" w:space="0"/>
              <w:right w:val="single" w:color="auto" w:sz="2" w:space="0"/>
            </w:tcBorders>
            <w:vAlign w:val="center"/>
          </w:tcPr>
          <w:p w14:paraId="5772FB0C">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2011</w:t>
            </w:r>
            <w:r>
              <w:rPr>
                <w:rFonts w:ascii="宋体" w:hAnsi="宋体" w:eastAsia="宋体" w:cs="宋体"/>
                <w:sz w:val="18"/>
                <w:szCs w:val="18"/>
              </w:rPr>
              <w:t>年</w:t>
            </w:r>
            <w:r>
              <w:rPr>
                <w:rFonts w:hint="default" w:ascii="Times New Roman" w:hAnsi="Times New Roman" w:eastAsia="宋体" w:cs="Times New Roman"/>
                <w:sz w:val="18"/>
                <w:szCs w:val="18"/>
              </w:rPr>
              <w:t>07</w:t>
            </w:r>
            <w:r>
              <w:rPr>
                <w:rFonts w:ascii="宋体" w:hAnsi="宋体" w:eastAsia="宋体" w:cs="宋体"/>
                <w:sz w:val="18"/>
                <w:szCs w:val="18"/>
              </w:rPr>
              <w:t>月</w:t>
            </w:r>
            <w:r>
              <w:rPr>
                <w:rFonts w:hint="default" w:ascii="Times New Roman" w:hAnsi="Times New Roman" w:eastAsia="宋体" w:cs="Times New Roman"/>
                <w:sz w:val="18"/>
                <w:szCs w:val="18"/>
              </w:rPr>
              <w:t>06</w:t>
            </w:r>
            <w:r>
              <w:rPr>
                <w:rFonts w:ascii="宋体" w:hAnsi="宋体" w:eastAsia="宋体" w:cs="宋体"/>
                <w:sz w:val="18"/>
                <w:szCs w:val="18"/>
              </w:rPr>
              <w:t>日</w:t>
            </w:r>
          </w:p>
        </w:tc>
        <w:tc>
          <w:tcPr>
            <w:tcW w:w="1150" w:type="dxa"/>
            <w:tcBorders>
              <w:top w:val="single" w:color="auto" w:sz="2" w:space="0"/>
              <w:left w:val="single" w:color="auto" w:sz="2" w:space="0"/>
              <w:bottom w:val="single" w:color="auto" w:sz="2" w:space="0"/>
              <w:right w:val="single" w:color="auto" w:sz="2" w:space="0"/>
            </w:tcBorders>
            <w:vAlign w:val="center"/>
          </w:tcPr>
          <w:p w14:paraId="4F4562EB">
            <w:pPr>
              <w:spacing w:before="0" w:after="0" w:line="240" w:lineRule="exact"/>
              <w:jc w:val="left"/>
              <w:rPr>
                <w:rFonts w:ascii="宋体" w:hAnsi="宋体" w:eastAsia="宋体" w:cs="宋体"/>
                <w:sz w:val="18"/>
                <w:szCs w:val="18"/>
              </w:rPr>
            </w:pPr>
          </w:p>
        </w:tc>
        <w:tc>
          <w:tcPr>
            <w:tcW w:w="1246" w:type="dxa"/>
            <w:tcBorders>
              <w:top w:val="single" w:color="auto" w:sz="2" w:space="0"/>
              <w:left w:val="single" w:color="auto" w:sz="2" w:space="0"/>
              <w:bottom w:val="single" w:color="auto" w:sz="2" w:space="0"/>
              <w:right w:val="single" w:color="auto" w:sz="2" w:space="0"/>
            </w:tcBorders>
            <w:vAlign w:val="center"/>
          </w:tcPr>
          <w:p w14:paraId="1A938D58">
            <w:pPr>
              <w:spacing w:before="0" w:after="0" w:line="240" w:lineRule="exact"/>
              <w:jc w:val="left"/>
              <w:rPr>
                <w:rFonts w:ascii="宋体" w:hAnsi="宋体" w:eastAsia="宋体" w:cs="宋体"/>
                <w:sz w:val="18"/>
                <w:szCs w:val="18"/>
              </w:rPr>
            </w:pPr>
            <w:r>
              <w:rPr>
                <w:rFonts w:ascii="宋体" w:hAnsi="宋体" w:eastAsia="宋体" w:cs="宋体"/>
                <w:sz w:val="18"/>
                <w:szCs w:val="18"/>
              </w:rPr>
              <w:t>严格履行中</w:t>
            </w:r>
          </w:p>
        </w:tc>
      </w:tr>
      <w:tr w14:paraId="17161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8956F0E">
            <w:pPr>
              <w:spacing w:before="40" w:after="40" w:line="240" w:lineRule="exact"/>
              <w:jc w:val="left"/>
              <w:rPr>
                <w:rFonts w:ascii="宋体" w:hAnsi="宋体" w:eastAsia="宋体" w:cs="宋体"/>
                <w:sz w:val="18"/>
                <w:szCs w:val="18"/>
              </w:rPr>
            </w:pPr>
            <w:r>
              <w:rPr>
                <w:rFonts w:ascii="宋体" w:hAnsi="宋体" w:eastAsia="宋体" w:cs="宋体"/>
                <w:sz w:val="18"/>
                <w:szCs w:val="18"/>
              </w:rPr>
              <w:t>承诺是否按时履行</w:t>
            </w:r>
          </w:p>
        </w:tc>
        <w:tc>
          <w:tcPr>
            <w:tcW w:w="8262" w:type="dxa"/>
            <w:gridSpan w:val="6"/>
            <w:tcBorders>
              <w:top w:val="single" w:color="auto" w:sz="2" w:space="0"/>
              <w:left w:val="single" w:color="auto" w:sz="2" w:space="0"/>
              <w:bottom w:val="single" w:color="auto" w:sz="2" w:space="0"/>
              <w:right w:val="single" w:color="auto" w:sz="2" w:space="0"/>
            </w:tcBorders>
            <w:vAlign w:val="center"/>
          </w:tcPr>
          <w:p w14:paraId="2CB76460">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6CFA8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A728E6D">
            <w:pPr>
              <w:spacing w:before="40" w:after="40" w:line="240" w:lineRule="exact"/>
              <w:jc w:val="left"/>
              <w:rPr>
                <w:rFonts w:ascii="宋体" w:hAnsi="宋体" w:eastAsia="宋体" w:cs="宋体"/>
                <w:sz w:val="18"/>
                <w:szCs w:val="18"/>
              </w:rPr>
            </w:pPr>
            <w:r>
              <w:rPr>
                <w:rFonts w:ascii="宋体" w:hAnsi="宋体" w:eastAsia="宋体" w:cs="宋体"/>
                <w:sz w:val="18"/>
                <w:szCs w:val="18"/>
              </w:rPr>
              <w:t>如承诺超期未履行完毕的，应当详细说明未完成履行的具体原因及下一步的工作计划</w:t>
            </w:r>
          </w:p>
        </w:tc>
        <w:tc>
          <w:tcPr>
            <w:tcW w:w="8262" w:type="dxa"/>
            <w:gridSpan w:val="6"/>
            <w:tcBorders>
              <w:top w:val="single" w:color="auto" w:sz="2" w:space="0"/>
              <w:left w:val="single" w:color="auto" w:sz="2" w:space="0"/>
              <w:bottom w:val="single" w:color="auto" w:sz="2" w:space="0"/>
              <w:right w:val="single" w:color="auto" w:sz="2" w:space="0"/>
            </w:tcBorders>
            <w:vAlign w:val="center"/>
          </w:tcPr>
          <w:p w14:paraId="10150831">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bl>
    <w:p w14:paraId="4B421AA1">
      <w:pPr>
        <w:pStyle w:val="3"/>
        <w:keepNext/>
        <w:keepLines/>
        <w:spacing w:before="300" w:after="300" w:line="280" w:lineRule="exact"/>
        <w:jc w:val="left"/>
        <w:outlineLvl w:val="2"/>
        <w:rPr>
          <w:rFonts w:ascii="宋体" w:hAnsi="宋体" w:eastAsia="宋体" w:cs="宋体"/>
          <w:b/>
          <w:bCs/>
          <w:sz w:val="21"/>
          <w:szCs w:val="21"/>
        </w:rPr>
      </w:pPr>
      <w:bookmarkStart w:id="136" w:name="_Toc988977"/>
      <w:r>
        <w:rPr>
          <w:rFonts w:hint="default" w:ascii="Times New Roman" w:hAnsi="Times New Roman" w:eastAsia="宋体" w:cs="Times New Roman"/>
          <w:b/>
          <w:bCs/>
          <w:sz w:val="21"/>
          <w:szCs w:val="21"/>
        </w:rPr>
        <w:t>2</w:t>
      </w:r>
      <w:r>
        <w:rPr>
          <w:rFonts w:ascii="宋体" w:hAnsi="宋体" w:eastAsia="宋体" w:cs="宋体"/>
          <w:b/>
          <w:bCs/>
          <w:sz w:val="21"/>
          <w:szCs w:val="21"/>
        </w:rPr>
        <w:t>、公司资产或项目存在盈利预测，且报告期仍处在盈利预测期间，公司就资产或项目达到原盈利预测及其原因做出说明</w:t>
      </w:r>
      <w:bookmarkEnd w:id="136"/>
    </w:p>
    <w:p w14:paraId="1E442706">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5CC4558">
      <w:pPr>
        <w:pStyle w:val="3"/>
        <w:keepNext/>
        <w:keepLines/>
        <w:spacing w:before="300" w:after="300" w:line="280" w:lineRule="exact"/>
        <w:jc w:val="left"/>
        <w:outlineLvl w:val="2"/>
        <w:rPr>
          <w:rFonts w:ascii="宋体" w:hAnsi="宋体" w:eastAsia="宋体" w:cs="宋体"/>
          <w:b/>
          <w:bCs/>
          <w:sz w:val="21"/>
          <w:szCs w:val="21"/>
        </w:rPr>
      </w:pPr>
      <w:bookmarkStart w:id="137" w:name="_Toc988978"/>
      <w:r>
        <w:rPr>
          <w:rFonts w:hint="default" w:ascii="Times New Roman" w:hAnsi="Times New Roman" w:eastAsia="宋体" w:cs="Times New Roman"/>
          <w:b/>
          <w:bCs/>
          <w:sz w:val="21"/>
          <w:szCs w:val="21"/>
        </w:rPr>
        <w:t>3</w:t>
      </w:r>
      <w:r>
        <w:rPr>
          <w:rFonts w:ascii="宋体" w:hAnsi="宋体" w:eastAsia="宋体" w:cs="宋体"/>
          <w:b/>
          <w:bCs/>
          <w:sz w:val="21"/>
          <w:szCs w:val="21"/>
        </w:rPr>
        <w:t>、公司涉及业绩承诺</w:t>
      </w:r>
      <w:bookmarkEnd w:id="137"/>
    </w:p>
    <w:p w14:paraId="2F6E9EF4">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B2D77B3">
      <w:pPr>
        <w:pStyle w:val="2"/>
        <w:keepNext/>
        <w:keepLines/>
        <w:spacing w:before="300" w:after="300" w:line="320" w:lineRule="exact"/>
        <w:jc w:val="left"/>
        <w:outlineLvl w:val="1"/>
        <w:rPr>
          <w:rFonts w:ascii="宋体" w:hAnsi="宋体" w:eastAsia="宋体" w:cs="宋体"/>
          <w:b/>
          <w:bCs/>
          <w:sz w:val="24"/>
          <w:szCs w:val="24"/>
        </w:rPr>
      </w:pPr>
      <w:bookmarkStart w:id="138" w:name="_Toc32479"/>
      <w:bookmarkStart w:id="139" w:name="_Toc988979"/>
      <w:r>
        <w:rPr>
          <w:rFonts w:ascii="宋体" w:hAnsi="宋体" w:eastAsia="宋体" w:cs="宋体"/>
          <w:b/>
          <w:bCs/>
          <w:sz w:val="24"/>
          <w:szCs w:val="24"/>
        </w:rPr>
        <w:t>二、控股股东及其他关联方对上市公司的非经营性占用资金情况</w:t>
      </w:r>
      <w:bookmarkEnd w:id="138"/>
      <w:bookmarkEnd w:id="139"/>
    </w:p>
    <w:p w14:paraId="72F159DE">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9B3B5CE">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公司报告期不存在控股股东及其他关联方对上市公司的非经营性占用资金。</w:t>
      </w:r>
    </w:p>
    <w:p w14:paraId="6986425E">
      <w:pPr>
        <w:pStyle w:val="2"/>
        <w:keepNext/>
        <w:keepLines/>
        <w:spacing w:before="300" w:after="300" w:line="320" w:lineRule="exact"/>
        <w:jc w:val="left"/>
        <w:outlineLvl w:val="1"/>
        <w:rPr>
          <w:rFonts w:ascii="宋体" w:hAnsi="宋体" w:eastAsia="宋体" w:cs="宋体"/>
          <w:b/>
          <w:bCs/>
          <w:sz w:val="24"/>
          <w:szCs w:val="24"/>
        </w:rPr>
      </w:pPr>
      <w:bookmarkStart w:id="140" w:name="_Toc14092"/>
      <w:bookmarkStart w:id="141" w:name="_Toc988980"/>
      <w:r>
        <w:rPr>
          <w:rFonts w:ascii="宋体" w:hAnsi="宋体" w:eastAsia="宋体" w:cs="宋体"/>
          <w:b/>
          <w:bCs/>
          <w:sz w:val="24"/>
          <w:szCs w:val="24"/>
        </w:rPr>
        <w:t>三、违规对外担保情况</w:t>
      </w:r>
      <w:bookmarkEnd w:id="140"/>
      <w:bookmarkEnd w:id="141"/>
    </w:p>
    <w:p w14:paraId="6556646C">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9B67B8B">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公司报告期无违规对外担保情况。</w:t>
      </w:r>
    </w:p>
    <w:p w14:paraId="5A8D4855">
      <w:pPr>
        <w:pStyle w:val="2"/>
        <w:keepNext/>
        <w:keepLines/>
        <w:spacing w:before="300" w:after="300" w:line="320" w:lineRule="exact"/>
        <w:jc w:val="left"/>
        <w:outlineLvl w:val="1"/>
        <w:rPr>
          <w:rFonts w:ascii="宋体" w:hAnsi="宋体" w:eastAsia="宋体" w:cs="宋体"/>
          <w:b/>
          <w:bCs/>
          <w:sz w:val="24"/>
          <w:szCs w:val="24"/>
        </w:rPr>
      </w:pPr>
      <w:bookmarkStart w:id="142" w:name="_Toc17017"/>
      <w:bookmarkStart w:id="143" w:name="_Toc988981"/>
      <w:r>
        <w:rPr>
          <w:rFonts w:ascii="宋体" w:hAnsi="宋体" w:eastAsia="宋体" w:cs="宋体"/>
          <w:b/>
          <w:bCs/>
          <w:sz w:val="24"/>
          <w:szCs w:val="24"/>
        </w:rPr>
        <w:t>四、董事会对最近一期</w:t>
      </w:r>
      <w:r>
        <w:rPr>
          <w:rFonts w:hint="eastAsia" w:ascii="宋体" w:hAnsi="宋体" w:cs="宋体"/>
          <w:b/>
          <w:bCs/>
          <w:sz w:val="24"/>
          <w:szCs w:val="24"/>
          <w:lang w:eastAsia="zh-CN"/>
        </w:rPr>
        <w:t>“</w:t>
      </w:r>
      <w:r>
        <w:rPr>
          <w:rFonts w:ascii="宋体" w:hAnsi="宋体" w:eastAsia="宋体" w:cs="宋体"/>
          <w:b/>
          <w:bCs/>
          <w:sz w:val="24"/>
          <w:szCs w:val="24"/>
        </w:rPr>
        <w:t>非标准审计报告</w:t>
      </w:r>
      <w:r>
        <w:rPr>
          <w:rFonts w:hint="eastAsia" w:ascii="宋体" w:hAnsi="宋体" w:cs="宋体"/>
          <w:b/>
          <w:bCs/>
          <w:sz w:val="24"/>
          <w:szCs w:val="24"/>
          <w:lang w:eastAsia="zh-CN"/>
        </w:rPr>
        <w:t>”</w:t>
      </w:r>
      <w:r>
        <w:rPr>
          <w:rFonts w:ascii="宋体" w:hAnsi="宋体" w:eastAsia="宋体" w:cs="宋体"/>
          <w:b/>
          <w:bCs/>
          <w:sz w:val="24"/>
          <w:szCs w:val="24"/>
        </w:rPr>
        <w:t>相关情况的说明</w:t>
      </w:r>
      <w:bookmarkEnd w:id="142"/>
      <w:bookmarkEnd w:id="143"/>
    </w:p>
    <w:p w14:paraId="350B6DA8">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8924552">
      <w:pPr>
        <w:pStyle w:val="2"/>
        <w:keepNext/>
        <w:keepLines/>
        <w:spacing w:before="300" w:after="300" w:line="320" w:lineRule="exact"/>
        <w:jc w:val="left"/>
        <w:outlineLvl w:val="1"/>
        <w:rPr>
          <w:rFonts w:ascii="宋体" w:hAnsi="宋体" w:eastAsia="宋体" w:cs="宋体"/>
          <w:b/>
          <w:bCs/>
          <w:sz w:val="24"/>
          <w:szCs w:val="24"/>
        </w:rPr>
      </w:pPr>
      <w:bookmarkStart w:id="144" w:name="_Toc8255"/>
      <w:bookmarkStart w:id="145" w:name="_Toc988982"/>
      <w:r>
        <w:rPr>
          <w:rFonts w:ascii="宋体" w:hAnsi="宋体" w:eastAsia="宋体" w:cs="宋体"/>
          <w:b/>
          <w:bCs/>
          <w:sz w:val="24"/>
          <w:szCs w:val="24"/>
        </w:rPr>
        <w:t>五、董事会、审计委员会、独立董事（如有）对会计师事务所本报告期</w:t>
      </w:r>
      <w:r>
        <w:rPr>
          <w:rFonts w:hint="eastAsia" w:ascii="宋体" w:hAnsi="宋体" w:cs="宋体"/>
          <w:b/>
          <w:bCs/>
          <w:sz w:val="24"/>
          <w:szCs w:val="24"/>
          <w:lang w:eastAsia="zh-CN"/>
        </w:rPr>
        <w:t>“</w:t>
      </w:r>
      <w:r>
        <w:rPr>
          <w:rFonts w:ascii="宋体" w:hAnsi="宋体" w:eastAsia="宋体" w:cs="宋体"/>
          <w:b/>
          <w:bCs/>
          <w:sz w:val="24"/>
          <w:szCs w:val="24"/>
        </w:rPr>
        <w:t>非标准审计报告</w:t>
      </w:r>
      <w:r>
        <w:rPr>
          <w:rFonts w:hint="eastAsia" w:ascii="宋体" w:hAnsi="宋体" w:cs="宋体"/>
          <w:b/>
          <w:bCs/>
          <w:sz w:val="24"/>
          <w:szCs w:val="24"/>
          <w:lang w:eastAsia="zh-CN"/>
        </w:rPr>
        <w:t>”</w:t>
      </w:r>
      <w:r>
        <w:rPr>
          <w:rFonts w:ascii="宋体" w:hAnsi="宋体" w:eastAsia="宋体" w:cs="宋体"/>
          <w:b/>
          <w:bCs/>
          <w:sz w:val="24"/>
          <w:szCs w:val="24"/>
        </w:rPr>
        <w:t>的说明</w:t>
      </w:r>
      <w:bookmarkEnd w:id="144"/>
      <w:bookmarkEnd w:id="145"/>
    </w:p>
    <w:p w14:paraId="53F6E485">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A394FD8">
      <w:pPr>
        <w:pStyle w:val="2"/>
        <w:keepNext/>
        <w:keepLines/>
        <w:spacing w:before="300" w:after="300" w:line="320" w:lineRule="exact"/>
        <w:jc w:val="left"/>
        <w:outlineLvl w:val="1"/>
        <w:rPr>
          <w:rFonts w:ascii="宋体" w:hAnsi="宋体" w:eastAsia="宋体" w:cs="宋体"/>
          <w:b/>
          <w:bCs/>
          <w:sz w:val="24"/>
          <w:szCs w:val="24"/>
        </w:rPr>
      </w:pPr>
      <w:bookmarkStart w:id="146" w:name="_Toc988983"/>
      <w:bookmarkStart w:id="147" w:name="_Toc29430"/>
      <w:r>
        <w:rPr>
          <w:rFonts w:ascii="宋体" w:hAnsi="宋体" w:eastAsia="宋体" w:cs="宋体"/>
          <w:b/>
          <w:bCs/>
          <w:sz w:val="24"/>
          <w:szCs w:val="24"/>
        </w:rPr>
        <w:t>六、董事会关于报告期会计政策、会计估计变更或重大会计差错更正的说明</w:t>
      </w:r>
      <w:bookmarkEnd w:id="146"/>
      <w:bookmarkEnd w:id="147"/>
    </w:p>
    <w:p w14:paraId="2730F864">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8E6A63A">
      <w:pPr>
        <w:pStyle w:val="2"/>
        <w:keepNext/>
        <w:keepLines/>
        <w:spacing w:before="300" w:after="300" w:line="320" w:lineRule="exact"/>
        <w:jc w:val="left"/>
        <w:outlineLvl w:val="1"/>
        <w:rPr>
          <w:rFonts w:ascii="宋体" w:hAnsi="宋体" w:eastAsia="宋体" w:cs="宋体"/>
          <w:b/>
          <w:bCs/>
          <w:sz w:val="24"/>
          <w:szCs w:val="24"/>
        </w:rPr>
      </w:pPr>
      <w:bookmarkStart w:id="148" w:name="_Toc12842"/>
      <w:bookmarkStart w:id="149" w:name="_Toc988984"/>
      <w:r>
        <w:rPr>
          <w:rFonts w:ascii="宋体" w:hAnsi="宋体" w:eastAsia="宋体" w:cs="宋体"/>
          <w:b/>
          <w:bCs/>
          <w:sz w:val="24"/>
          <w:szCs w:val="24"/>
        </w:rPr>
        <w:t>七、与上年度财务报告相比，合并报表范围发生变化的情况说明</w:t>
      </w:r>
      <w:bookmarkEnd w:id="148"/>
      <w:bookmarkEnd w:id="149"/>
    </w:p>
    <w:p w14:paraId="0056B1D9">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68588FF3">
      <w:pPr>
        <w:pStyle w:val="6"/>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sz w:val="18"/>
          <w:szCs w:val="18"/>
        </w:rPr>
        <w:t>参见</w:t>
      </w:r>
      <w:r>
        <w:rPr>
          <w:rFonts w:hint="eastAsia" w:ascii="宋体" w:hAnsi="宋体" w:cs="宋体"/>
          <w:sz w:val="18"/>
          <w:szCs w:val="18"/>
          <w:lang w:eastAsia="zh-CN"/>
        </w:rPr>
        <w:t>“</w:t>
      </w:r>
      <w:r>
        <w:rPr>
          <w:rFonts w:hint="eastAsia" w:ascii="宋体" w:hAnsi="宋体" w:eastAsia="宋体" w:cs="宋体"/>
          <w:sz w:val="18"/>
          <w:szCs w:val="18"/>
        </w:rPr>
        <w:t>第十节 财务报告</w:t>
      </w:r>
      <w:r>
        <w:rPr>
          <w:rFonts w:hint="eastAsia" w:ascii="宋体" w:hAnsi="宋体" w:cs="宋体"/>
          <w:sz w:val="18"/>
          <w:szCs w:val="18"/>
          <w:lang w:eastAsia="zh-CN"/>
        </w:rPr>
        <w:t>”</w:t>
      </w:r>
      <w:r>
        <w:rPr>
          <w:rFonts w:hint="eastAsia" w:ascii="宋体" w:hAnsi="宋体" w:eastAsia="宋体" w:cs="宋体"/>
          <w:sz w:val="18"/>
          <w:szCs w:val="18"/>
        </w:rPr>
        <w:t>中</w:t>
      </w:r>
      <w:r>
        <w:rPr>
          <w:rFonts w:hint="eastAsia" w:ascii="宋体" w:hAnsi="宋体" w:cs="宋体"/>
          <w:sz w:val="18"/>
          <w:szCs w:val="18"/>
          <w:lang w:eastAsia="zh-CN"/>
        </w:rPr>
        <w:t>“</w:t>
      </w:r>
      <w:r>
        <w:rPr>
          <w:rFonts w:hint="eastAsia" w:ascii="宋体" w:hAnsi="宋体" w:eastAsia="宋体" w:cs="宋体"/>
          <w:sz w:val="18"/>
          <w:szCs w:val="18"/>
        </w:rPr>
        <w:t>九、合并范围的变更</w:t>
      </w:r>
      <w:r>
        <w:rPr>
          <w:rFonts w:hint="eastAsia" w:ascii="宋体" w:hAnsi="宋体" w:cs="宋体"/>
          <w:sz w:val="18"/>
          <w:szCs w:val="18"/>
          <w:lang w:eastAsia="zh-CN"/>
        </w:rPr>
        <w:t>”</w:t>
      </w:r>
      <w:r>
        <w:rPr>
          <w:rFonts w:hint="eastAsia" w:ascii="宋体" w:hAnsi="宋体" w:eastAsia="宋体" w:cs="宋体"/>
          <w:sz w:val="18"/>
          <w:szCs w:val="18"/>
        </w:rPr>
        <w:t>相关内容。</w:t>
      </w:r>
    </w:p>
    <w:p w14:paraId="3696554C">
      <w:pPr>
        <w:pStyle w:val="2"/>
        <w:keepNext/>
        <w:keepLines/>
        <w:spacing w:before="300" w:after="300" w:line="320" w:lineRule="exact"/>
        <w:jc w:val="left"/>
        <w:outlineLvl w:val="1"/>
        <w:rPr>
          <w:rFonts w:ascii="宋体" w:hAnsi="宋体" w:eastAsia="宋体" w:cs="宋体"/>
          <w:b/>
          <w:bCs/>
          <w:sz w:val="24"/>
          <w:szCs w:val="24"/>
        </w:rPr>
      </w:pPr>
      <w:bookmarkStart w:id="150" w:name="_Toc988985"/>
      <w:bookmarkStart w:id="151" w:name="_Toc7224"/>
      <w:r>
        <w:rPr>
          <w:rFonts w:ascii="宋体" w:hAnsi="宋体" w:eastAsia="宋体" w:cs="宋体"/>
          <w:b/>
          <w:bCs/>
          <w:sz w:val="24"/>
          <w:szCs w:val="24"/>
        </w:rPr>
        <w:t>八、聘任、解聘会计师事务所情况</w:t>
      </w:r>
      <w:bookmarkEnd w:id="150"/>
      <w:bookmarkEnd w:id="151"/>
    </w:p>
    <w:p w14:paraId="2480CE4B">
      <w:pPr>
        <w:spacing w:before="40" w:after="40" w:line="240" w:lineRule="exact"/>
        <w:jc w:val="left"/>
        <w:rPr>
          <w:rFonts w:ascii="宋体" w:hAnsi="宋体" w:eastAsia="宋体" w:cs="宋体"/>
          <w:sz w:val="18"/>
          <w:szCs w:val="18"/>
        </w:rPr>
      </w:pPr>
      <w:r>
        <w:rPr>
          <w:rFonts w:ascii="宋体" w:hAnsi="宋体" w:eastAsia="宋体" w:cs="宋体"/>
          <w:sz w:val="18"/>
          <w:szCs w:val="18"/>
        </w:rPr>
        <w:t>现聘任的会计师事务所</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2F60A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8E2F575">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境内会计师事务所名称</w:t>
            </w:r>
          </w:p>
        </w:tc>
        <w:tc>
          <w:tcPr>
            <w:tcW w:w="4820" w:type="dxa"/>
            <w:tcBorders>
              <w:top w:val="single" w:color="auto" w:sz="2" w:space="0"/>
              <w:left w:val="single" w:color="auto" w:sz="2" w:space="0"/>
              <w:bottom w:val="single" w:color="auto" w:sz="2" w:space="0"/>
              <w:right w:val="single" w:color="auto" w:sz="2" w:space="0"/>
            </w:tcBorders>
            <w:vAlign w:val="center"/>
          </w:tcPr>
          <w:p w14:paraId="73905482">
            <w:pPr>
              <w:spacing w:before="0" w:after="0" w:line="240" w:lineRule="exact"/>
              <w:jc w:val="left"/>
              <w:rPr>
                <w:rFonts w:ascii="宋体" w:hAnsi="宋体" w:eastAsia="宋体" w:cs="宋体"/>
                <w:sz w:val="18"/>
                <w:szCs w:val="18"/>
              </w:rPr>
            </w:pPr>
            <w:r>
              <w:rPr>
                <w:rFonts w:ascii="宋体" w:hAnsi="宋体" w:eastAsia="宋体" w:cs="宋体"/>
                <w:sz w:val="18"/>
                <w:szCs w:val="18"/>
              </w:rPr>
              <w:t>大信会计师事务所（特殊普通合伙）</w:t>
            </w:r>
          </w:p>
        </w:tc>
      </w:tr>
      <w:tr w14:paraId="515D9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BC97830">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境内会计师事务所报酬（万元）</w:t>
            </w:r>
          </w:p>
        </w:tc>
        <w:tc>
          <w:tcPr>
            <w:tcW w:w="4820" w:type="dxa"/>
            <w:tcBorders>
              <w:top w:val="single" w:color="auto" w:sz="2" w:space="0"/>
              <w:left w:val="single" w:color="auto" w:sz="2" w:space="0"/>
              <w:bottom w:val="single" w:color="auto" w:sz="2" w:space="0"/>
              <w:right w:val="single" w:color="auto" w:sz="2" w:space="0"/>
            </w:tcBorders>
            <w:vAlign w:val="center"/>
          </w:tcPr>
          <w:p w14:paraId="1E7E91A8">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82</w:t>
            </w:r>
          </w:p>
        </w:tc>
      </w:tr>
      <w:tr w14:paraId="1F5DA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1804D1F">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境内会计师事务所审计服务的连续年限</w:t>
            </w:r>
          </w:p>
        </w:tc>
        <w:tc>
          <w:tcPr>
            <w:tcW w:w="4820" w:type="dxa"/>
            <w:tcBorders>
              <w:top w:val="single" w:color="auto" w:sz="2" w:space="0"/>
              <w:left w:val="single" w:color="auto" w:sz="2" w:space="0"/>
              <w:bottom w:val="single" w:color="auto" w:sz="2" w:space="0"/>
              <w:right w:val="single" w:color="auto" w:sz="2" w:space="0"/>
            </w:tcBorders>
            <w:vAlign w:val="center"/>
          </w:tcPr>
          <w:p w14:paraId="168A2043">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8</w:t>
            </w:r>
            <w:r>
              <w:rPr>
                <w:rFonts w:ascii="宋体" w:hAnsi="宋体" w:eastAsia="宋体" w:cs="宋体"/>
                <w:sz w:val="18"/>
                <w:szCs w:val="18"/>
              </w:rPr>
              <w:t>年</w:t>
            </w:r>
          </w:p>
        </w:tc>
      </w:tr>
      <w:tr w14:paraId="3026D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2EF0852">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境内会计师事务所注册会计师姓名</w:t>
            </w:r>
          </w:p>
        </w:tc>
        <w:tc>
          <w:tcPr>
            <w:tcW w:w="4820" w:type="dxa"/>
            <w:tcBorders>
              <w:top w:val="single" w:color="auto" w:sz="2" w:space="0"/>
              <w:left w:val="single" w:color="auto" w:sz="2" w:space="0"/>
              <w:bottom w:val="single" w:color="auto" w:sz="2" w:space="0"/>
              <w:right w:val="single" w:color="auto" w:sz="2" w:space="0"/>
            </w:tcBorders>
            <w:vAlign w:val="center"/>
          </w:tcPr>
          <w:p w14:paraId="1C139314">
            <w:pPr>
              <w:spacing w:before="0" w:after="0" w:line="240" w:lineRule="exact"/>
              <w:jc w:val="left"/>
              <w:rPr>
                <w:rFonts w:ascii="宋体" w:hAnsi="宋体" w:eastAsia="宋体" w:cs="宋体"/>
                <w:sz w:val="18"/>
                <w:szCs w:val="18"/>
              </w:rPr>
            </w:pPr>
            <w:r>
              <w:rPr>
                <w:rFonts w:ascii="宋体" w:hAnsi="宋体" w:eastAsia="宋体" w:cs="宋体"/>
                <w:sz w:val="18"/>
                <w:szCs w:val="18"/>
              </w:rPr>
              <w:t>黎程，黄颖</w:t>
            </w:r>
          </w:p>
        </w:tc>
      </w:tr>
      <w:tr w14:paraId="1E942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DF06767">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境内会计师事务所注册会计师审计服务的连续年限</w:t>
            </w:r>
          </w:p>
        </w:tc>
        <w:tc>
          <w:tcPr>
            <w:tcW w:w="4820" w:type="dxa"/>
            <w:tcBorders>
              <w:top w:val="single" w:color="auto" w:sz="2" w:space="0"/>
              <w:left w:val="single" w:color="auto" w:sz="2" w:space="0"/>
              <w:bottom w:val="single" w:color="auto" w:sz="2" w:space="0"/>
              <w:right w:val="single" w:color="auto" w:sz="2" w:space="0"/>
            </w:tcBorders>
            <w:vAlign w:val="center"/>
          </w:tcPr>
          <w:p w14:paraId="18C9E4DB">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年、</w:t>
            </w:r>
            <w:r>
              <w:rPr>
                <w:rFonts w:hint="default" w:ascii="Times New Roman" w:hAnsi="Times New Roman" w:eastAsia="宋体" w:cs="Times New Roman"/>
                <w:sz w:val="18"/>
                <w:szCs w:val="18"/>
              </w:rPr>
              <w:t>4</w:t>
            </w:r>
            <w:r>
              <w:rPr>
                <w:rFonts w:ascii="宋体" w:hAnsi="宋体" w:eastAsia="宋体" w:cs="宋体"/>
                <w:sz w:val="18"/>
                <w:szCs w:val="18"/>
              </w:rPr>
              <w:t>年</w:t>
            </w:r>
          </w:p>
        </w:tc>
      </w:tr>
    </w:tbl>
    <w:p w14:paraId="459A6BAB">
      <w:pPr>
        <w:spacing w:before="100" w:after="100" w:line="240" w:lineRule="exact"/>
        <w:jc w:val="left"/>
        <w:rPr>
          <w:rFonts w:ascii="宋体" w:hAnsi="宋体" w:eastAsia="宋体" w:cs="宋体"/>
          <w:sz w:val="18"/>
          <w:szCs w:val="18"/>
        </w:rPr>
      </w:pPr>
      <w:r>
        <w:rPr>
          <w:rFonts w:ascii="宋体" w:hAnsi="宋体" w:eastAsia="宋体" w:cs="宋体"/>
          <w:sz w:val="18"/>
          <w:szCs w:val="18"/>
        </w:rPr>
        <w:t>是否改聘会计师事务所</w:t>
      </w:r>
    </w:p>
    <w:p w14:paraId="38D69F90">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3271CDDD">
      <w:pPr>
        <w:spacing w:before="100" w:after="100" w:line="240" w:lineRule="exact"/>
        <w:jc w:val="left"/>
        <w:rPr>
          <w:rFonts w:ascii="宋体" w:hAnsi="宋体" w:eastAsia="宋体" w:cs="宋体"/>
          <w:sz w:val="18"/>
          <w:szCs w:val="18"/>
        </w:rPr>
      </w:pPr>
      <w:r>
        <w:rPr>
          <w:rFonts w:ascii="宋体" w:hAnsi="宋体" w:eastAsia="宋体" w:cs="宋体"/>
          <w:sz w:val="18"/>
          <w:szCs w:val="18"/>
        </w:rPr>
        <w:t>聘请内部控制审计会计师事务所、财务顾问或保荐人情况</w:t>
      </w:r>
    </w:p>
    <w:p w14:paraId="489100F1">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47DD0539">
      <w:pPr>
        <w:pStyle w:val="6"/>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rPr>
        <w:t xml:space="preserve">由大信会计师事务所（特殊普通合伙）负责公司 </w:t>
      </w:r>
      <w:r>
        <w:rPr>
          <w:rFonts w:hint="default" w:ascii="Times New Roman" w:hAnsi="Times New Roman" w:eastAsia="宋体" w:cs="Times New Roman"/>
          <w:color w:val="000000"/>
          <w:sz w:val="18"/>
          <w:szCs w:val="18"/>
        </w:rPr>
        <w:t xml:space="preserve">2025 </w:t>
      </w:r>
      <w:r>
        <w:rPr>
          <w:rFonts w:hint="eastAsia" w:ascii="宋体" w:hAnsi="宋体" w:eastAsia="宋体" w:cs="宋体"/>
          <w:color w:val="000000"/>
          <w:sz w:val="18"/>
          <w:szCs w:val="18"/>
        </w:rPr>
        <w:t>年度内部控制审计工作。</w:t>
      </w:r>
    </w:p>
    <w:p w14:paraId="53F5FEDE">
      <w:pPr>
        <w:pStyle w:val="2"/>
        <w:keepNext/>
        <w:keepLines/>
        <w:spacing w:before="300" w:after="300" w:line="320" w:lineRule="exact"/>
        <w:jc w:val="left"/>
        <w:outlineLvl w:val="1"/>
        <w:rPr>
          <w:rFonts w:ascii="宋体" w:hAnsi="宋体" w:eastAsia="宋体" w:cs="宋体"/>
          <w:b/>
          <w:bCs/>
          <w:sz w:val="24"/>
          <w:szCs w:val="24"/>
        </w:rPr>
      </w:pPr>
      <w:bookmarkStart w:id="152" w:name="_Toc15874"/>
      <w:bookmarkStart w:id="153" w:name="_Toc988986"/>
      <w:r>
        <w:rPr>
          <w:rFonts w:ascii="宋体" w:hAnsi="宋体" w:eastAsia="宋体" w:cs="宋体"/>
          <w:b/>
          <w:bCs/>
          <w:sz w:val="24"/>
          <w:szCs w:val="24"/>
        </w:rPr>
        <w:t>九、年度报告披露后面临退市情况</w:t>
      </w:r>
      <w:bookmarkEnd w:id="152"/>
      <w:bookmarkEnd w:id="153"/>
    </w:p>
    <w:p w14:paraId="42B2B48A">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A52C385">
      <w:pPr>
        <w:pStyle w:val="2"/>
        <w:keepNext/>
        <w:keepLines/>
        <w:spacing w:before="300" w:after="300" w:line="320" w:lineRule="exact"/>
        <w:jc w:val="left"/>
        <w:outlineLvl w:val="1"/>
        <w:rPr>
          <w:rFonts w:ascii="宋体" w:hAnsi="宋体" w:eastAsia="宋体" w:cs="宋体"/>
          <w:b/>
          <w:bCs/>
          <w:sz w:val="24"/>
          <w:szCs w:val="24"/>
        </w:rPr>
      </w:pPr>
      <w:bookmarkStart w:id="154" w:name="_Toc29686"/>
      <w:bookmarkStart w:id="155" w:name="_Toc988987"/>
      <w:r>
        <w:rPr>
          <w:rFonts w:ascii="宋体" w:hAnsi="宋体" w:eastAsia="宋体" w:cs="宋体"/>
          <w:b/>
          <w:bCs/>
          <w:sz w:val="24"/>
          <w:szCs w:val="24"/>
        </w:rPr>
        <w:t>十、破产重整相关事项</w:t>
      </w:r>
      <w:bookmarkEnd w:id="154"/>
      <w:bookmarkEnd w:id="155"/>
    </w:p>
    <w:p w14:paraId="3C49FC3D">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55A6382">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公司报告期未发生破产重整相关事项。</w:t>
      </w:r>
    </w:p>
    <w:p w14:paraId="4E7EB610">
      <w:pPr>
        <w:pStyle w:val="2"/>
        <w:keepNext/>
        <w:keepLines/>
        <w:spacing w:before="300" w:after="300" w:line="320" w:lineRule="exact"/>
        <w:jc w:val="left"/>
        <w:outlineLvl w:val="1"/>
        <w:rPr>
          <w:rFonts w:ascii="宋体" w:hAnsi="宋体" w:eastAsia="宋体" w:cs="宋体"/>
          <w:b/>
          <w:bCs/>
          <w:sz w:val="24"/>
          <w:szCs w:val="24"/>
        </w:rPr>
      </w:pPr>
      <w:bookmarkStart w:id="156" w:name="_Toc3734"/>
      <w:bookmarkStart w:id="157" w:name="_Toc988988"/>
      <w:r>
        <w:rPr>
          <w:rFonts w:ascii="宋体" w:hAnsi="宋体" w:eastAsia="宋体" w:cs="宋体"/>
          <w:b/>
          <w:bCs/>
          <w:sz w:val="24"/>
          <w:szCs w:val="24"/>
        </w:rPr>
        <w:t>十一、重大诉讼、仲裁事项</w:t>
      </w:r>
      <w:bookmarkEnd w:id="156"/>
      <w:bookmarkEnd w:id="157"/>
    </w:p>
    <w:p w14:paraId="5A6678DE">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14:paraId="41A18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1B2BFD0">
            <w:pPr>
              <w:spacing w:before="40" w:after="40" w:line="240" w:lineRule="exact"/>
              <w:jc w:val="center"/>
              <w:rPr>
                <w:rFonts w:ascii="宋体" w:hAnsi="宋体" w:eastAsia="宋体" w:cs="宋体"/>
                <w:sz w:val="18"/>
                <w:szCs w:val="18"/>
              </w:rPr>
            </w:pPr>
            <w:r>
              <w:rPr>
                <w:rFonts w:ascii="宋体" w:hAnsi="宋体" w:eastAsia="宋体" w:cs="宋体"/>
                <w:sz w:val="18"/>
                <w:szCs w:val="18"/>
              </w:rPr>
              <w:t>诉讼(仲裁)基本情况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DEBB377">
            <w:pPr>
              <w:spacing w:before="40" w:after="40" w:line="240" w:lineRule="exact"/>
              <w:jc w:val="center"/>
              <w:rPr>
                <w:rFonts w:ascii="宋体" w:hAnsi="宋体" w:eastAsia="宋体" w:cs="宋体"/>
                <w:sz w:val="18"/>
                <w:szCs w:val="18"/>
              </w:rPr>
            </w:pPr>
            <w:r>
              <w:rPr>
                <w:rFonts w:ascii="宋体" w:hAnsi="宋体" w:eastAsia="宋体" w:cs="宋体"/>
                <w:sz w:val="18"/>
                <w:szCs w:val="18"/>
              </w:rPr>
              <w:t>涉案金额（万元）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34D735E">
            <w:pPr>
              <w:spacing w:before="40" w:after="40" w:line="240" w:lineRule="exact"/>
              <w:jc w:val="center"/>
              <w:rPr>
                <w:rFonts w:ascii="宋体" w:hAnsi="宋体" w:eastAsia="宋体" w:cs="宋体"/>
                <w:sz w:val="18"/>
                <w:szCs w:val="18"/>
              </w:rPr>
            </w:pPr>
            <w:r>
              <w:rPr>
                <w:rFonts w:ascii="宋体" w:hAnsi="宋体" w:eastAsia="宋体" w:cs="宋体"/>
                <w:sz w:val="18"/>
                <w:szCs w:val="18"/>
              </w:rPr>
              <w:t>是否形成预计负债</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58BF77C">
            <w:pPr>
              <w:spacing w:before="40" w:after="40" w:line="240" w:lineRule="exact"/>
              <w:jc w:val="center"/>
              <w:rPr>
                <w:rFonts w:ascii="宋体" w:hAnsi="宋体" w:eastAsia="宋体" w:cs="宋体"/>
                <w:sz w:val="18"/>
                <w:szCs w:val="18"/>
              </w:rPr>
            </w:pPr>
            <w:r>
              <w:rPr>
                <w:rFonts w:ascii="宋体" w:hAnsi="宋体" w:eastAsia="宋体" w:cs="宋体"/>
                <w:sz w:val="18"/>
                <w:szCs w:val="18"/>
              </w:rPr>
              <w:t>诉讼(仲裁)进展</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617DCE1">
            <w:pPr>
              <w:spacing w:before="40" w:after="40" w:line="240" w:lineRule="exact"/>
              <w:jc w:val="center"/>
              <w:rPr>
                <w:rFonts w:ascii="宋体" w:hAnsi="宋体" w:eastAsia="宋体" w:cs="宋体"/>
                <w:sz w:val="18"/>
                <w:szCs w:val="18"/>
              </w:rPr>
            </w:pPr>
            <w:r>
              <w:rPr>
                <w:rFonts w:ascii="宋体" w:hAnsi="宋体" w:eastAsia="宋体" w:cs="宋体"/>
                <w:sz w:val="18"/>
                <w:szCs w:val="18"/>
              </w:rPr>
              <w:t>诉讼(仲裁)审理结果及影响</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1469A7E4">
            <w:pPr>
              <w:spacing w:before="40" w:after="40" w:line="240" w:lineRule="exact"/>
              <w:jc w:val="center"/>
              <w:rPr>
                <w:rFonts w:ascii="宋体" w:hAnsi="宋体" w:eastAsia="宋体" w:cs="宋体"/>
                <w:sz w:val="18"/>
                <w:szCs w:val="18"/>
              </w:rPr>
            </w:pPr>
            <w:r>
              <w:rPr>
                <w:rFonts w:ascii="宋体" w:hAnsi="宋体" w:eastAsia="宋体" w:cs="宋体"/>
                <w:sz w:val="18"/>
                <w:szCs w:val="18"/>
              </w:rPr>
              <w:t>诉讼(仲裁)判决执行情况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E680931">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CC0BAB1">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w:t>
            </w:r>
          </w:p>
        </w:tc>
      </w:tr>
      <w:tr w14:paraId="15737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484C4E0">
            <w:pPr>
              <w:spacing w:before="0" w:after="0" w:line="240" w:lineRule="exact"/>
              <w:jc w:val="left"/>
              <w:rPr>
                <w:rFonts w:ascii="宋体" w:hAnsi="宋体" w:eastAsia="宋体" w:cs="宋体"/>
                <w:sz w:val="18"/>
                <w:szCs w:val="18"/>
              </w:rPr>
            </w:pPr>
            <w:r>
              <w:rPr>
                <w:rFonts w:ascii="宋体" w:hAnsi="宋体" w:eastAsia="宋体" w:cs="宋体"/>
                <w:sz w:val="18"/>
                <w:szCs w:val="18"/>
              </w:rPr>
              <w:t>公司子公司涉及仲裁</w:t>
            </w:r>
          </w:p>
        </w:tc>
        <w:tc>
          <w:tcPr>
            <w:tcW w:w="1205" w:type="dxa"/>
            <w:tcBorders>
              <w:top w:val="single" w:color="auto" w:sz="2" w:space="0"/>
              <w:left w:val="single" w:color="auto" w:sz="2" w:space="0"/>
              <w:bottom w:val="single" w:color="auto" w:sz="2" w:space="0"/>
              <w:right w:val="single" w:color="auto" w:sz="2" w:space="0"/>
            </w:tcBorders>
            <w:vAlign w:val="center"/>
          </w:tcPr>
          <w:p w14:paraId="4918806C">
            <w:pPr>
              <w:spacing w:before="0" w:after="0" w:line="240" w:lineRule="exact"/>
              <w:jc w:val="right"/>
              <w:rPr>
                <w:rFonts w:ascii="宋体" w:hAnsi="宋体" w:eastAsia="宋体" w:cs="宋体"/>
                <w:sz w:val="18"/>
                <w:szCs w:val="18"/>
              </w:rPr>
            </w:pPr>
            <w:r>
              <w:rPr>
                <w:rFonts w:hint="default" w:ascii="Times New Roman" w:hAnsi="Times New Roman" w:eastAsia="宋体" w:cs="Times New Roman"/>
                <w:sz w:val="18"/>
                <w:szCs w:val="18"/>
              </w:rPr>
              <w:t>5</w:t>
            </w:r>
            <w:r>
              <w:rPr>
                <w:rFonts w:ascii="宋体" w:hAnsi="宋体" w:eastAsia="宋体" w:cs="宋体"/>
                <w:sz w:val="18"/>
                <w:szCs w:val="18"/>
              </w:rPr>
              <w:t>,</w:t>
            </w:r>
            <w:r>
              <w:rPr>
                <w:rFonts w:hint="default" w:ascii="Times New Roman" w:hAnsi="Times New Roman" w:eastAsia="宋体" w:cs="Times New Roman"/>
                <w:sz w:val="18"/>
                <w:szCs w:val="18"/>
              </w:rPr>
              <w:t>392</w:t>
            </w:r>
            <w:r>
              <w:rPr>
                <w:rFonts w:ascii="宋体" w:hAnsi="宋体" w:eastAsia="宋体" w:cs="宋体"/>
                <w:sz w:val="18"/>
                <w:szCs w:val="18"/>
              </w:rPr>
              <w:t>.</w:t>
            </w:r>
            <w:r>
              <w:rPr>
                <w:rFonts w:hint="default" w:ascii="Times New Roman" w:hAnsi="Times New Roman" w:eastAsia="宋体" w:cs="Times New Roman"/>
                <w:sz w:val="18"/>
                <w:szCs w:val="18"/>
              </w:rPr>
              <w:t>92</w:t>
            </w:r>
          </w:p>
        </w:tc>
        <w:tc>
          <w:tcPr>
            <w:tcW w:w="1205" w:type="dxa"/>
            <w:tcBorders>
              <w:top w:val="single" w:color="auto" w:sz="2" w:space="0"/>
              <w:left w:val="single" w:color="auto" w:sz="2" w:space="0"/>
              <w:bottom w:val="single" w:color="auto" w:sz="2" w:space="0"/>
              <w:right w:val="single" w:color="auto" w:sz="2" w:space="0"/>
            </w:tcBorders>
            <w:vAlign w:val="center"/>
          </w:tcPr>
          <w:p w14:paraId="7F8B7F1A">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465B4B46">
            <w:pPr>
              <w:spacing w:before="0" w:after="0" w:line="240" w:lineRule="exact"/>
              <w:jc w:val="left"/>
              <w:rPr>
                <w:rFonts w:ascii="宋体" w:hAnsi="宋体" w:eastAsia="宋体" w:cs="宋体"/>
                <w:sz w:val="18"/>
                <w:szCs w:val="18"/>
              </w:rPr>
            </w:pPr>
            <w:r>
              <w:rPr>
                <w:rFonts w:ascii="宋体" w:hAnsi="宋体" w:eastAsia="宋体" w:cs="宋体"/>
                <w:sz w:val="18"/>
                <w:szCs w:val="18"/>
              </w:rPr>
              <w:t>和解</w:t>
            </w:r>
          </w:p>
        </w:tc>
        <w:tc>
          <w:tcPr>
            <w:tcW w:w="1205" w:type="dxa"/>
            <w:tcBorders>
              <w:top w:val="single" w:color="auto" w:sz="2" w:space="0"/>
              <w:left w:val="single" w:color="auto" w:sz="2" w:space="0"/>
              <w:bottom w:val="single" w:color="auto" w:sz="2" w:space="0"/>
              <w:right w:val="single" w:color="auto" w:sz="2" w:space="0"/>
            </w:tcBorders>
            <w:vAlign w:val="center"/>
          </w:tcPr>
          <w:p w14:paraId="57F13D8D">
            <w:pPr>
              <w:spacing w:before="0" w:after="0" w:line="240" w:lineRule="exact"/>
              <w:jc w:val="left"/>
              <w:rPr>
                <w:rFonts w:hint="eastAsia" w:ascii="宋体" w:hAnsi="宋体" w:eastAsia="宋体" w:cs="宋体"/>
                <w:sz w:val="18"/>
                <w:szCs w:val="18"/>
                <w:lang w:val="en-US" w:eastAsia="zh-CN"/>
              </w:rPr>
            </w:pPr>
            <w:r>
              <w:rPr>
                <w:rFonts w:ascii="宋体" w:hAnsi="宋体" w:eastAsia="宋体" w:cs="宋体"/>
                <w:sz w:val="18"/>
                <w:szCs w:val="18"/>
              </w:rPr>
              <w:t>已和解，暂无重大影</w:t>
            </w:r>
            <w:r>
              <w:rPr>
                <w:rFonts w:hint="eastAsia" w:ascii="宋体" w:hAnsi="宋体" w:cs="宋体"/>
                <w:sz w:val="18"/>
                <w:szCs w:val="18"/>
                <w:lang w:val="en-US" w:eastAsia="zh-CN"/>
              </w:rPr>
              <w:t>响</w:t>
            </w:r>
          </w:p>
        </w:tc>
        <w:tc>
          <w:tcPr>
            <w:tcW w:w="1205" w:type="dxa"/>
            <w:tcBorders>
              <w:top w:val="single" w:color="auto" w:sz="2" w:space="0"/>
              <w:left w:val="single" w:color="auto" w:sz="2" w:space="0"/>
              <w:bottom w:val="single" w:color="auto" w:sz="2" w:space="0"/>
              <w:right w:val="single" w:color="auto" w:sz="2" w:space="0"/>
            </w:tcBorders>
            <w:vAlign w:val="center"/>
          </w:tcPr>
          <w:p w14:paraId="63095F0C">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14:paraId="58F03853">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2025</w:t>
            </w:r>
            <w:r>
              <w:rPr>
                <w:rFonts w:ascii="宋体" w:hAnsi="宋体" w:eastAsia="宋体" w:cs="宋体"/>
                <w:sz w:val="18"/>
                <w:szCs w:val="18"/>
              </w:rPr>
              <w:t>年</w:t>
            </w:r>
            <w:r>
              <w:rPr>
                <w:rFonts w:hint="default" w:ascii="Times New Roman" w:hAnsi="Times New Roman" w:eastAsia="宋体" w:cs="Times New Roman"/>
                <w:sz w:val="18"/>
                <w:szCs w:val="18"/>
              </w:rPr>
              <w:t>01</w:t>
            </w:r>
            <w:r>
              <w:rPr>
                <w:rFonts w:ascii="宋体" w:hAnsi="宋体" w:eastAsia="宋体" w:cs="宋体"/>
                <w:sz w:val="18"/>
                <w:szCs w:val="18"/>
              </w:rPr>
              <w:t>月</w:t>
            </w:r>
            <w:r>
              <w:rPr>
                <w:rFonts w:hint="default" w:ascii="Times New Roman" w:hAnsi="Times New Roman" w:eastAsia="宋体" w:cs="Times New Roman"/>
                <w:sz w:val="18"/>
                <w:szCs w:val="18"/>
              </w:rPr>
              <w:t>09</w:t>
            </w:r>
            <w:r>
              <w:rPr>
                <w:rFonts w:ascii="宋体" w:hAnsi="宋体" w:eastAsia="宋体" w:cs="宋体"/>
                <w:sz w:val="18"/>
                <w:szCs w:val="18"/>
              </w:rPr>
              <w:t>日</w:t>
            </w:r>
          </w:p>
        </w:tc>
        <w:tc>
          <w:tcPr>
            <w:tcW w:w="1205" w:type="dxa"/>
            <w:tcBorders>
              <w:top w:val="single" w:color="auto" w:sz="2" w:space="0"/>
              <w:left w:val="single" w:color="auto" w:sz="2" w:space="0"/>
              <w:bottom w:val="single" w:color="auto" w:sz="2" w:space="0"/>
              <w:right w:val="single" w:color="auto" w:sz="2" w:space="0"/>
            </w:tcBorders>
            <w:vAlign w:val="center"/>
          </w:tcPr>
          <w:p w14:paraId="26615DF9">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巨潮资讯网，关于仲裁进展的公告（公告编号：</w:t>
            </w:r>
            <w:r>
              <w:rPr>
                <w:rFonts w:hint="default" w:ascii="Times New Roman" w:hAnsi="Times New Roman" w:eastAsia="宋体" w:cs="Times New Roman"/>
                <w:sz w:val="18"/>
                <w:szCs w:val="18"/>
              </w:rPr>
              <w:t>2025</w:t>
            </w:r>
            <w:r>
              <w:rPr>
                <w:rFonts w:ascii="宋体" w:hAnsi="宋体" w:eastAsia="宋体" w:cs="宋体"/>
                <w:sz w:val="18"/>
                <w:szCs w:val="18"/>
              </w:rPr>
              <w:t>-</w:t>
            </w:r>
            <w:r>
              <w:rPr>
                <w:rFonts w:hint="default" w:ascii="Times New Roman" w:hAnsi="Times New Roman" w:eastAsia="宋体" w:cs="Times New Roman"/>
                <w:sz w:val="18"/>
                <w:szCs w:val="18"/>
              </w:rPr>
              <w:t>002</w:t>
            </w:r>
            <w:r>
              <w:rPr>
                <w:rFonts w:ascii="宋体" w:hAnsi="宋体" w:eastAsia="宋体" w:cs="宋体"/>
                <w:sz w:val="18"/>
                <w:szCs w:val="18"/>
              </w:rPr>
              <w:t>）</w:t>
            </w:r>
          </w:p>
        </w:tc>
      </w:tr>
      <w:tr w14:paraId="46968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2B4E42A">
            <w:pPr>
              <w:spacing w:before="0" w:after="0" w:line="240" w:lineRule="exact"/>
              <w:jc w:val="left"/>
              <w:rPr>
                <w:rFonts w:ascii="宋体" w:hAnsi="宋体" w:eastAsia="宋体" w:cs="宋体"/>
                <w:sz w:val="18"/>
                <w:szCs w:val="18"/>
              </w:rPr>
            </w:pPr>
            <w:r>
              <w:rPr>
                <w:rFonts w:ascii="宋体" w:hAnsi="宋体" w:eastAsia="宋体" w:cs="宋体"/>
                <w:sz w:val="18"/>
                <w:szCs w:val="18"/>
              </w:rPr>
              <w:t>未达到重大诉讼、仲裁披露标准的</w:t>
            </w:r>
          </w:p>
          <w:p w14:paraId="69F14317">
            <w:pPr>
              <w:spacing w:before="0" w:after="0" w:line="240" w:lineRule="exact"/>
              <w:jc w:val="left"/>
              <w:rPr>
                <w:rFonts w:ascii="宋体" w:hAnsi="宋体" w:eastAsia="宋体" w:cs="宋体"/>
                <w:sz w:val="18"/>
                <w:szCs w:val="18"/>
              </w:rPr>
            </w:pPr>
            <w:r>
              <w:rPr>
                <w:rFonts w:ascii="宋体" w:hAnsi="宋体" w:eastAsia="宋体" w:cs="宋体"/>
                <w:sz w:val="18"/>
                <w:szCs w:val="18"/>
              </w:rPr>
              <w:t>其他诉讼、仲裁汇总</w:t>
            </w:r>
          </w:p>
        </w:tc>
        <w:tc>
          <w:tcPr>
            <w:tcW w:w="1205" w:type="dxa"/>
            <w:tcBorders>
              <w:top w:val="single" w:color="auto" w:sz="2" w:space="0"/>
              <w:left w:val="single" w:color="auto" w:sz="2" w:space="0"/>
              <w:bottom w:val="single" w:color="auto" w:sz="2" w:space="0"/>
              <w:right w:val="single" w:color="auto" w:sz="2" w:space="0"/>
            </w:tcBorders>
            <w:vAlign w:val="center"/>
          </w:tcPr>
          <w:p w14:paraId="252D2E82">
            <w:pPr>
              <w:spacing w:before="0" w:after="0" w:line="240" w:lineRule="exact"/>
              <w:jc w:val="right"/>
              <w:rPr>
                <w:rFonts w:ascii="宋体" w:hAnsi="宋体" w:eastAsia="宋体" w:cs="宋体"/>
                <w:sz w:val="18"/>
                <w:szCs w:val="18"/>
              </w:rPr>
            </w:pPr>
            <w:r>
              <w:rPr>
                <w:rFonts w:hint="default" w:ascii="Times New Roman" w:hAnsi="Times New Roman" w:eastAsia="宋体" w:cs="Times New Roman"/>
                <w:sz w:val="18"/>
                <w:szCs w:val="18"/>
              </w:rPr>
              <w:t>199</w:t>
            </w:r>
            <w:r>
              <w:rPr>
                <w:rFonts w:ascii="宋体" w:hAnsi="宋体" w:eastAsia="宋体" w:cs="宋体"/>
                <w:sz w:val="18"/>
                <w:szCs w:val="18"/>
              </w:rPr>
              <w:t>.</w:t>
            </w:r>
            <w:r>
              <w:rPr>
                <w:rFonts w:hint="default" w:ascii="Times New Roman" w:hAnsi="Times New Roman" w:eastAsia="宋体" w:cs="Times New Roman"/>
                <w:sz w:val="18"/>
                <w:szCs w:val="18"/>
              </w:rPr>
              <w:t>85</w:t>
            </w:r>
          </w:p>
        </w:tc>
        <w:tc>
          <w:tcPr>
            <w:tcW w:w="1205" w:type="dxa"/>
            <w:tcBorders>
              <w:top w:val="single" w:color="auto" w:sz="2" w:space="0"/>
              <w:left w:val="single" w:color="auto" w:sz="2" w:space="0"/>
              <w:bottom w:val="single" w:color="auto" w:sz="2" w:space="0"/>
              <w:right w:val="single" w:color="auto" w:sz="2" w:space="0"/>
            </w:tcBorders>
            <w:vAlign w:val="center"/>
          </w:tcPr>
          <w:p w14:paraId="37A25D36">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581B3339">
            <w:pPr>
              <w:spacing w:before="0" w:after="0" w:line="240" w:lineRule="exact"/>
              <w:jc w:val="left"/>
              <w:rPr>
                <w:rFonts w:ascii="宋体" w:hAnsi="宋体" w:eastAsia="宋体" w:cs="宋体"/>
                <w:sz w:val="18"/>
                <w:szCs w:val="18"/>
              </w:rPr>
            </w:pPr>
            <w:r>
              <w:rPr>
                <w:rFonts w:ascii="宋体" w:hAnsi="宋体" w:eastAsia="宋体" w:cs="宋体"/>
                <w:sz w:val="18"/>
                <w:szCs w:val="18"/>
              </w:rPr>
              <w:t>部分诉讼处</w:t>
            </w:r>
          </w:p>
          <w:p w14:paraId="59701EBD">
            <w:pPr>
              <w:spacing w:before="0" w:after="0" w:line="240" w:lineRule="exact"/>
              <w:jc w:val="left"/>
              <w:rPr>
                <w:rFonts w:ascii="宋体" w:hAnsi="宋体" w:eastAsia="宋体" w:cs="宋体"/>
                <w:sz w:val="18"/>
                <w:szCs w:val="18"/>
              </w:rPr>
            </w:pPr>
            <w:r>
              <w:rPr>
                <w:rFonts w:ascii="宋体" w:hAnsi="宋体" w:eastAsia="宋体" w:cs="宋体"/>
                <w:sz w:val="18"/>
                <w:szCs w:val="18"/>
              </w:rPr>
              <w:t>于审理阶段、部分诉讼已处于执</w:t>
            </w:r>
          </w:p>
          <w:p w14:paraId="2C77380A">
            <w:pPr>
              <w:spacing w:before="0" w:after="0" w:line="240" w:lineRule="exact"/>
              <w:jc w:val="left"/>
              <w:rPr>
                <w:rFonts w:ascii="宋体" w:hAnsi="宋体" w:eastAsia="宋体" w:cs="宋体"/>
                <w:sz w:val="18"/>
                <w:szCs w:val="18"/>
              </w:rPr>
            </w:pPr>
            <w:r>
              <w:rPr>
                <w:rFonts w:ascii="宋体" w:hAnsi="宋体" w:eastAsia="宋体" w:cs="宋体"/>
                <w:sz w:val="18"/>
                <w:szCs w:val="18"/>
              </w:rPr>
              <w:t>行阶段</w:t>
            </w:r>
          </w:p>
        </w:tc>
        <w:tc>
          <w:tcPr>
            <w:tcW w:w="1205" w:type="dxa"/>
            <w:tcBorders>
              <w:top w:val="single" w:color="auto" w:sz="2" w:space="0"/>
              <w:left w:val="single" w:color="auto" w:sz="2" w:space="0"/>
              <w:bottom w:val="single" w:color="auto" w:sz="2" w:space="0"/>
              <w:right w:val="single" w:color="auto" w:sz="2" w:space="0"/>
            </w:tcBorders>
            <w:vAlign w:val="center"/>
          </w:tcPr>
          <w:p w14:paraId="4A7A144C">
            <w:pPr>
              <w:spacing w:before="0" w:after="0" w:line="240" w:lineRule="exact"/>
              <w:jc w:val="left"/>
              <w:rPr>
                <w:rFonts w:ascii="宋体" w:hAnsi="宋体" w:eastAsia="宋体" w:cs="宋体"/>
                <w:sz w:val="18"/>
                <w:szCs w:val="18"/>
              </w:rPr>
            </w:pPr>
            <w:r>
              <w:rPr>
                <w:rFonts w:ascii="宋体" w:hAnsi="宋体" w:eastAsia="宋体" w:cs="宋体"/>
                <w:sz w:val="18"/>
                <w:szCs w:val="18"/>
              </w:rPr>
              <w:t>本诉讼事项汇总目前对公司无重大</w:t>
            </w:r>
          </w:p>
          <w:p w14:paraId="36BF02E2">
            <w:pPr>
              <w:spacing w:before="0" w:after="0" w:line="240" w:lineRule="exact"/>
              <w:jc w:val="left"/>
              <w:rPr>
                <w:rFonts w:ascii="宋体" w:hAnsi="宋体" w:eastAsia="宋体" w:cs="宋体"/>
                <w:sz w:val="18"/>
                <w:szCs w:val="18"/>
              </w:rPr>
            </w:pPr>
            <w:r>
              <w:rPr>
                <w:rFonts w:ascii="宋体" w:hAnsi="宋体" w:eastAsia="宋体" w:cs="宋体"/>
                <w:sz w:val="18"/>
                <w:szCs w:val="18"/>
              </w:rPr>
              <w:t>影响</w:t>
            </w:r>
          </w:p>
        </w:tc>
        <w:tc>
          <w:tcPr>
            <w:tcW w:w="1205" w:type="dxa"/>
            <w:tcBorders>
              <w:top w:val="single" w:color="auto" w:sz="2" w:space="0"/>
              <w:left w:val="single" w:color="auto" w:sz="2" w:space="0"/>
              <w:bottom w:val="single" w:color="auto" w:sz="2" w:space="0"/>
              <w:right w:val="single" w:color="auto" w:sz="2" w:space="0"/>
            </w:tcBorders>
            <w:vAlign w:val="center"/>
          </w:tcPr>
          <w:p w14:paraId="3B4D81DB">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205" w:type="dxa"/>
            <w:tcBorders>
              <w:top w:val="single" w:color="auto" w:sz="2" w:space="0"/>
              <w:left w:val="single" w:color="auto" w:sz="2" w:space="0"/>
              <w:bottom w:val="single" w:color="auto" w:sz="2" w:space="0"/>
              <w:right w:val="single" w:color="auto" w:sz="2" w:space="0"/>
            </w:tcBorders>
            <w:vAlign w:val="center"/>
          </w:tcPr>
          <w:p w14:paraId="7DAC95EF">
            <w:pPr>
              <w:spacing w:before="0" w:after="0" w:line="240" w:lineRule="exact"/>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不适用</w:t>
            </w:r>
          </w:p>
        </w:tc>
        <w:tc>
          <w:tcPr>
            <w:tcW w:w="1205" w:type="dxa"/>
            <w:tcBorders>
              <w:top w:val="single" w:color="auto" w:sz="2" w:space="0"/>
              <w:left w:val="single" w:color="auto" w:sz="2" w:space="0"/>
              <w:bottom w:val="single" w:color="auto" w:sz="2" w:space="0"/>
              <w:right w:val="single" w:color="auto" w:sz="2" w:space="0"/>
            </w:tcBorders>
            <w:vAlign w:val="center"/>
          </w:tcPr>
          <w:p w14:paraId="3D87EFA3">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bl>
    <w:p w14:paraId="2784F2FB">
      <w:pPr>
        <w:pStyle w:val="2"/>
        <w:keepNext/>
        <w:keepLines/>
        <w:spacing w:before="300" w:after="300" w:line="320" w:lineRule="exact"/>
        <w:jc w:val="left"/>
        <w:outlineLvl w:val="1"/>
        <w:rPr>
          <w:rFonts w:ascii="宋体" w:hAnsi="宋体" w:eastAsia="宋体" w:cs="宋体"/>
          <w:b/>
          <w:bCs/>
          <w:sz w:val="24"/>
          <w:szCs w:val="24"/>
        </w:rPr>
      </w:pPr>
      <w:bookmarkStart w:id="158" w:name="_Toc988989"/>
      <w:bookmarkStart w:id="159" w:name="_Toc7660"/>
      <w:r>
        <w:rPr>
          <w:rFonts w:ascii="宋体" w:hAnsi="宋体" w:eastAsia="宋体" w:cs="宋体"/>
          <w:b/>
          <w:bCs/>
          <w:sz w:val="24"/>
          <w:szCs w:val="24"/>
        </w:rPr>
        <w:t>十二、处罚及整改情况</w:t>
      </w:r>
      <w:bookmarkEnd w:id="158"/>
      <w:bookmarkEnd w:id="159"/>
    </w:p>
    <w:p w14:paraId="5D6DAF8D">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6FB1916">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公司报告期不存在处罚及整改情况。</w:t>
      </w:r>
    </w:p>
    <w:p w14:paraId="742E8774">
      <w:pPr>
        <w:pStyle w:val="2"/>
        <w:keepNext/>
        <w:keepLines/>
        <w:spacing w:before="300" w:after="300" w:line="320" w:lineRule="exact"/>
        <w:jc w:val="left"/>
        <w:outlineLvl w:val="1"/>
        <w:rPr>
          <w:rFonts w:ascii="宋体" w:hAnsi="宋体" w:eastAsia="宋体" w:cs="宋体"/>
          <w:b/>
          <w:bCs/>
          <w:sz w:val="24"/>
          <w:szCs w:val="24"/>
        </w:rPr>
      </w:pPr>
      <w:bookmarkStart w:id="160" w:name="_Toc988990"/>
      <w:bookmarkStart w:id="161" w:name="_Toc21555"/>
      <w:r>
        <w:rPr>
          <w:rFonts w:ascii="宋体" w:hAnsi="宋体" w:eastAsia="宋体" w:cs="宋体"/>
          <w:b/>
          <w:bCs/>
          <w:sz w:val="24"/>
          <w:szCs w:val="24"/>
        </w:rPr>
        <w:t>十三、公司及其控股股东、实际控制人的诚信状况</w:t>
      </w:r>
      <w:bookmarkEnd w:id="160"/>
      <w:bookmarkEnd w:id="161"/>
    </w:p>
    <w:p w14:paraId="7B480BA1">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03BF478">
      <w:pPr>
        <w:pStyle w:val="2"/>
        <w:keepNext/>
        <w:keepLines/>
        <w:spacing w:before="300" w:after="300" w:line="320" w:lineRule="exact"/>
        <w:jc w:val="left"/>
        <w:outlineLvl w:val="1"/>
        <w:rPr>
          <w:rFonts w:ascii="宋体" w:hAnsi="宋体" w:eastAsia="宋体" w:cs="宋体"/>
          <w:b/>
          <w:bCs/>
          <w:sz w:val="24"/>
          <w:szCs w:val="24"/>
        </w:rPr>
      </w:pPr>
      <w:bookmarkStart w:id="162" w:name="_Toc988991"/>
      <w:bookmarkStart w:id="163" w:name="_Toc16053"/>
      <w:r>
        <w:rPr>
          <w:rFonts w:ascii="宋体" w:hAnsi="宋体" w:eastAsia="宋体" w:cs="宋体"/>
          <w:b/>
          <w:bCs/>
          <w:sz w:val="24"/>
          <w:szCs w:val="24"/>
        </w:rPr>
        <w:t>十四、重大关联交易</w:t>
      </w:r>
      <w:bookmarkEnd w:id="162"/>
      <w:bookmarkEnd w:id="163"/>
    </w:p>
    <w:p w14:paraId="5733B59D">
      <w:pPr>
        <w:pStyle w:val="3"/>
        <w:keepNext/>
        <w:keepLines/>
        <w:spacing w:before="300" w:after="300" w:line="280" w:lineRule="exact"/>
        <w:jc w:val="left"/>
        <w:outlineLvl w:val="2"/>
        <w:rPr>
          <w:rFonts w:ascii="宋体" w:hAnsi="宋体" w:eastAsia="宋体" w:cs="宋体"/>
          <w:b/>
          <w:bCs/>
          <w:sz w:val="21"/>
          <w:szCs w:val="21"/>
        </w:rPr>
      </w:pPr>
      <w:bookmarkStart w:id="164" w:name="_Toc988992"/>
      <w:r>
        <w:rPr>
          <w:rFonts w:hint="default" w:ascii="Times New Roman" w:hAnsi="Times New Roman" w:eastAsia="宋体" w:cs="Times New Roman"/>
          <w:b/>
          <w:bCs/>
          <w:sz w:val="21"/>
          <w:szCs w:val="21"/>
        </w:rPr>
        <w:t>1</w:t>
      </w:r>
      <w:r>
        <w:rPr>
          <w:rFonts w:ascii="宋体" w:hAnsi="宋体" w:eastAsia="宋体" w:cs="宋体"/>
          <w:b/>
          <w:bCs/>
          <w:sz w:val="21"/>
          <w:szCs w:val="21"/>
        </w:rPr>
        <w:t>、与日常经营相关的关联交易</w:t>
      </w:r>
      <w:bookmarkEnd w:id="164"/>
    </w:p>
    <w:p w14:paraId="0454711B">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FD85323">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公司报告期未发生与日常经营相关的关联交易。</w:t>
      </w:r>
    </w:p>
    <w:p w14:paraId="3DEF8ABA">
      <w:pPr>
        <w:pStyle w:val="3"/>
        <w:keepNext/>
        <w:keepLines/>
        <w:spacing w:before="300" w:after="300" w:line="280" w:lineRule="exact"/>
        <w:jc w:val="left"/>
        <w:outlineLvl w:val="2"/>
        <w:rPr>
          <w:rFonts w:ascii="宋体" w:hAnsi="宋体" w:eastAsia="宋体" w:cs="宋体"/>
          <w:b/>
          <w:bCs/>
          <w:sz w:val="21"/>
          <w:szCs w:val="21"/>
        </w:rPr>
      </w:pPr>
      <w:bookmarkStart w:id="165" w:name="_Toc988993"/>
      <w:r>
        <w:rPr>
          <w:rFonts w:hint="default" w:ascii="Times New Roman" w:hAnsi="Times New Roman" w:eastAsia="宋体" w:cs="Times New Roman"/>
          <w:b/>
          <w:bCs/>
          <w:sz w:val="21"/>
          <w:szCs w:val="21"/>
        </w:rPr>
        <w:t>2</w:t>
      </w:r>
      <w:r>
        <w:rPr>
          <w:rFonts w:ascii="宋体" w:hAnsi="宋体" w:eastAsia="宋体" w:cs="宋体"/>
          <w:b/>
          <w:bCs/>
          <w:sz w:val="21"/>
          <w:szCs w:val="21"/>
        </w:rPr>
        <w:t>、资产或股权收购、出售发生的关联交易</w:t>
      </w:r>
      <w:bookmarkEnd w:id="165"/>
    </w:p>
    <w:p w14:paraId="44ABD3C5">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BF8B2EE">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公司报告期未发生资产或股权收购、出售的关联交易。</w:t>
      </w:r>
    </w:p>
    <w:p w14:paraId="166ACCF5">
      <w:pPr>
        <w:pStyle w:val="3"/>
        <w:keepNext/>
        <w:keepLines/>
        <w:spacing w:before="300" w:after="300" w:line="280" w:lineRule="exact"/>
        <w:jc w:val="left"/>
        <w:outlineLvl w:val="2"/>
        <w:rPr>
          <w:rFonts w:ascii="宋体" w:hAnsi="宋体" w:eastAsia="宋体" w:cs="宋体"/>
          <w:b/>
          <w:bCs/>
          <w:sz w:val="21"/>
          <w:szCs w:val="21"/>
        </w:rPr>
      </w:pPr>
      <w:bookmarkStart w:id="166" w:name="_Toc988994"/>
      <w:r>
        <w:rPr>
          <w:rFonts w:hint="default" w:ascii="Times New Roman" w:hAnsi="Times New Roman" w:eastAsia="宋体" w:cs="Times New Roman"/>
          <w:b/>
          <w:bCs/>
          <w:sz w:val="21"/>
          <w:szCs w:val="21"/>
        </w:rPr>
        <w:t>3</w:t>
      </w:r>
      <w:r>
        <w:rPr>
          <w:rFonts w:ascii="宋体" w:hAnsi="宋体" w:eastAsia="宋体" w:cs="宋体"/>
          <w:b/>
          <w:bCs/>
          <w:sz w:val="21"/>
          <w:szCs w:val="21"/>
        </w:rPr>
        <w:t>、共同对外投资的关联交易</w:t>
      </w:r>
      <w:bookmarkEnd w:id="166"/>
    </w:p>
    <w:p w14:paraId="74F43245">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6C04B22">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公司报告期未发生共同对外投资的关联交易。</w:t>
      </w:r>
    </w:p>
    <w:p w14:paraId="21010337">
      <w:pPr>
        <w:pStyle w:val="3"/>
        <w:keepNext/>
        <w:keepLines/>
        <w:spacing w:before="300" w:after="300" w:line="280" w:lineRule="exact"/>
        <w:jc w:val="left"/>
        <w:outlineLvl w:val="2"/>
        <w:rPr>
          <w:rFonts w:ascii="宋体" w:hAnsi="宋体" w:eastAsia="宋体" w:cs="宋体"/>
          <w:b/>
          <w:bCs/>
          <w:sz w:val="21"/>
          <w:szCs w:val="21"/>
        </w:rPr>
      </w:pPr>
      <w:bookmarkStart w:id="167" w:name="_Toc988995"/>
      <w:r>
        <w:rPr>
          <w:rFonts w:hint="default" w:ascii="Times New Roman" w:hAnsi="Times New Roman" w:eastAsia="宋体" w:cs="Times New Roman"/>
          <w:b/>
          <w:bCs/>
          <w:sz w:val="21"/>
          <w:szCs w:val="21"/>
        </w:rPr>
        <w:t>4</w:t>
      </w:r>
      <w:r>
        <w:rPr>
          <w:rFonts w:ascii="宋体" w:hAnsi="宋体" w:eastAsia="宋体" w:cs="宋体"/>
          <w:b/>
          <w:bCs/>
          <w:sz w:val="21"/>
          <w:szCs w:val="21"/>
        </w:rPr>
        <w:t>、关联债权债务往来</w:t>
      </w:r>
      <w:bookmarkEnd w:id="167"/>
    </w:p>
    <w:p w14:paraId="60F3457B">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03F88E0">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公司报告期不存在关联债权债务往来。</w:t>
      </w:r>
    </w:p>
    <w:p w14:paraId="50C063DE">
      <w:pPr>
        <w:pStyle w:val="3"/>
        <w:keepNext/>
        <w:keepLines/>
        <w:spacing w:before="300" w:after="300" w:line="280" w:lineRule="exact"/>
        <w:jc w:val="left"/>
        <w:outlineLvl w:val="2"/>
        <w:rPr>
          <w:rFonts w:ascii="宋体" w:hAnsi="宋体" w:eastAsia="宋体" w:cs="宋体"/>
          <w:b/>
          <w:bCs/>
          <w:sz w:val="21"/>
          <w:szCs w:val="21"/>
        </w:rPr>
      </w:pPr>
      <w:bookmarkStart w:id="168" w:name="_Toc988996"/>
      <w:r>
        <w:rPr>
          <w:rFonts w:hint="default" w:ascii="Times New Roman" w:hAnsi="Times New Roman" w:eastAsia="宋体" w:cs="Times New Roman"/>
          <w:b/>
          <w:bCs/>
          <w:sz w:val="21"/>
          <w:szCs w:val="21"/>
        </w:rPr>
        <w:t>5</w:t>
      </w:r>
      <w:r>
        <w:rPr>
          <w:rFonts w:ascii="宋体" w:hAnsi="宋体" w:eastAsia="宋体" w:cs="宋体"/>
          <w:b/>
          <w:bCs/>
          <w:sz w:val="21"/>
          <w:szCs w:val="21"/>
        </w:rPr>
        <w:t>、与存在关联关系的财务公司的往来情况</w:t>
      </w:r>
      <w:bookmarkEnd w:id="168"/>
    </w:p>
    <w:p w14:paraId="39C413CA">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3E0089B">
      <w:pPr>
        <w:spacing w:before="40" w:after="40" w:line="240" w:lineRule="exact"/>
        <w:jc w:val="left"/>
        <w:rPr>
          <w:rFonts w:ascii="宋体" w:hAnsi="宋体" w:eastAsia="宋体" w:cs="宋体"/>
          <w:sz w:val="18"/>
          <w:szCs w:val="18"/>
        </w:rPr>
      </w:pPr>
      <w:r>
        <w:rPr>
          <w:rFonts w:ascii="宋体" w:hAnsi="宋体" w:eastAsia="宋体" w:cs="宋体"/>
          <w:sz w:val="18"/>
          <w:szCs w:val="18"/>
        </w:rPr>
        <w:t>公司与存在关联关系的财务公司与关联方之间不存在存款、贷款、授信或其他金融业务。</w:t>
      </w:r>
    </w:p>
    <w:p w14:paraId="1122D396">
      <w:pPr>
        <w:pStyle w:val="3"/>
        <w:keepNext/>
        <w:keepLines/>
        <w:spacing w:before="300" w:after="300" w:line="280" w:lineRule="exact"/>
        <w:jc w:val="left"/>
        <w:outlineLvl w:val="2"/>
        <w:rPr>
          <w:rFonts w:ascii="宋体" w:hAnsi="宋体" w:eastAsia="宋体" w:cs="宋体"/>
          <w:b/>
          <w:bCs/>
          <w:sz w:val="21"/>
          <w:szCs w:val="21"/>
        </w:rPr>
      </w:pPr>
      <w:bookmarkStart w:id="169" w:name="_Toc988997"/>
      <w:r>
        <w:rPr>
          <w:rFonts w:hint="default" w:ascii="Times New Roman" w:hAnsi="Times New Roman" w:eastAsia="宋体" w:cs="Times New Roman"/>
          <w:b/>
          <w:bCs/>
          <w:sz w:val="21"/>
          <w:szCs w:val="21"/>
        </w:rPr>
        <w:t>6</w:t>
      </w:r>
      <w:r>
        <w:rPr>
          <w:rFonts w:ascii="宋体" w:hAnsi="宋体" w:eastAsia="宋体" w:cs="宋体"/>
          <w:b/>
          <w:bCs/>
          <w:sz w:val="21"/>
          <w:szCs w:val="21"/>
        </w:rPr>
        <w:t>、公司控股的财务公司与关联方的往来情况</w:t>
      </w:r>
      <w:bookmarkEnd w:id="169"/>
    </w:p>
    <w:p w14:paraId="3FAF0A84">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7B16564">
      <w:pPr>
        <w:spacing w:before="40" w:after="40" w:line="0" w:lineRule="exact"/>
        <w:jc w:val="left"/>
      </w:pPr>
    </w:p>
    <w:p w14:paraId="4A32CE12">
      <w:pPr>
        <w:spacing w:before="40" w:after="40" w:line="240" w:lineRule="exact"/>
        <w:jc w:val="left"/>
        <w:rPr>
          <w:rFonts w:ascii="宋体" w:hAnsi="宋体" w:eastAsia="宋体" w:cs="宋体"/>
          <w:sz w:val="18"/>
          <w:szCs w:val="18"/>
        </w:rPr>
      </w:pPr>
      <w:r>
        <w:rPr>
          <w:rFonts w:ascii="宋体" w:hAnsi="宋体" w:eastAsia="宋体" w:cs="宋体"/>
          <w:sz w:val="18"/>
          <w:szCs w:val="18"/>
        </w:rPr>
        <w:t>公司控股的财务公司与关联方之间不存在存款、贷款、授信或其他金融业务。</w:t>
      </w:r>
    </w:p>
    <w:p w14:paraId="1780C811">
      <w:pPr>
        <w:pStyle w:val="3"/>
        <w:keepNext/>
        <w:keepLines/>
        <w:spacing w:before="300" w:after="300" w:line="280" w:lineRule="exact"/>
        <w:jc w:val="left"/>
        <w:outlineLvl w:val="2"/>
        <w:rPr>
          <w:rFonts w:ascii="宋体" w:hAnsi="宋体" w:eastAsia="宋体" w:cs="宋体"/>
          <w:b/>
          <w:bCs/>
          <w:sz w:val="21"/>
          <w:szCs w:val="21"/>
        </w:rPr>
      </w:pPr>
      <w:bookmarkStart w:id="170" w:name="_Toc988998"/>
      <w:r>
        <w:rPr>
          <w:rFonts w:hint="default" w:ascii="Times New Roman" w:hAnsi="Times New Roman" w:eastAsia="宋体" w:cs="Times New Roman"/>
          <w:b/>
          <w:bCs/>
          <w:sz w:val="21"/>
          <w:szCs w:val="21"/>
        </w:rPr>
        <w:t>7</w:t>
      </w:r>
      <w:r>
        <w:rPr>
          <w:rFonts w:ascii="宋体" w:hAnsi="宋体" w:eastAsia="宋体" w:cs="宋体"/>
          <w:b/>
          <w:bCs/>
          <w:sz w:val="21"/>
          <w:szCs w:val="21"/>
        </w:rPr>
        <w:t>、其他重大关联交易</w:t>
      </w:r>
      <w:bookmarkEnd w:id="170"/>
    </w:p>
    <w:p w14:paraId="34C82D56">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310589E">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公司报告期无其他重大关联交易。</w:t>
      </w:r>
    </w:p>
    <w:p w14:paraId="4E207946">
      <w:pPr>
        <w:pStyle w:val="2"/>
        <w:keepNext/>
        <w:keepLines/>
        <w:spacing w:before="300" w:after="300" w:line="320" w:lineRule="exact"/>
        <w:jc w:val="left"/>
        <w:outlineLvl w:val="1"/>
        <w:rPr>
          <w:rFonts w:ascii="宋体" w:hAnsi="宋体" w:eastAsia="宋体" w:cs="宋体"/>
          <w:b/>
          <w:bCs/>
          <w:sz w:val="24"/>
          <w:szCs w:val="24"/>
        </w:rPr>
      </w:pPr>
      <w:bookmarkStart w:id="171" w:name="_Toc26784"/>
      <w:bookmarkStart w:id="172" w:name="_Toc988999"/>
      <w:r>
        <w:rPr>
          <w:rFonts w:ascii="宋体" w:hAnsi="宋体" w:eastAsia="宋体" w:cs="宋体"/>
          <w:b/>
          <w:bCs/>
          <w:sz w:val="24"/>
          <w:szCs w:val="24"/>
        </w:rPr>
        <w:t>十五、重大合同及其履行情况</w:t>
      </w:r>
      <w:bookmarkEnd w:id="171"/>
      <w:bookmarkEnd w:id="172"/>
    </w:p>
    <w:p w14:paraId="1EF65CA3">
      <w:pPr>
        <w:pStyle w:val="3"/>
        <w:keepNext/>
        <w:keepLines/>
        <w:spacing w:before="300" w:after="300" w:line="280" w:lineRule="exact"/>
        <w:jc w:val="left"/>
        <w:outlineLvl w:val="2"/>
        <w:rPr>
          <w:rFonts w:ascii="宋体" w:hAnsi="宋体" w:eastAsia="宋体" w:cs="宋体"/>
          <w:b/>
          <w:bCs/>
          <w:sz w:val="21"/>
          <w:szCs w:val="21"/>
        </w:rPr>
      </w:pPr>
      <w:bookmarkStart w:id="173" w:name="_Toc989000"/>
      <w:r>
        <w:rPr>
          <w:rFonts w:hint="default" w:ascii="Times New Roman" w:hAnsi="Times New Roman" w:eastAsia="宋体" w:cs="Times New Roman"/>
          <w:b/>
          <w:bCs/>
          <w:sz w:val="21"/>
          <w:szCs w:val="21"/>
        </w:rPr>
        <w:t>1</w:t>
      </w:r>
      <w:r>
        <w:rPr>
          <w:rFonts w:ascii="宋体" w:hAnsi="宋体" w:eastAsia="宋体" w:cs="宋体"/>
          <w:b/>
          <w:bCs/>
          <w:sz w:val="21"/>
          <w:szCs w:val="21"/>
        </w:rPr>
        <w:t>、托管、承包、租赁事项情况</w:t>
      </w:r>
      <w:bookmarkEnd w:id="173"/>
    </w:p>
    <w:p w14:paraId="01F9CC24">
      <w:pPr>
        <w:keepNext/>
        <w:keepLines/>
        <w:spacing w:before="300" w:after="300" w:line="280" w:lineRule="exact"/>
        <w:jc w:val="left"/>
        <w:outlineLvl w:val="3"/>
        <w:rPr>
          <w:rFonts w:ascii="宋体" w:hAnsi="宋体" w:eastAsia="宋体" w:cs="宋体"/>
          <w:b/>
          <w:bCs/>
          <w:sz w:val="18"/>
          <w:szCs w:val="18"/>
        </w:rPr>
      </w:pPr>
      <w:bookmarkStart w:id="174" w:name="_Toc989001"/>
      <w:r>
        <w:rPr>
          <w:rFonts w:ascii="宋体" w:hAnsi="宋体" w:eastAsia="宋体" w:cs="宋体"/>
          <w:b/>
          <w:bCs/>
          <w:sz w:val="18"/>
          <w:szCs w:val="18"/>
        </w:rPr>
        <w:t>（</w:t>
      </w:r>
      <w:r>
        <w:rPr>
          <w:rFonts w:hint="default" w:ascii="Times New Roman" w:hAnsi="Times New Roman" w:eastAsia="宋体" w:cs="Times New Roman"/>
          <w:b/>
          <w:bCs/>
          <w:sz w:val="18"/>
          <w:szCs w:val="18"/>
        </w:rPr>
        <w:t>1</w:t>
      </w:r>
      <w:r>
        <w:rPr>
          <w:rFonts w:ascii="宋体" w:hAnsi="宋体" w:eastAsia="宋体" w:cs="宋体"/>
          <w:b/>
          <w:bCs/>
          <w:sz w:val="18"/>
          <w:szCs w:val="18"/>
        </w:rPr>
        <w:t>） 托管情况</w:t>
      </w:r>
      <w:bookmarkEnd w:id="174"/>
    </w:p>
    <w:p w14:paraId="1669FEBD">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30ADFDD">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公司报告期不存在托管情况。</w:t>
      </w:r>
    </w:p>
    <w:p w14:paraId="36FD8869">
      <w:pPr>
        <w:keepNext/>
        <w:keepLines/>
        <w:spacing w:before="300" w:after="300" w:line="280" w:lineRule="exact"/>
        <w:jc w:val="left"/>
        <w:outlineLvl w:val="3"/>
        <w:rPr>
          <w:rFonts w:ascii="宋体" w:hAnsi="宋体" w:eastAsia="宋体" w:cs="宋体"/>
          <w:b/>
          <w:bCs/>
          <w:sz w:val="18"/>
          <w:szCs w:val="18"/>
        </w:rPr>
      </w:pPr>
      <w:bookmarkStart w:id="175" w:name="_Toc989002"/>
      <w:r>
        <w:rPr>
          <w:rFonts w:ascii="宋体" w:hAnsi="宋体" w:eastAsia="宋体" w:cs="宋体"/>
          <w:b/>
          <w:bCs/>
          <w:sz w:val="18"/>
          <w:szCs w:val="18"/>
        </w:rPr>
        <w:t>（</w:t>
      </w:r>
      <w:r>
        <w:rPr>
          <w:rFonts w:hint="default" w:ascii="Times New Roman" w:hAnsi="Times New Roman" w:eastAsia="宋体" w:cs="Times New Roman"/>
          <w:b/>
          <w:bCs/>
          <w:sz w:val="18"/>
          <w:szCs w:val="18"/>
        </w:rPr>
        <w:t>2</w:t>
      </w:r>
      <w:r>
        <w:rPr>
          <w:rFonts w:ascii="宋体" w:hAnsi="宋体" w:eastAsia="宋体" w:cs="宋体"/>
          <w:b/>
          <w:bCs/>
          <w:sz w:val="18"/>
          <w:szCs w:val="18"/>
        </w:rPr>
        <w:t>） 承包情况</w:t>
      </w:r>
      <w:bookmarkEnd w:id="175"/>
    </w:p>
    <w:p w14:paraId="1DD0E60D">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C4222C6">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公司报告期不存在承包情况。</w:t>
      </w:r>
    </w:p>
    <w:p w14:paraId="121E65B0">
      <w:pPr>
        <w:keepNext/>
        <w:keepLines/>
        <w:spacing w:before="300" w:after="300" w:line="280" w:lineRule="exact"/>
        <w:jc w:val="left"/>
        <w:outlineLvl w:val="3"/>
        <w:rPr>
          <w:rFonts w:ascii="宋体" w:hAnsi="宋体" w:eastAsia="宋体" w:cs="宋体"/>
          <w:b/>
          <w:bCs/>
          <w:sz w:val="18"/>
          <w:szCs w:val="18"/>
        </w:rPr>
      </w:pPr>
      <w:bookmarkStart w:id="176" w:name="_Toc989003"/>
      <w:r>
        <w:rPr>
          <w:rFonts w:ascii="宋体" w:hAnsi="宋体" w:eastAsia="宋体" w:cs="宋体"/>
          <w:b/>
          <w:bCs/>
          <w:sz w:val="18"/>
          <w:szCs w:val="18"/>
        </w:rPr>
        <w:t>（</w:t>
      </w:r>
      <w:r>
        <w:rPr>
          <w:rFonts w:hint="default" w:ascii="Times New Roman" w:hAnsi="Times New Roman" w:eastAsia="宋体" w:cs="Times New Roman"/>
          <w:b/>
          <w:bCs/>
          <w:sz w:val="18"/>
          <w:szCs w:val="18"/>
        </w:rPr>
        <w:t>3</w:t>
      </w:r>
      <w:r>
        <w:rPr>
          <w:rFonts w:ascii="宋体" w:hAnsi="宋体" w:eastAsia="宋体" w:cs="宋体"/>
          <w:b/>
          <w:bCs/>
          <w:sz w:val="18"/>
          <w:szCs w:val="18"/>
        </w:rPr>
        <w:t>） 租赁情况</w:t>
      </w:r>
      <w:bookmarkEnd w:id="176"/>
    </w:p>
    <w:p w14:paraId="45380713">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EBF4F20">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公司报告期不存在租赁情况。</w:t>
      </w:r>
    </w:p>
    <w:p w14:paraId="2BA05058">
      <w:pPr>
        <w:pStyle w:val="3"/>
        <w:keepNext/>
        <w:keepLines/>
        <w:spacing w:before="300" w:after="300" w:line="280" w:lineRule="exact"/>
        <w:jc w:val="left"/>
        <w:outlineLvl w:val="2"/>
        <w:rPr>
          <w:rFonts w:ascii="宋体" w:hAnsi="宋体" w:eastAsia="宋体" w:cs="宋体"/>
          <w:b/>
          <w:bCs/>
          <w:sz w:val="21"/>
          <w:szCs w:val="21"/>
        </w:rPr>
      </w:pPr>
      <w:bookmarkStart w:id="177" w:name="_Toc989004"/>
      <w:r>
        <w:rPr>
          <w:rFonts w:hint="default" w:ascii="Times New Roman" w:hAnsi="Times New Roman" w:eastAsia="宋体" w:cs="Times New Roman"/>
          <w:b/>
          <w:bCs/>
          <w:sz w:val="21"/>
          <w:szCs w:val="21"/>
        </w:rPr>
        <w:t>2</w:t>
      </w:r>
      <w:r>
        <w:rPr>
          <w:rFonts w:ascii="宋体" w:hAnsi="宋体" w:eastAsia="宋体" w:cs="宋体"/>
          <w:b/>
          <w:bCs/>
          <w:sz w:val="21"/>
          <w:szCs w:val="21"/>
        </w:rPr>
        <w:t>、重大担保</w:t>
      </w:r>
      <w:bookmarkEnd w:id="177"/>
    </w:p>
    <w:p w14:paraId="27E5DF09">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5DA3471A">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7"/>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987"/>
        <w:gridCol w:w="765"/>
        <w:gridCol w:w="960"/>
        <w:gridCol w:w="875"/>
        <w:gridCol w:w="793"/>
      </w:tblGrid>
      <w:tr w14:paraId="5DEAC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1DACDBA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公司及其子公司对外担保情况（不包括对子公司的担保）</w:t>
            </w:r>
          </w:p>
        </w:tc>
      </w:tr>
      <w:tr w14:paraId="04615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A62485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96A301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CA7993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AD0271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257C4B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7D5072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担保类型</w:t>
            </w:r>
          </w:p>
        </w:tc>
        <w:tc>
          <w:tcPr>
            <w:tcW w:w="987" w:type="dxa"/>
            <w:tcBorders>
              <w:top w:val="single" w:color="auto" w:sz="2" w:space="0"/>
              <w:left w:val="single" w:color="auto" w:sz="2" w:space="0"/>
              <w:bottom w:val="single" w:color="auto" w:sz="2" w:space="0"/>
              <w:right w:val="single" w:color="auto" w:sz="2" w:space="0"/>
            </w:tcBorders>
            <w:shd w:val="clear" w:color="auto" w:fill="D3D3D3"/>
            <w:vAlign w:val="center"/>
          </w:tcPr>
          <w:p w14:paraId="758DECF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担保物（如有）</w:t>
            </w:r>
          </w:p>
        </w:tc>
        <w:tc>
          <w:tcPr>
            <w:tcW w:w="765" w:type="dxa"/>
            <w:tcBorders>
              <w:top w:val="single" w:color="auto" w:sz="2" w:space="0"/>
              <w:left w:val="single" w:color="auto" w:sz="2" w:space="0"/>
              <w:bottom w:val="single" w:color="auto" w:sz="2" w:space="0"/>
              <w:right w:val="single" w:color="auto" w:sz="2" w:space="0"/>
            </w:tcBorders>
            <w:shd w:val="clear" w:color="auto" w:fill="D3D3D3"/>
            <w:vAlign w:val="center"/>
          </w:tcPr>
          <w:p w14:paraId="12B9768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反担保情况（如有）</w:t>
            </w:r>
          </w:p>
        </w:tc>
        <w:tc>
          <w:tcPr>
            <w:tcW w:w="960" w:type="dxa"/>
            <w:tcBorders>
              <w:top w:val="single" w:color="auto" w:sz="2" w:space="0"/>
              <w:left w:val="single" w:color="auto" w:sz="2" w:space="0"/>
              <w:bottom w:val="single" w:color="auto" w:sz="2" w:space="0"/>
              <w:right w:val="single" w:color="auto" w:sz="2" w:space="0"/>
            </w:tcBorders>
            <w:shd w:val="clear" w:color="auto" w:fill="D3D3D3"/>
            <w:vAlign w:val="center"/>
          </w:tcPr>
          <w:p w14:paraId="7500240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担保期</w:t>
            </w:r>
          </w:p>
        </w:tc>
        <w:tc>
          <w:tcPr>
            <w:tcW w:w="875" w:type="dxa"/>
            <w:tcBorders>
              <w:top w:val="single" w:color="auto" w:sz="2" w:space="0"/>
              <w:left w:val="single" w:color="auto" w:sz="2" w:space="0"/>
              <w:bottom w:val="single" w:color="auto" w:sz="2" w:space="0"/>
              <w:right w:val="single" w:color="auto" w:sz="2" w:space="0"/>
            </w:tcBorders>
            <w:shd w:val="clear" w:color="auto" w:fill="D3D3D3"/>
            <w:vAlign w:val="center"/>
          </w:tcPr>
          <w:p w14:paraId="7794A93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是否履行完毕</w:t>
            </w:r>
          </w:p>
        </w:tc>
        <w:tc>
          <w:tcPr>
            <w:tcW w:w="793" w:type="dxa"/>
            <w:tcBorders>
              <w:top w:val="single" w:color="auto" w:sz="2" w:space="0"/>
              <w:left w:val="single" w:color="auto" w:sz="2" w:space="0"/>
              <w:bottom w:val="single" w:color="auto" w:sz="2" w:space="0"/>
              <w:right w:val="single" w:color="auto" w:sz="2" w:space="0"/>
            </w:tcBorders>
            <w:shd w:val="clear" w:color="auto" w:fill="D3D3D3"/>
            <w:vAlign w:val="center"/>
          </w:tcPr>
          <w:p w14:paraId="4B75D2C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是否为关联方担保</w:t>
            </w:r>
          </w:p>
        </w:tc>
      </w:tr>
      <w:tr w14:paraId="61B2C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vAlign w:val="center"/>
          </w:tcPr>
          <w:p w14:paraId="23CC480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r>
      <w:tr w14:paraId="1A545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71A85EA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公司对子公司的担保情况</w:t>
            </w:r>
          </w:p>
        </w:tc>
      </w:tr>
      <w:tr w14:paraId="505C0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582E34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BDA76C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955187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373021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14BAD0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DC8D3F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担保类型</w:t>
            </w:r>
          </w:p>
        </w:tc>
        <w:tc>
          <w:tcPr>
            <w:tcW w:w="987" w:type="dxa"/>
            <w:tcBorders>
              <w:top w:val="single" w:color="auto" w:sz="2" w:space="0"/>
              <w:left w:val="single" w:color="auto" w:sz="2" w:space="0"/>
              <w:bottom w:val="single" w:color="auto" w:sz="2" w:space="0"/>
              <w:right w:val="single" w:color="auto" w:sz="2" w:space="0"/>
            </w:tcBorders>
            <w:shd w:val="clear" w:color="auto" w:fill="D3D3D3"/>
            <w:vAlign w:val="center"/>
          </w:tcPr>
          <w:p w14:paraId="11BC306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担保物（如有）</w:t>
            </w:r>
          </w:p>
        </w:tc>
        <w:tc>
          <w:tcPr>
            <w:tcW w:w="765" w:type="dxa"/>
            <w:tcBorders>
              <w:top w:val="single" w:color="auto" w:sz="2" w:space="0"/>
              <w:left w:val="single" w:color="auto" w:sz="2" w:space="0"/>
              <w:bottom w:val="single" w:color="auto" w:sz="2" w:space="0"/>
              <w:right w:val="single" w:color="auto" w:sz="2" w:space="0"/>
            </w:tcBorders>
            <w:shd w:val="clear" w:color="auto" w:fill="D3D3D3"/>
            <w:vAlign w:val="center"/>
          </w:tcPr>
          <w:p w14:paraId="07E8F75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反担保情况（如有）</w:t>
            </w:r>
          </w:p>
        </w:tc>
        <w:tc>
          <w:tcPr>
            <w:tcW w:w="960" w:type="dxa"/>
            <w:tcBorders>
              <w:top w:val="single" w:color="auto" w:sz="2" w:space="0"/>
              <w:left w:val="single" w:color="auto" w:sz="2" w:space="0"/>
              <w:bottom w:val="single" w:color="auto" w:sz="2" w:space="0"/>
              <w:right w:val="single" w:color="auto" w:sz="2" w:space="0"/>
            </w:tcBorders>
            <w:shd w:val="clear" w:color="auto" w:fill="D3D3D3"/>
            <w:vAlign w:val="center"/>
          </w:tcPr>
          <w:p w14:paraId="2072B6C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担保期</w:t>
            </w:r>
          </w:p>
        </w:tc>
        <w:tc>
          <w:tcPr>
            <w:tcW w:w="875" w:type="dxa"/>
            <w:tcBorders>
              <w:top w:val="single" w:color="auto" w:sz="2" w:space="0"/>
              <w:left w:val="single" w:color="auto" w:sz="2" w:space="0"/>
              <w:bottom w:val="single" w:color="auto" w:sz="2" w:space="0"/>
              <w:right w:val="single" w:color="auto" w:sz="2" w:space="0"/>
            </w:tcBorders>
            <w:shd w:val="clear" w:color="auto" w:fill="D3D3D3"/>
            <w:vAlign w:val="center"/>
          </w:tcPr>
          <w:p w14:paraId="15437A2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是否履行完毕</w:t>
            </w:r>
          </w:p>
        </w:tc>
        <w:tc>
          <w:tcPr>
            <w:tcW w:w="793" w:type="dxa"/>
            <w:tcBorders>
              <w:top w:val="single" w:color="auto" w:sz="2" w:space="0"/>
              <w:left w:val="single" w:color="auto" w:sz="2" w:space="0"/>
              <w:bottom w:val="single" w:color="auto" w:sz="2" w:space="0"/>
              <w:right w:val="single" w:color="auto" w:sz="2" w:space="0"/>
            </w:tcBorders>
            <w:shd w:val="clear" w:color="auto" w:fill="D3D3D3"/>
            <w:vAlign w:val="center"/>
          </w:tcPr>
          <w:p w14:paraId="70D8E1D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是否为关联方担保</w:t>
            </w:r>
          </w:p>
        </w:tc>
      </w:tr>
      <w:tr w14:paraId="11730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23E06DC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广东天昊药业有限公司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2777462D">
            <w:pPr>
              <w:spacing w:before="0" w:after="0" w:line="240" w:lineRule="exact"/>
              <w:jc w:val="left"/>
              <w:rPr>
                <w:rFonts w:hint="default"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72E0205">
            <w:pPr>
              <w:spacing w:before="0" w:after="0" w:line="240" w:lineRule="exact"/>
              <w:jc w:val="right"/>
              <w:rPr>
                <w:rFonts w:hint="default"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38FB26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2023年06月26日</w:t>
            </w:r>
          </w:p>
        </w:tc>
        <w:tc>
          <w:tcPr>
            <w:tcW w:w="876" w:type="dxa"/>
            <w:tcBorders>
              <w:top w:val="single" w:color="auto" w:sz="2" w:space="0"/>
              <w:left w:val="single" w:color="auto" w:sz="2" w:space="0"/>
              <w:bottom w:val="single" w:color="auto" w:sz="2" w:space="0"/>
              <w:right w:val="single" w:color="auto" w:sz="2" w:space="0"/>
            </w:tcBorders>
            <w:vAlign w:val="center"/>
          </w:tcPr>
          <w:p w14:paraId="14C947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18,000</w:t>
            </w:r>
          </w:p>
        </w:tc>
        <w:tc>
          <w:tcPr>
            <w:tcW w:w="876" w:type="dxa"/>
            <w:tcBorders>
              <w:top w:val="single" w:color="auto" w:sz="2" w:space="0"/>
              <w:left w:val="single" w:color="auto" w:sz="2" w:space="0"/>
              <w:bottom w:val="single" w:color="auto" w:sz="2" w:space="0"/>
              <w:right w:val="single" w:color="auto" w:sz="2" w:space="0"/>
            </w:tcBorders>
            <w:vAlign w:val="center"/>
          </w:tcPr>
          <w:p w14:paraId="40A5D98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质押、连带责任保证</w:t>
            </w:r>
          </w:p>
        </w:tc>
        <w:tc>
          <w:tcPr>
            <w:tcW w:w="987" w:type="dxa"/>
            <w:tcBorders>
              <w:top w:val="single" w:color="auto" w:sz="2" w:space="0"/>
              <w:left w:val="single" w:color="auto" w:sz="2" w:space="0"/>
              <w:bottom w:val="single" w:color="auto" w:sz="2" w:space="0"/>
              <w:right w:val="single" w:color="auto" w:sz="2" w:space="0"/>
            </w:tcBorders>
            <w:vAlign w:val="center"/>
          </w:tcPr>
          <w:p w14:paraId="596FE0A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连带责任保证担保；公司持有的天昊药业100%股权质押担保、公司持有的中昊药业53.0256%股权质押担保。</w:t>
            </w:r>
          </w:p>
        </w:tc>
        <w:tc>
          <w:tcPr>
            <w:tcW w:w="765" w:type="dxa"/>
            <w:tcBorders>
              <w:top w:val="single" w:color="auto" w:sz="2" w:space="0"/>
              <w:left w:val="single" w:color="auto" w:sz="2" w:space="0"/>
              <w:bottom w:val="single" w:color="auto" w:sz="2" w:space="0"/>
              <w:right w:val="single" w:color="auto" w:sz="2" w:space="0"/>
            </w:tcBorders>
            <w:vAlign w:val="center"/>
          </w:tcPr>
          <w:p w14:paraId="58A7ACD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w:t>
            </w:r>
          </w:p>
        </w:tc>
        <w:tc>
          <w:tcPr>
            <w:tcW w:w="960" w:type="dxa"/>
            <w:tcBorders>
              <w:top w:val="single" w:color="auto" w:sz="2" w:space="0"/>
              <w:left w:val="single" w:color="auto" w:sz="2" w:space="0"/>
              <w:bottom w:val="single" w:color="auto" w:sz="2" w:space="0"/>
              <w:right w:val="single" w:color="auto" w:sz="2" w:space="0"/>
            </w:tcBorders>
            <w:vAlign w:val="center"/>
          </w:tcPr>
          <w:p w14:paraId="72C87F9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债务履行期限届满之日起三年</w:t>
            </w:r>
          </w:p>
        </w:tc>
        <w:tc>
          <w:tcPr>
            <w:tcW w:w="875" w:type="dxa"/>
            <w:tcBorders>
              <w:top w:val="single" w:color="auto" w:sz="2" w:space="0"/>
              <w:left w:val="single" w:color="auto" w:sz="2" w:space="0"/>
              <w:bottom w:val="single" w:color="auto" w:sz="2" w:space="0"/>
              <w:right w:val="single" w:color="auto" w:sz="2" w:space="0"/>
            </w:tcBorders>
            <w:vAlign w:val="center"/>
          </w:tcPr>
          <w:p w14:paraId="0D664BB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c>
          <w:tcPr>
            <w:tcW w:w="793" w:type="dxa"/>
            <w:tcBorders>
              <w:top w:val="single" w:color="auto" w:sz="2" w:space="0"/>
              <w:left w:val="single" w:color="auto" w:sz="2" w:space="0"/>
              <w:bottom w:val="single" w:color="auto" w:sz="2" w:space="0"/>
              <w:right w:val="single" w:color="auto" w:sz="2" w:space="0"/>
            </w:tcBorders>
            <w:vAlign w:val="center"/>
          </w:tcPr>
          <w:p w14:paraId="3FB7FB3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w:t>
            </w:r>
          </w:p>
        </w:tc>
      </w:tr>
      <w:tr w14:paraId="513CA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1E3BA9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报告期内审批对子公司担保额度合计（B1）</w:t>
            </w:r>
          </w:p>
        </w:tc>
        <w:tc>
          <w:tcPr>
            <w:tcW w:w="1752" w:type="dxa"/>
            <w:gridSpan w:val="2"/>
            <w:tcBorders>
              <w:top w:val="single" w:color="auto" w:sz="2" w:space="0"/>
              <w:left w:val="single" w:color="auto" w:sz="2" w:space="0"/>
              <w:bottom w:val="single" w:color="auto" w:sz="2" w:space="0"/>
              <w:right w:val="single" w:color="auto" w:sz="2" w:space="0"/>
            </w:tcBorders>
            <w:vAlign w:val="center"/>
          </w:tcPr>
          <w:p w14:paraId="067AD9A1">
            <w:pPr>
              <w:spacing w:before="0" w:after="0" w:line="240" w:lineRule="exact"/>
              <w:jc w:val="right"/>
              <w:rPr>
                <w:rFonts w:hint="default" w:ascii="Times New Roman" w:hAnsi="Times New Roman" w:eastAsia="宋体" w:cs="Times New Roman"/>
                <w:sz w:val="18"/>
                <w:szCs w:val="18"/>
              </w:rPr>
            </w:pP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5E7CCD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报告期内对子公司担保实际发生额合计（B2）</w:t>
            </w:r>
          </w:p>
        </w:tc>
        <w:tc>
          <w:tcPr>
            <w:tcW w:w="4380" w:type="dxa"/>
            <w:gridSpan w:val="5"/>
            <w:tcBorders>
              <w:top w:val="single" w:color="auto" w:sz="2" w:space="0"/>
              <w:left w:val="single" w:color="auto" w:sz="2" w:space="0"/>
              <w:bottom w:val="single" w:color="auto" w:sz="2" w:space="0"/>
              <w:right w:val="single" w:color="auto" w:sz="2" w:space="0"/>
            </w:tcBorders>
            <w:vAlign w:val="center"/>
          </w:tcPr>
          <w:p w14:paraId="1F8050D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18,000</w:t>
            </w:r>
          </w:p>
        </w:tc>
      </w:tr>
      <w:tr w14:paraId="2FAB4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68A5B8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报告期末已审批的对子公司担保额度合计（B3）</w:t>
            </w:r>
          </w:p>
        </w:tc>
        <w:tc>
          <w:tcPr>
            <w:tcW w:w="1752" w:type="dxa"/>
            <w:gridSpan w:val="2"/>
            <w:tcBorders>
              <w:top w:val="single" w:color="auto" w:sz="2" w:space="0"/>
              <w:left w:val="single" w:color="auto" w:sz="2" w:space="0"/>
              <w:bottom w:val="single" w:color="auto" w:sz="2" w:space="0"/>
              <w:right w:val="single" w:color="auto" w:sz="2" w:space="0"/>
            </w:tcBorders>
            <w:vAlign w:val="center"/>
          </w:tcPr>
          <w:p w14:paraId="0B4B574E">
            <w:pPr>
              <w:spacing w:before="0" w:after="0" w:line="240" w:lineRule="exact"/>
              <w:jc w:val="right"/>
              <w:rPr>
                <w:rFonts w:hint="default" w:ascii="Times New Roman" w:hAnsi="Times New Roman" w:eastAsia="宋体" w:cs="Times New Roman"/>
                <w:sz w:val="18"/>
                <w:szCs w:val="18"/>
              </w:rPr>
            </w:pP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81AF16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报告期末对子公司实际担保余额合计（B4）</w:t>
            </w:r>
          </w:p>
        </w:tc>
        <w:tc>
          <w:tcPr>
            <w:tcW w:w="4380" w:type="dxa"/>
            <w:gridSpan w:val="5"/>
            <w:tcBorders>
              <w:top w:val="single" w:color="auto" w:sz="2" w:space="0"/>
              <w:left w:val="single" w:color="auto" w:sz="2" w:space="0"/>
              <w:bottom w:val="single" w:color="auto" w:sz="2" w:space="0"/>
              <w:right w:val="single" w:color="auto" w:sz="2" w:space="0"/>
            </w:tcBorders>
            <w:vAlign w:val="center"/>
          </w:tcPr>
          <w:p w14:paraId="31DB3D2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18,000</w:t>
            </w:r>
          </w:p>
        </w:tc>
      </w:tr>
      <w:tr w14:paraId="69322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5687153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子公司对子公司的担保情况</w:t>
            </w:r>
          </w:p>
        </w:tc>
      </w:tr>
      <w:tr w14:paraId="6EF07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1EC3B0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0E4E71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21E7D7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6F8A65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33705C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DD2902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担保类型</w:t>
            </w:r>
          </w:p>
        </w:tc>
        <w:tc>
          <w:tcPr>
            <w:tcW w:w="987" w:type="dxa"/>
            <w:tcBorders>
              <w:top w:val="single" w:color="auto" w:sz="2" w:space="0"/>
              <w:left w:val="single" w:color="auto" w:sz="2" w:space="0"/>
              <w:bottom w:val="single" w:color="auto" w:sz="2" w:space="0"/>
              <w:right w:val="single" w:color="auto" w:sz="2" w:space="0"/>
            </w:tcBorders>
            <w:shd w:val="clear" w:color="auto" w:fill="D3D3D3"/>
            <w:vAlign w:val="center"/>
          </w:tcPr>
          <w:p w14:paraId="66AF246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担保物（如有）</w:t>
            </w:r>
          </w:p>
        </w:tc>
        <w:tc>
          <w:tcPr>
            <w:tcW w:w="765" w:type="dxa"/>
            <w:tcBorders>
              <w:top w:val="single" w:color="auto" w:sz="2" w:space="0"/>
              <w:left w:val="single" w:color="auto" w:sz="2" w:space="0"/>
              <w:bottom w:val="single" w:color="auto" w:sz="2" w:space="0"/>
              <w:right w:val="single" w:color="auto" w:sz="2" w:space="0"/>
            </w:tcBorders>
            <w:shd w:val="clear" w:color="auto" w:fill="D3D3D3"/>
            <w:vAlign w:val="center"/>
          </w:tcPr>
          <w:p w14:paraId="392F0C9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反担保情况（如有）</w:t>
            </w:r>
          </w:p>
        </w:tc>
        <w:tc>
          <w:tcPr>
            <w:tcW w:w="960" w:type="dxa"/>
            <w:tcBorders>
              <w:top w:val="single" w:color="auto" w:sz="2" w:space="0"/>
              <w:left w:val="single" w:color="auto" w:sz="2" w:space="0"/>
              <w:bottom w:val="single" w:color="auto" w:sz="2" w:space="0"/>
              <w:right w:val="single" w:color="auto" w:sz="2" w:space="0"/>
            </w:tcBorders>
            <w:shd w:val="clear" w:color="auto" w:fill="D3D3D3"/>
            <w:vAlign w:val="center"/>
          </w:tcPr>
          <w:p w14:paraId="4717170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担保期</w:t>
            </w:r>
          </w:p>
        </w:tc>
        <w:tc>
          <w:tcPr>
            <w:tcW w:w="875" w:type="dxa"/>
            <w:tcBorders>
              <w:top w:val="single" w:color="auto" w:sz="2" w:space="0"/>
              <w:left w:val="single" w:color="auto" w:sz="2" w:space="0"/>
              <w:bottom w:val="single" w:color="auto" w:sz="2" w:space="0"/>
              <w:right w:val="single" w:color="auto" w:sz="2" w:space="0"/>
            </w:tcBorders>
            <w:shd w:val="clear" w:color="auto" w:fill="D3D3D3"/>
            <w:vAlign w:val="center"/>
          </w:tcPr>
          <w:p w14:paraId="18937F0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是否履行完毕</w:t>
            </w:r>
          </w:p>
        </w:tc>
        <w:tc>
          <w:tcPr>
            <w:tcW w:w="793" w:type="dxa"/>
            <w:tcBorders>
              <w:top w:val="single" w:color="auto" w:sz="2" w:space="0"/>
              <w:left w:val="single" w:color="auto" w:sz="2" w:space="0"/>
              <w:bottom w:val="single" w:color="auto" w:sz="2" w:space="0"/>
              <w:right w:val="single" w:color="auto" w:sz="2" w:space="0"/>
            </w:tcBorders>
            <w:shd w:val="clear" w:color="auto" w:fill="D3D3D3"/>
            <w:vAlign w:val="center"/>
          </w:tcPr>
          <w:p w14:paraId="271895F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是否为关联方担保</w:t>
            </w:r>
          </w:p>
        </w:tc>
      </w:tr>
      <w:tr w14:paraId="52AFA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21ABBFD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公司担保总额（即前三大项的合计）</w:t>
            </w:r>
          </w:p>
        </w:tc>
      </w:tr>
      <w:tr w14:paraId="367B2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6D8C82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报告期内审批担保额度合计（A1+B1+C1）</w:t>
            </w:r>
          </w:p>
        </w:tc>
        <w:tc>
          <w:tcPr>
            <w:tcW w:w="1752" w:type="dxa"/>
            <w:gridSpan w:val="2"/>
            <w:tcBorders>
              <w:top w:val="single" w:color="auto" w:sz="2" w:space="0"/>
              <w:left w:val="single" w:color="auto" w:sz="2" w:space="0"/>
              <w:bottom w:val="single" w:color="auto" w:sz="2" w:space="0"/>
              <w:right w:val="single" w:color="auto" w:sz="2" w:space="0"/>
            </w:tcBorders>
            <w:vAlign w:val="center"/>
          </w:tcPr>
          <w:p w14:paraId="09AB5E8D">
            <w:pPr>
              <w:spacing w:before="0" w:after="0" w:line="240" w:lineRule="exact"/>
              <w:jc w:val="right"/>
              <w:rPr>
                <w:rFonts w:hint="default" w:ascii="Times New Roman" w:hAnsi="Times New Roman" w:eastAsia="宋体" w:cs="Times New Roman"/>
                <w:sz w:val="18"/>
                <w:szCs w:val="18"/>
              </w:rPr>
            </w:pP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88AAED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报告期内担保实际发生额合计（A2+B2+C2）</w:t>
            </w:r>
          </w:p>
        </w:tc>
        <w:tc>
          <w:tcPr>
            <w:tcW w:w="4380" w:type="dxa"/>
            <w:gridSpan w:val="5"/>
            <w:tcBorders>
              <w:top w:val="single" w:color="auto" w:sz="2" w:space="0"/>
              <w:left w:val="single" w:color="auto" w:sz="2" w:space="0"/>
              <w:bottom w:val="single" w:color="auto" w:sz="2" w:space="0"/>
              <w:right w:val="single" w:color="auto" w:sz="2" w:space="0"/>
            </w:tcBorders>
            <w:vAlign w:val="center"/>
          </w:tcPr>
          <w:p w14:paraId="24C0591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18,000</w:t>
            </w:r>
          </w:p>
        </w:tc>
      </w:tr>
      <w:tr w14:paraId="2A54A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504E21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报告期末已审批的担保额度合计（A3+B3+C3）</w:t>
            </w:r>
          </w:p>
        </w:tc>
        <w:tc>
          <w:tcPr>
            <w:tcW w:w="1752" w:type="dxa"/>
            <w:gridSpan w:val="2"/>
            <w:tcBorders>
              <w:top w:val="single" w:color="auto" w:sz="2" w:space="0"/>
              <w:left w:val="single" w:color="auto" w:sz="2" w:space="0"/>
              <w:bottom w:val="single" w:color="auto" w:sz="2" w:space="0"/>
              <w:right w:val="single" w:color="auto" w:sz="2" w:space="0"/>
            </w:tcBorders>
            <w:vAlign w:val="center"/>
          </w:tcPr>
          <w:p w14:paraId="052C0C09">
            <w:pPr>
              <w:spacing w:before="0" w:after="0" w:line="240" w:lineRule="exact"/>
              <w:jc w:val="right"/>
              <w:rPr>
                <w:rFonts w:hint="default" w:ascii="Times New Roman" w:hAnsi="Times New Roman" w:eastAsia="宋体" w:cs="Times New Roman"/>
                <w:sz w:val="18"/>
                <w:szCs w:val="18"/>
              </w:rPr>
            </w:pP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62EAAE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报告期末实际担保余额合计（A4+B4+C4）</w:t>
            </w:r>
          </w:p>
        </w:tc>
        <w:tc>
          <w:tcPr>
            <w:tcW w:w="4380" w:type="dxa"/>
            <w:gridSpan w:val="5"/>
            <w:tcBorders>
              <w:top w:val="single" w:color="auto" w:sz="2" w:space="0"/>
              <w:left w:val="single" w:color="auto" w:sz="2" w:space="0"/>
              <w:bottom w:val="single" w:color="auto" w:sz="2" w:space="0"/>
              <w:right w:val="single" w:color="auto" w:sz="2" w:space="0"/>
            </w:tcBorders>
            <w:vAlign w:val="center"/>
          </w:tcPr>
          <w:p w14:paraId="2CD4E67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18,000</w:t>
            </w:r>
          </w:p>
        </w:tc>
      </w:tr>
      <w:tr w14:paraId="648C7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68B344B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全部担保余额（即A4+B4+C4）占公司净资产的比例</w:t>
            </w:r>
          </w:p>
        </w:tc>
        <w:tc>
          <w:tcPr>
            <w:tcW w:w="6132" w:type="dxa"/>
            <w:gridSpan w:val="7"/>
            <w:tcBorders>
              <w:top w:val="single" w:color="auto" w:sz="2" w:space="0"/>
              <w:left w:val="single" w:color="auto" w:sz="2" w:space="0"/>
              <w:bottom w:val="single" w:color="auto" w:sz="2" w:space="0"/>
              <w:right w:val="single" w:color="auto" w:sz="2" w:space="0"/>
            </w:tcBorders>
            <w:vAlign w:val="center"/>
          </w:tcPr>
          <w:p w14:paraId="7DCC1A1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31.58%</w:t>
            </w:r>
          </w:p>
        </w:tc>
      </w:tr>
      <w:tr w14:paraId="69DF1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7158DAE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w:t>
            </w:r>
          </w:p>
        </w:tc>
      </w:tr>
      <w:tr w14:paraId="1E348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2D7C56F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直接或间接为资产负债率超过70%的被担保对象提供的债务担保余额（E）</w:t>
            </w:r>
          </w:p>
        </w:tc>
        <w:tc>
          <w:tcPr>
            <w:tcW w:w="6132" w:type="dxa"/>
            <w:gridSpan w:val="7"/>
            <w:tcBorders>
              <w:top w:val="single" w:color="auto" w:sz="2" w:space="0"/>
              <w:left w:val="single" w:color="auto" w:sz="2" w:space="0"/>
              <w:bottom w:val="single" w:color="auto" w:sz="2" w:space="0"/>
              <w:right w:val="single" w:color="auto" w:sz="2" w:space="0"/>
            </w:tcBorders>
            <w:vAlign w:val="center"/>
          </w:tcPr>
          <w:p w14:paraId="409A2E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14:paraId="45B07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204FF17B">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担保总额超过净资产50%部分的金额（F）</w:t>
            </w:r>
          </w:p>
        </w:tc>
        <w:tc>
          <w:tcPr>
            <w:tcW w:w="6132" w:type="dxa"/>
            <w:gridSpan w:val="7"/>
            <w:tcBorders>
              <w:top w:val="single" w:color="auto" w:sz="2" w:space="0"/>
              <w:left w:val="single" w:color="auto" w:sz="2" w:space="0"/>
              <w:bottom w:val="single" w:color="auto" w:sz="2" w:space="0"/>
              <w:right w:val="single" w:color="auto" w:sz="2" w:space="0"/>
            </w:tcBorders>
            <w:vAlign w:val="center"/>
          </w:tcPr>
          <w:p w14:paraId="1C9963C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14:paraId="64CE2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6BC42CF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上述三项担保金额合计（D+E+F）</w:t>
            </w:r>
          </w:p>
        </w:tc>
        <w:tc>
          <w:tcPr>
            <w:tcW w:w="6132" w:type="dxa"/>
            <w:gridSpan w:val="7"/>
            <w:tcBorders>
              <w:top w:val="single" w:color="auto" w:sz="2" w:space="0"/>
              <w:left w:val="single" w:color="auto" w:sz="2" w:space="0"/>
              <w:bottom w:val="single" w:color="auto" w:sz="2" w:space="0"/>
              <w:right w:val="single" w:color="auto" w:sz="2" w:space="0"/>
            </w:tcBorders>
            <w:vAlign w:val="center"/>
          </w:tcPr>
          <w:p w14:paraId="2DBE0A3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14:paraId="70455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18C1628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对未到期担保合同，报告期内发生担保责任或有证据表明有可能承担连带清偿责任的情况说明（如有）</w:t>
            </w:r>
          </w:p>
        </w:tc>
        <w:tc>
          <w:tcPr>
            <w:tcW w:w="6132" w:type="dxa"/>
            <w:gridSpan w:val="7"/>
            <w:tcBorders>
              <w:top w:val="single" w:color="auto" w:sz="2" w:space="0"/>
              <w:left w:val="single" w:color="auto" w:sz="2" w:space="0"/>
              <w:bottom w:val="single" w:color="auto" w:sz="2" w:space="0"/>
              <w:right w:val="single" w:color="auto" w:sz="2" w:space="0"/>
            </w:tcBorders>
            <w:vAlign w:val="center"/>
          </w:tcPr>
          <w:p w14:paraId="03E51A9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w:t>
            </w:r>
          </w:p>
        </w:tc>
      </w:tr>
      <w:tr w14:paraId="601AE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7E200D2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违反规定程序对外提供担保的说明（如有）</w:t>
            </w:r>
          </w:p>
        </w:tc>
        <w:tc>
          <w:tcPr>
            <w:tcW w:w="6132" w:type="dxa"/>
            <w:gridSpan w:val="7"/>
            <w:tcBorders>
              <w:top w:val="single" w:color="auto" w:sz="2" w:space="0"/>
              <w:left w:val="single" w:color="auto" w:sz="2" w:space="0"/>
              <w:bottom w:val="single" w:color="auto" w:sz="2" w:space="0"/>
              <w:right w:val="single" w:color="auto" w:sz="2" w:space="0"/>
            </w:tcBorders>
            <w:vAlign w:val="center"/>
          </w:tcPr>
          <w:p w14:paraId="0752155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w:t>
            </w:r>
          </w:p>
        </w:tc>
      </w:tr>
    </w:tbl>
    <w:p w14:paraId="5880EC1B">
      <w:pPr>
        <w:spacing w:before="100" w:after="100" w:line="240" w:lineRule="exact"/>
        <w:jc w:val="left"/>
        <w:rPr>
          <w:rFonts w:ascii="宋体" w:hAnsi="宋体" w:eastAsia="宋体" w:cs="宋体"/>
          <w:sz w:val="18"/>
          <w:szCs w:val="18"/>
        </w:rPr>
      </w:pPr>
      <w:r>
        <w:rPr>
          <w:rFonts w:ascii="宋体" w:hAnsi="宋体" w:eastAsia="宋体" w:cs="宋体"/>
          <w:sz w:val="18"/>
          <w:szCs w:val="18"/>
        </w:rPr>
        <w:t>采用复合方式担保的具体情况说明</w:t>
      </w:r>
    </w:p>
    <w:p w14:paraId="3F115D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cs="Times New Roman"/>
          <w:sz w:val="24"/>
          <w:szCs w:val="24"/>
        </w:rPr>
      </w:pPr>
      <w:r>
        <w:rPr>
          <w:rFonts w:hint="eastAsia" w:ascii="宋体" w:hAnsi="宋体" w:eastAsia="宋体" w:cs="宋体"/>
          <w:sz w:val="18"/>
          <w:szCs w:val="18"/>
        </w:rPr>
        <w:t>公司全资子公司天昊药业向交通银行股份有限公司中山分（支）行申请人民币壹亿捌仟万元整（</w:t>
      </w:r>
      <w:r>
        <w:rPr>
          <w:rFonts w:hint="default" w:ascii="Times New Roman" w:hAnsi="Times New Roman" w:eastAsia="宋体" w:cs="Times New Roman"/>
          <w:sz w:val="18"/>
          <w:szCs w:val="18"/>
        </w:rPr>
        <w:t>¥180,000,000.00</w:t>
      </w:r>
      <w:r>
        <w:rPr>
          <w:rFonts w:hint="eastAsia" w:ascii="宋体" w:hAnsi="宋体" w:eastAsia="宋体" w:cs="宋体"/>
          <w:sz w:val="18"/>
          <w:szCs w:val="18"/>
        </w:rPr>
        <w:t>）银行贷款。公司为天昊药业此次贷款提供连带责任保证担保，同时以公司持有的天昊药业、中昊药业的股权做质押担保。担保的主要内容：</w:t>
      </w:r>
    </w:p>
    <w:p w14:paraId="787FE5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cs="Times New Roman"/>
          <w:sz w:val="24"/>
          <w:szCs w:val="24"/>
        </w:rPr>
      </w:pPr>
      <w:r>
        <w:rPr>
          <w:rFonts w:hint="eastAsia" w:ascii="宋体" w:hAnsi="宋体" w:eastAsia="宋体" w:cs="宋体"/>
          <w:sz w:val="18"/>
          <w:szCs w:val="18"/>
        </w:rPr>
        <w:t>（一）保证合同</w:t>
      </w:r>
    </w:p>
    <w:p w14:paraId="37913F7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债权人：交通银行股份有限公司中山分（支）行；</w:t>
      </w:r>
    </w:p>
    <w:p w14:paraId="7257C3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被担保的债务人：广东天昊药业有限公司；</w:t>
      </w:r>
    </w:p>
    <w:p w14:paraId="19ACAB4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保证人：冠昊生物科技股份有限公司；</w:t>
      </w:r>
    </w:p>
    <w:p w14:paraId="16CF48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担保金额：人民币壹亿捌仟万元整（</w:t>
      </w:r>
      <w:r>
        <w:rPr>
          <w:rFonts w:hint="default" w:ascii="Times New Roman" w:hAnsi="Times New Roman" w:eastAsia="宋体" w:cs="Times New Roman"/>
          <w:sz w:val="18"/>
          <w:szCs w:val="18"/>
        </w:rPr>
        <w:t>¥180,000,000.00</w:t>
      </w:r>
      <w:r>
        <w:rPr>
          <w:rFonts w:hint="eastAsia" w:ascii="宋体" w:hAnsi="宋体" w:eastAsia="宋体" w:cs="宋体"/>
          <w:sz w:val="18"/>
          <w:szCs w:val="18"/>
        </w:rPr>
        <w:t>）；</w:t>
      </w:r>
    </w:p>
    <w:p w14:paraId="117242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担保范围：为主合同项下本金及利息、复利、罚息、违约金、损害赔偿金、质权人保管质物和实现债权的费用；</w:t>
      </w:r>
    </w:p>
    <w:p w14:paraId="78EC25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担保方式：连带责任保证担保；</w:t>
      </w:r>
    </w:p>
    <w:p w14:paraId="7DCD679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担保期限：债务履行期限届满之日起三年。</w:t>
      </w:r>
    </w:p>
    <w:p w14:paraId="2ECC43B5">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股权质押合同</w:t>
      </w:r>
    </w:p>
    <w:p w14:paraId="54C47E3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质权人：交通银行股份有限公司中山分（支）行；</w:t>
      </w:r>
    </w:p>
    <w:p w14:paraId="1965981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被担保的债务人：广东天昊药业有限公司；</w:t>
      </w:r>
    </w:p>
    <w:p w14:paraId="79A063B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出质人：冠昊生物科技股份有限公司；</w:t>
      </w:r>
    </w:p>
    <w:p w14:paraId="08802E2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担保金额：人民币壹亿捌仟万元整（</w:t>
      </w:r>
      <w:r>
        <w:rPr>
          <w:rFonts w:hint="default" w:ascii="Times New Roman" w:hAnsi="Times New Roman" w:eastAsia="宋体" w:cs="Times New Roman"/>
          <w:sz w:val="18"/>
          <w:szCs w:val="18"/>
        </w:rPr>
        <w:t>¥180,000,000.00</w:t>
      </w:r>
      <w:r>
        <w:rPr>
          <w:rFonts w:hint="eastAsia" w:ascii="宋体" w:hAnsi="宋体" w:eastAsia="宋体" w:cs="宋体"/>
          <w:sz w:val="18"/>
          <w:szCs w:val="18"/>
        </w:rPr>
        <w:t>）；</w:t>
      </w:r>
    </w:p>
    <w:p w14:paraId="199074C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360" w:firstLineChars="200"/>
        <w:jc w:val="both"/>
        <w:textAlignment w:val="auto"/>
        <w:rPr>
          <w:rFonts w:hint="default" w:ascii="Times New Roman" w:hAnsi="Times New Roman" w:cs="Times New Roman"/>
          <w:sz w:val="24"/>
          <w:szCs w:val="24"/>
        </w:rPr>
      </w:pPr>
      <w:r>
        <w:rPr>
          <w:rFonts w:hint="eastAsia" w:ascii="宋体" w:hAnsi="宋体" w:eastAsia="宋体" w:cs="宋体"/>
          <w:sz w:val="18"/>
          <w:szCs w:val="18"/>
        </w:rPr>
        <w:t>担保范围：为主合同项下本金及利息、复利、罚息、违约金、损害赔偿金、质权人保管质物和实现债权的费用；</w:t>
      </w:r>
    </w:p>
    <w:p w14:paraId="018BAD4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cs="Times New Roman"/>
          <w:sz w:val="24"/>
          <w:szCs w:val="24"/>
        </w:rPr>
      </w:pPr>
      <w:r>
        <w:rPr>
          <w:rFonts w:hint="eastAsia" w:ascii="宋体" w:hAnsi="宋体" w:eastAsia="宋体" w:cs="宋体"/>
          <w:sz w:val="18"/>
          <w:szCs w:val="18"/>
        </w:rPr>
        <w:t>担保方式：公司持有的天昊药业</w:t>
      </w:r>
      <w:r>
        <w:rPr>
          <w:rFonts w:hint="default" w:ascii="Times New Roman" w:hAnsi="Times New Roman" w:eastAsia="宋体" w:cs="Times New Roman"/>
          <w:sz w:val="18"/>
          <w:szCs w:val="18"/>
        </w:rPr>
        <w:t>100%</w:t>
      </w:r>
      <w:r>
        <w:rPr>
          <w:rFonts w:hint="eastAsia" w:ascii="宋体" w:hAnsi="宋体" w:eastAsia="宋体" w:cs="宋体"/>
          <w:sz w:val="18"/>
          <w:szCs w:val="18"/>
        </w:rPr>
        <w:t>股权质押担保、公司持有的中昊药业</w:t>
      </w:r>
      <w:r>
        <w:rPr>
          <w:rFonts w:hint="default" w:ascii="Times New Roman" w:hAnsi="Times New Roman" w:eastAsia="宋体" w:cs="Times New Roman"/>
          <w:sz w:val="18"/>
          <w:szCs w:val="18"/>
        </w:rPr>
        <w:t>53.0256%</w:t>
      </w:r>
      <w:r>
        <w:rPr>
          <w:rFonts w:hint="eastAsia" w:ascii="宋体" w:hAnsi="宋体" w:eastAsia="宋体" w:cs="宋体"/>
          <w:sz w:val="18"/>
          <w:szCs w:val="18"/>
        </w:rPr>
        <w:t>股权质押担保；</w:t>
      </w:r>
    </w:p>
    <w:p w14:paraId="0F1C29F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cs="Times New Roman"/>
          <w:sz w:val="24"/>
          <w:szCs w:val="24"/>
        </w:rPr>
      </w:pPr>
      <w:r>
        <w:rPr>
          <w:rFonts w:hint="eastAsia" w:ascii="宋体" w:hAnsi="宋体" w:eastAsia="宋体" w:cs="宋体"/>
          <w:sz w:val="18"/>
          <w:szCs w:val="18"/>
        </w:rPr>
        <w:t>担保期限：债务履行期限届满之日起三年。</w:t>
      </w:r>
    </w:p>
    <w:p w14:paraId="2E0D9FB8">
      <w:pPr>
        <w:pStyle w:val="3"/>
        <w:keepNext/>
        <w:keepLines/>
        <w:spacing w:before="300" w:after="300" w:line="280" w:lineRule="exact"/>
        <w:jc w:val="left"/>
        <w:outlineLvl w:val="2"/>
        <w:rPr>
          <w:rFonts w:ascii="宋体" w:hAnsi="宋体" w:eastAsia="宋体" w:cs="宋体"/>
          <w:b/>
          <w:bCs/>
          <w:sz w:val="21"/>
          <w:szCs w:val="21"/>
        </w:rPr>
      </w:pPr>
      <w:bookmarkStart w:id="178" w:name="_Toc989005"/>
      <w:r>
        <w:rPr>
          <w:rFonts w:hint="default" w:ascii="Times New Roman" w:hAnsi="Times New Roman" w:eastAsia="宋体" w:cs="Times New Roman"/>
          <w:b/>
          <w:bCs/>
          <w:sz w:val="21"/>
          <w:szCs w:val="21"/>
        </w:rPr>
        <w:t>3</w:t>
      </w:r>
      <w:r>
        <w:rPr>
          <w:rFonts w:ascii="宋体" w:hAnsi="宋体" w:eastAsia="宋体" w:cs="宋体"/>
          <w:b/>
          <w:bCs/>
          <w:sz w:val="21"/>
          <w:szCs w:val="21"/>
        </w:rPr>
        <w:t>、委托他人进行现金资产管理情况</w:t>
      </w:r>
      <w:bookmarkEnd w:id="178"/>
    </w:p>
    <w:p w14:paraId="6705657C">
      <w:pPr>
        <w:keepNext/>
        <w:keepLines/>
        <w:spacing w:before="300" w:after="300" w:line="280" w:lineRule="exact"/>
        <w:jc w:val="left"/>
        <w:outlineLvl w:val="3"/>
        <w:rPr>
          <w:rFonts w:ascii="宋体" w:hAnsi="宋体" w:eastAsia="宋体" w:cs="宋体"/>
          <w:b/>
          <w:bCs/>
          <w:sz w:val="18"/>
          <w:szCs w:val="18"/>
        </w:rPr>
      </w:pPr>
      <w:bookmarkStart w:id="179" w:name="_Toc989006"/>
      <w:r>
        <w:rPr>
          <w:rFonts w:ascii="宋体" w:hAnsi="宋体" w:eastAsia="宋体" w:cs="宋体"/>
          <w:b/>
          <w:bCs/>
          <w:sz w:val="18"/>
          <w:szCs w:val="18"/>
        </w:rPr>
        <w:t>（</w:t>
      </w:r>
      <w:r>
        <w:rPr>
          <w:rFonts w:hint="default" w:ascii="Times New Roman" w:hAnsi="Times New Roman" w:eastAsia="宋体" w:cs="Times New Roman"/>
          <w:b/>
          <w:bCs/>
          <w:sz w:val="18"/>
          <w:szCs w:val="18"/>
        </w:rPr>
        <w:t>1</w:t>
      </w:r>
      <w:r>
        <w:rPr>
          <w:rFonts w:ascii="宋体" w:hAnsi="宋体" w:eastAsia="宋体" w:cs="宋体"/>
          <w:b/>
          <w:bCs/>
          <w:sz w:val="18"/>
          <w:szCs w:val="18"/>
        </w:rPr>
        <w:t>） 委托理财情况</w:t>
      </w:r>
      <w:bookmarkEnd w:id="179"/>
    </w:p>
    <w:p w14:paraId="13E9B32B">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D732403">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公司报告期不存在委托理财。</w:t>
      </w:r>
    </w:p>
    <w:p w14:paraId="60F7BB27">
      <w:pPr>
        <w:keepNext/>
        <w:keepLines/>
        <w:spacing w:before="300" w:after="300" w:line="280" w:lineRule="exact"/>
        <w:jc w:val="left"/>
        <w:outlineLvl w:val="3"/>
        <w:rPr>
          <w:rFonts w:ascii="宋体" w:hAnsi="宋体" w:eastAsia="宋体" w:cs="宋体"/>
          <w:b/>
          <w:bCs/>
          <w:sz w:val="18"/>
          <w:szCs w:val="18"/>
        </w:rPr>
      </w:pPr>
      <w:bookmarkStart w:id="180" w:name="_Toc989007"/>
      <w:r>
        <w:rPr>
          <w:rFonts w:ascii="宋体" w:hAnsi="宋体" w:eastAsia="宋体" w:cs="宋体"/>
          <w:b/>
          <w:bCs/>
          <w:sz w:val="18"/>
          <w:szCs w:val="18"/>
        </w:rPr>
        <w:t>（</w:t>
      </w:r>
      <w:r>
        <w:rPr>
          <w:rFonts w:hint="default" w:ascii="Times New Roman" w:hAnsi="Times New Roman" w:eastAsia="宋体" w:cs="Times New Roman"/>
          <w:b/>
          <w:bCs/>
          <w:sz w:val="18"/>
          <w:szCs w:val="18"/>
        </w:rPr>
        <w:t>2</w:t>
      </w:r>
      <w:r>
        <w:rPr>
          <w:rFonts w:ascii="宋体" w:hAnsi="宋体" w:eastAsia="宋体" w:cs="宋体"/>
          <w:b/>
          <w:bCs/>
          <w:sz w:val="18"/>
          <w:szCs w:val="18"/>
        </w:rPr>
        <w:t>） 委托贷款情况</w:t>
      </w:r>
      <w:bookmarkEnd w:id="180"/>
    </w:p>
    <w:p w14:paraId="4943C230">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E73E166">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公司报告期不存在委托贷款。</w:t>
      </w:r>
    </w:p>
    <w:p w14:paraId="6D2A122A">
      <w:pPr>
        <w:pStyle w:val="3"/>
        <w:keepNext/>
        <w:keepLines/>
        <w:spacing w:before="300" w:after="300" w:line="280" w:lineRule="exact"/>
        <w:jc w:val="left"/>
        <w:outlineLvl w:val="2"/>
        <w:rPr>
          <w:rFonts w:ascii="宋体" w:hAnsi="宋体" w:eastAsia="宋体" w:cs="宋体"/>
          <w:b/>
          <w:bCs/>
          <w:sz w:val="21"/>
          <w:szCs w:val="21"/>
        </w:rPr>
      </w:pPr>
      <w:bookmarkStart w:id="181" w:name="_Toc989008"/>
      <w:r>
        <w:rPr>
          <w:rFonts w:hint="default" w:ascii="Times New Roman" w:hAnsi="Times New Roman" w:eastAsia="宋体" w:cs="Times New Roman"/>
          <w:b/>
          <w:bCs/>
          <w:sz w:val="21"/>
          <w:szCs w:val="21"/>
        </w:rPr>
        <w:t>4</w:t>
      </w:r>
      <w:r>
        <w:rPr>
          <w:rFonts w:ascii="宋体" w:hAnsi="宋体" w:eastAsia="宋体" w:cs="宋体"/>
          <w:b/>
          <w:bCs/>
          <w:sz w:val="21"/>
          <w:szCs w:val="21"/>
        </w:rPr>
        <w:t>、其他重大合同</w:t>
      </w:r>
      <w:bookmarkEnd w:id="181"/>
    </w:p>
    <w:p w14:paraId="78DB8787">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643"/>
        <w:gridCol w:w="643"/>
        <w:gridCol w:w="643"/>
        <w:gridCol w:w="643"/>
        <w:gridCol w:w="643"/>
        <w:gridCol w:w="643"/>
        <w:gridCol w:w="643"/>
        <w:gridCol w:w="643"/>
        <w:gridCol w:w="643"/>
        <w:gridCol w:w="643"/>
        <w:gridCol w:w="643"/>
        <w:gridCol w:w="643"/>
        <w:gridCol w:w="643"/>
        <w:gridCol w:w="643"/>
      </w:tblGrid>
      <w:tr w14:paraId="14BDE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506A576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合同订立公司方名称</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18188CB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合同订立对方名称</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7BE220D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合同标的</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6A390E9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合同签订日期</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575EBA9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合同涉及资产的账面价值（万元）（如有）</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79B3092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合同涉及资产的评估价值（万元）（如有）</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2BD2183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评估机构名称（如有）</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329372E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评估基准日（如有）</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076CB36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定价原则</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00A01F3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交易价格（万元）</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1470A9C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是否关联交易</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52A9411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关联关系</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7F25839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截至报告期末的执行情况</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77DAA6F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披露日期</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20040BD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披露索引</w:t>
            </w:r>
          </w:p>
        </w:tc>
      </w:tr>
      <w:tr w14:paraId="7AD5E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14:paraId="6B2A977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广东天昊药业有限公司</w:t>
            </w:r>
          </w:p>
        </w:tc>
        <w:tc>
          <w:tcPr>
            <w:tcW w:w="643" w:type="dxa"/>
            <w:tcBorders>
              <w:top w:val="single" w:color="auto" w:sz="2" w:space="0"/>
              <w:left w:val="single" w:color="auto" w:sz="2" w:space="0"/>
              <w:bottom w:val="single" w:color="auto" w:sz="2" w:space="0"/>
              <w:right w:val="single" w:color="auto" w:sz="2" w:space="0"/>
            </w:tcBorders>
            <w:vAlign w:val="center"/>
          </w:tcPr>
          <w:p w14:paraId="4BE92BA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中铁十二局集团华南工程有限公司</w:t>
            </w:r>
          </w:p>
        </w:tc>
        <w:tc>
          <w:tcPr>
            <w:tcW w:w="643" w:type="dxa"/>
            <w:tcBorders>
              <w:top w:val="single" w:color="auto" w:sz="2" w:space="0"/>
              <w:left w:val="single" w:color="auto" w:sz="2" w:space="0"/>
              <w:bottom w:val="single" w:color="auto" w:sz="2" w:space="0"/>
              <w:right w:val="single" w:color="auto" w:sz="2" w:space="0"/>
            </w:tcBorders>
            <w:vAlign w:val="center"/>
          </w:tcPr>
          <w:p w14:paraId="26279AD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天昊中山医药科技项目建设项目</w:t>
            </w:r>
          </w:p>
        </w:tc>
        <w:tc>
          <w:tcPr>
            <w:tcW w:w="643" w:type="dxa"/>
            <w:tcBorders>
              <w:top w:val="single" w:color="auto" w:sz="2" w:space="0"/>
              <w:left w:val="single" w:color="auto" w:sz="2" w:space="0"/>
              <w:bottom w:val="single" w:color="auto" w:sz="2" w:space="0"/>
              <w:right w:val="single" w:color="auto" w:sz="2" w:space="0"/>
            </w:tcBorders>
            <w:vAlign w:val="center"/>
          </w:tcPr>
          <w:p w14:paraId="01E47AB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2023年05月23日</w:t>
            </w:r>
          </w:p>
        </w:tc>
        <w:tc>
          <w:tcPr>
            <w:tcW w:w="643" w:type="dxa"/>
            <w:tcBorders>
              <w:top w:val="single" w:color="auto" w:sz="2" w:space="0"/>
              <w:left w:val="single" w:color="auto" w:sz="2" w:space="0"/>
              <w:bottom w:val="single" w:color="auto" w:sz="2" w:space="0"/>
              <w:right w:val="single" w:color="auto" w:sz="2" w:space="0"/>
            </w:tcBorders>
            <w:vAlign w:val="center"/>
          </w:tcPr>
          <w:p w14:paraId="20A257E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16,370.36</w:t>
            </w:r>
          </w:p>
        </w:tc>
        <w:tc>
          <w:tcPr>
            <w:tcW w:w="643" w:type="dxa"/>
            <w:tcBorders>
              <w:top w:val="single" w:color="auto" w:sz="2" w:space="0"/>
              <w:left w:val="single" w:color="auto" w:sz="2" w:space="0"/>
              <w:bottom w:val="single" w:color="auto" w:sz="2" w:space="0"/>
              <w:right w:val="single" w:color="auto" w:sz="2" w:space="0"/>
            </w:tcBorders>
            <w:vAlign w:val="center"/>
          </w:tcPr>
          <w:p w14:paraId="4AC4D6CA">
            <w:pPr>
              <w:spacing w:before="0" w:after="0" w:line="240" w:lineRule="exact"/>
              <w:jc w:val="right"/>
              <w:rPr>
                <w:rFonts w:hint="default" w:ascii="Times New Roman" w:hAnsi="Times New Roman" w:eastAsia="宋体" w:cs="Times New Roman"/>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6A5B155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643" w:type="dxa"/>
            <w:tcBorders>
              <w:top w:val="single" w:color="auto" w:sz="2" w:space="0"/>
              <w:left w:val="single" w:color="auto" w:sz="2" w:space="0"/>
              <w:bottom w:val="single" w:color="auto" w:sz="2" w:space="0"/>
              <w:right w:val="single" w:color="auto" w:sz="2" w:space="0"/>
            </w:tcBorders>
            <w:vAlign w:val="center"/>
          </w:tcPr>
          <w:p w14:paraId="2F954FC7">
            <w:pPr>
              <w:spacing w:before="0" w:after="0" w:line="240" w:lineRule="exact"/>
              <w:jc w:val="left"/>
              <w:rPr>
                <w:rFonts w:hint="default" w:ascii="Times New Roman" w:hAnsi="Times New Roman" w:eastAsia="宋体" w:cs="Times New Roman"/>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559BE8B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以市场价格为依据</w:t>
            </w:r>
          </w:p>
        </w:tc>
        <w:tc>
          <w:tcPr>
            <w:tcW w:w="643" w:type="dxa"/>
            <w:tcBorders>
              <w:top w:val="single" w:color="auto" w:sz="2" w:space="0"/>
              <w:left w:val="single" w:color="auto" w:sz="2" w:space="0"/>
              <w:bottom w:val="single" w:color="auto" w:sz="2" w:space="0"/>
              <w:right w:val="single" w:color="auto" w:sz="2" w:space="0"/>
            </w:tcBorders>
            <w:vAlign w:val="center"/>
          </w:tcPr>
          <w:p w14:paraId="7D64D7D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16,576.25</w:t>
            </w:r>
          </w:p>
        </w:tc>
        <w:tc>
          <w:tcPr>
            <w:tcW w:w="643" w:type="dxa"/>
            <w:tcBorders>
              <w:top w:val="single" w:color="auto" w:sz="2" w:space="0"/>
              <w:left w:val="single" w:color="auto" w:sz="2" w:space="0"/>
              <w:bottom w:val="single" w:color="auto" w:sz="2" w:space="0"/>
              <w:right w:val="single" w:color="auto" w:sz="2" w:space="0"/>
            </w:tcBorders>
            <w:vAlign w:val="center"/>
          </w:tcPr>
          <w:p w14:paraId="5169382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c>
          <w:tcPr>
            <w:tcW w:w="643" w:type="dxa"/>
            <w:tcBorders>
              <w:top w:val="single" w:color="auto" w:sz="2" w:space="0"/>
              <w:left w:val="single" w:color="auto" w:sz="2" w:space="0"/>
              <w:bottom w:val="single" w:color="auto" w:sz="2" w:space="0"/>
              <w:right w:val="single" w:color="auto" w:sz="2" w:space="0"/>
            </w:tcBorders>
            <w:vAlign w:val="center"/>
          </w:tcPr>
          <w:p w14:paraId="59C1F8F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广东天昊药业有限公司系公司全资子公司</w:t>
            </w:r>
          </w:p>
        </w:tc>
        <w:tc>
          <w:tcPr>
            <w:tcW w:w="643" w:type="dxa"/>
            <w:tcBorders>
              <w:top w:val="single" w:color="auto" w:sz="2" w:space="0"/>
              <w:left w:val="single" w:color="auto" w:sz="2" w:space="0"/>
              <w:bottom w:val="single" w:color="auto" w:sz="2" w:space="0"/>
              <w:right w:val="single" w:color="auto" w:sz="2" w:space="0"/>
            </w:tcBorders>
            <w:vAlign w:val="center"/>
          </w:tcPr>
          <w:p w14:paraId="38B810E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已完工</w:t>
            </w:r>
          </w:p>
        </w:tc>
        <w:tc>
          <w:tcPr>
            <w:tcW w:w="643" w:type="dxa"/>
            <w:tcBorders>
              <w:top w:val="single" w:color="auto" w:sz="2" w:space="0"/>
              <w:left w:val="single" w:color="auto" w:sz="2" w:space="0"/>
              <w:bottom w:val="single" w:color="auto" w:sz="2" w:space="0"/>
              <w:right w:val="single" w:color="auto" w:sz="2" w:space="0"/>
            </w:tcBorders>
            <w:vAlign w:val="center"/>
          </w:tcPr>
          <w:p w14:paraId="01038692">
            <w:pPr>
              <w:spacing w:before="0" w:after="0" w:line="240" w:lineRule="exact"/>
              <w:jc w:val="left"/>
              <w:rPr>
                <w:rFonts w:hint="default" w:ascii="Times New Roman" w:hAnsi="Times New Roman" w:eastAsia="宋体" w:cs="Times New Roman"/>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7FBF2C5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r>
    </w:tbl>
    <w:p w14:paraId="16789EA0">
      <w:pPr>
        <w:pStyle w:val="2"/>
        <w:keepNext/>
        <w:keepLines/>
        <w:spacing w:before="300" w:after="300" w:line="320" w:lineRule="exact"/>
        <w:jc w:val="left"/>
        <w:outlineLvl w:val="1"/>
        <w:rPr>
          <w:rFonts w:ascii="宋体" w:hAnsi="宋体" w:eastAsia="宋体" w:cs="宋体"/>
          <w:b/>
          <w:bCs/>
          <w:sz w:val="24"/>
          <w:szCs w:val="24"/>
        </w:rPr>
      </w:pPr>
      <w:bookmarkStart w:id="182" w:name="_Toc989009"/>
      <w:bookmarkStart w:id="183" w:name="_Toc14913"/>
      <w:r>
        <w:rPr>
          <w:rFonts w:ascii="宋体" w:hAnsi="宋体" w:eastAsia="宋体" w:cs="宋体"/>
          <w:b/>
          <w:bCs/>
          <w:sz w:val="24"/>
          <w:szCs w:val="24"/>
        </w:rPr>
        <w:t>十六、募集资金使用情况</w:t>
      </w:r>
      <w:bookmarkEnd w:id="182"/>
      <w:bookmarkEnd w:id="183"/>
    </w:p>
    <w:p w14:paraId="19710E76">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1163177">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公司报告期无募集资金使用情况。</w:t>
      </w:r>
    </w:p>
    <w:p w14:paraId="2F0365CC">
      <w:pPr>
        <w:pStyle w:val="2"/>
        <w:keepNext/>
        <w:keepLines/>
        <w:spacing w:before="300" w:after="300" w:line="320" w:lineRule="exact"/>
        <w:jc w:val="left"/>
        <w:outlineLvl w:val="1"/>
        <w:rPr>
          <w:rFonts w:ascii="宋体" w:hAnsi="宋体" w:eastAsia="宋体" w:cs="宋体"/>
          <w:b/>
          <w:bCs/>
          <w:sz w:val="24"/>
          <w:szCs w:val="24"/>
        </w:rPr>
      </w:pPr>
      <w:bookmarkStart w:id="184" w:name="_Toc29734"/>
      <w:bookmarkStart w:id="185" w:name="_Toc989010"/>
      <w:r>
        <w:rPr>
          <w:rFonts w:ascii="宋体" w:hAnsi="宋体" w:eastAsia="宋体" w:cs="宋体"/>
          <w:b/>
          <w:bCs/>
          <w:sz w:val="24"/>
          <w:szCs w:val="24"/>
        </w:rPr>
        <w:t>十七、其他重大事项的说明</w:t>
      </w:r>
      <w:bookmarkEnd w:id="184"/>
      <w:bookmarkEnd w:id="185"/>
    </w:p>
    <w:p w14:paraId="1CD4AFC6">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27645005">
      <w:pPr>
        <w:pStyle w:val="6"/>
        <w:keepNext w:val="0"/>
        <w:keepLines w:val="0"/>
        <w:widowControl/>
        <w:suppressLineNumbers w:val="0"/>
        <w:spacing w:before="0" w:beforeAutospacing="0" w:after="0" w:afterAutospacing="0"/>
        <w:ind w:left="0" w:right="0" w:firstLine="360"/>
        <w:rPr>
          <w:rFonts w:hint="eastAsia" w:ascii="宋体" w:hAnsi="宋体" w:eastAsia="宋体" w:cs="宋体"/>
          <w:sz w:val="24"/>
          <w:szCs w:val="24"/>
        </w:rPr>
      </w:pPr>
      <w:r>
        <w:rPr>
          <w:rFonts w:hint="default" w:ascii="Times New Roman" w:hAnsi="Times New Roman" w:eastAsia="宋体" w:cs="Times New Roman"/>
          <w:sz w:val="18"/>
          <w:szCs w:val="18"/>
        </w:rPr>
        <w:t>1</w:t>
      </w:r>
      <w:r>
        <w:rPr>
          <w:rFonts w:hint="eastAsia" w:ascii="宋体" w:hAnsi="宋体" w:eastAsia="宋体" w:cs="宋体"/>
          <w:sz w:val="18"/>
          <w:szCs w:val="18"/>
        </w:rPr>
        <w:t>、公司原控股股东所持股份被司法拍卖情况</w:t>
      </w:r>
    </w:p>
    <w:p w14:paraId="2CA17DF2">
      <w:pPr>
        <w:pStyle w:val="6"/>
        <w:keepNext w:val="0"/>
        <w:keepLines w:val="0"/>
        <w:widowControl/>
        <w:suppressLineNumbers w:val="0"/>
        <w:spacing w:before="0" w:beforeAutospacing="0" w:after="0" w:afterAutospacing="0"/>
        <w:ind w:left="0" w:right="0" w:firstLine="360"/>
        <w:rPr>
          <w:rFonts w:hint="eastAsia" w:ascii="宋体" w:hAnsi="宋体" w:eastAsia="宋体" w:cs="宋体"/>
          <w:sz w:val="24"/>
          <w:szCs w:val="24"/>
        </w:rPr>
      </w:pPr>
      <w:r>
        <w:rPr>
          <w:rFonts w:hint="eastAsia" w:ascii="宋体" w:hAnsi="宋体" w:eastAsia="宋体" w:cs="宋体"/>
          <w:sz w:val="18"/>
          <w:szCs w:val="18"/>
        </w:rPr>
        <w:t>珠海市香洲区人民法院通过网络拍卖平台分别拍卖广东知光所持有的公司股份</w:t>
      </w:r>
      <w:r>
        <w:rPr>
          <w:rFonts w:hint="default" w:ascii="Times New Roman" w:hAnsi="Times New Roman" w:eastAsia="宋体" w:cs="Times New Roman"/>
          <w:sz w:val="18"/>
          <w:szCs w:val="18"/>
        </w:rPr>
        <w:t>104,822</w:t>
      </w:r>
      <w:r>
        <w:rPr>
          <w:rFonts w:hint="eastAsia" w:ascii="宋体" w:hAnsi="宋体" w:eastAsia="宋体" w:cs="宋体"/>
          <w:sz w:val="18"/>
          <w:szCs w:val="18"/>
        </w:rPr>
        <w:t>股和</w:t>
      </w:r>
      <w:r>
        <w:rPr>
          <w:rFonts w:hint="default" w:ascii="Times New Roman" w:hAnsi="Times New Roman" w:eastAsia="宋体" w:cs="Times New Roman"/>
          <w:sz w:val="18"/>
          <w:szCs w:val="18"/>
        </w:rPr>
        <w:t>16,980,000</w:t>
      </w:r>
      <w:r>
        <w:rPr>
          <w:rFonts w:hint="eastAsia" w:ascii="宋体" w:hAnsi="宋体" w:eastAsia="宋体" w:cs="宋体"/>
          <w:sz w:val="18"/>
          <w:szCs w:val="18"/>
        </w:rPr>
        <w:t>股，合计</w:t>
      </w:r>
      <w:r>
        <w:rPr>
          <w:rFonts w:hint="default" w:ascii="Times New Roman" w:hAnsi="Times New Roman" w:eastAsia="宋体" w:cs="Times New Roman"/>
          <w:sz w:val="18"/>
          <w:szCs w:val="18"/>
        </w:rPr>
        <w:t>17,084,822</w:t>
      </w:r>
      <w:r>
        <w:rPr>
          <w:rFonts w:hint="eastAsia" w:ascii="宋体" w:hAnsi="宋体" w:eastAsia="宋体" w:cs="宋体"/>
          <w:sz w:val="18"/>
          <w:szCs w:val="18"/>
        </w:rPr>
        <w:t>股，并全部由北京天佑瑞元医药科技有限公司竞得，以上股份于</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1</w:t>
      </w:r>
      <w:r>
        <w:rPr>
          <w:rFonts w:hint="eastAsia" w:ascii="宋体" w:hAnsi="宋体" w:eastAsia="宋体" w:cs="宋体"/>
          <w:sz w:val="18"/>
          <w:szCs w:val="18"/>
        </w:rPr>
        <w:t>月</w:t>
      </w:r>
      <w:r>
        <w:rPr>
          <w:rFonts w:hint="default" w:ascii="Times New Roman" w:hAnsi="Times New Roman" w:eastAsia="宋体" w:cs="Times New Roman"/>
          <w:sz w:val="18"/>
          <w:szCs w:val="18"/>
        </w:rPr>
        <w:t>23</w:t>
      </w:r>
      <w:r>
        <w:rPr>
          <w:rFonts w:hint="eastAsia" w:ascii="宋体" w:hAnsi="宋体" w:eastAsia="宋体" w:cs="宋体"/>
          <w:sz w:val="18"/>
          <w:szCs w:val="18"/>
        </w:rPr>
        <w:t>日完成相关过户登记手续。具体内容详见公司于</w:t>
      </w:r>
      <w:r>
        <w:rPr>
          <w:rFonts w:hint="default" w:ascii="Times New Roman" w:hAnsi="Times New Roman" w:eastAsia="宋体" w:cs="Times New Roman"/>
          <w:sz w:val="18"/>
          <w:szCs w:val="18"/>
        </w:rPr>
        <w:t>2024</w:t>
      </w:r>
      <w:r>
        <w:rPr>
          <w:rFonts w:hint="eastAsia" w:ascii="宋体" w:hAnsi="宋体" w:eastAsia="宋体" w:cs="宋体"/>
          <w:sz w:val="18"/>
          <w:szCs w:val="18"/>
        </w:rPr>
        <w:t>年</w:t>
      </w:r>
      <w:r>
        <w:rPr>
          <w:rFonts w:hint="default" w:ascii="Times New Roman" w:hAnsi="Times New Roman" w:eastAsia="宋体" w:cs="Times New Roman"/>
          <w:sz w:val="18"/>
          <w:szCs w:val="18"/>
        </w:rPr>
        <w:t>11</w:t>
      </w:r>
      <w:r>
        <w:rPr>
          <w:rFonts w:hint="eastAsia" w:ascii="宋体" w:hAnsi="宋体" w:eastAsia="宋体" w:cs="宋体"/>
          <w:sz w:val="18"/>
          <w:szCs w:val="18"/>
        </w:rPr>
        <w:t>月</w:t>
      </w:r>
      <w:r>
        <w:rPr>
          <w:rFonts w:hint="default" w:ascii="Times New Roman" w:hAnsi="Times New Roman" w:eastAsia="宋体" w:cs="Times New Roman"/>
          <w:sz w:val="18"/>
          <w:szCs w:val="18"/>
        </w:rPr>
        <w:t>30</w:t>
      </w:r>
      <w:r>
        <w:rPr>
          <w:rFonts w:hint="eastAsia" w:ascii="宋体" w:hAnsi="宋体" w:eastAsia="宋体" w:cs="宋体"/>
          <w:sz w:val="18"/>
          <w:szCs w:val="18"/>
        </w:rPr>
        <w:t>日、</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1</w:t>
      </w:r>
      <w:r>
        <w:rPr>
          <w:rFonts w:hint="eastAsia" w:ascii="宋体" w:hAnsi="宋体" w:eastAsia="宋体" w:cs="宋体"/>
          <w:sz w:val="18"/>
          <w:szCs w:val="18"/>
        </w:rPr>
        <w:t>月</w:t>
      </w:r>
      <w:r>
        <w:rPr>
          <w:rFonts w:hint="default" w:ascii="Times New Roman" w:hAnsi="Times New Roman" w:eastAsia="宋体" w:cs="Times New Roman"/>
          <w:sz w:val="18"/>
          <w:szCs w:val="18"/>
        </w:rPr>
        <w:t>2</w:t>
      </w:r>
      <w:r>
        <w:rPr>
          <w:rFonts w:hint="eastAsia" w:ascii="宋体" w:hAnsi="宋体" w:eastAsia="宋体" w:cs="宋体"/>
          <w:sz w:val="18"/>
          <w:szCs w:val="18"/>
        </w:rPr>
        <w:t>日、</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1</w:t>
      </w:r>
      <w:r>
        <w:rPr>
          <w:rFonts w:hint="eastAsia" w:ascii="宋体" w:hAnsi="宋体" w:eastAsia="宋体" w:cs="宋体"/>
          <w:sz w:val="18"/>
          <w:szCs w:val="18"/>
        </w:rPr>
        <w:t>月</w:t>
      </w:r>
      <w:r>
        <w:rPr>
          <w:rFonts w:hint="default" w:ascii="Times New Roman" w:hAnsi="Times New Roman" w:eastAsia="宋体" w:cs="Times New Roman"/>
          <w:sz w:val="18"/>
          <w:szCs w:val="18"/>
        </w:rPr>
        <w:t>24</w:t>
      </w:r>
      <w:r>
        <w:rPr>
          <w:rFonts w:hint="eastAsia" w:ascii="宋体" w:hAnsi="宋体" w:eastAsia="宋体" w:cs="宋体"/>
          <w:sz w:val="18"/>
          <w:szCs w:val="18"/>
        </w:rPr>
        <w:t>日在巨潮资讯网上披露的《关于控股股东所持公司部分股份将被司法拍卖的提示性公告》（公告编号：</w:t>
      </w:r>
      <w:r>
        <w:rPr>
          <w:rFonts w:hint="default" w:ascii="Times New Roman" w:hAnsi="Times New Roman" w:eastAsia="宋体" w:cs="Times New Roman"/>
          <w:sz w:val="18"/>
          <w:szCs w:val="18"/>
        </w:rPr>
        <w:t>2024</w:t>
      </w:r>
      <w:r>
        <w:rPr>
          <w:rFonts w:hint="eastAsia" w:ascii="宋体" w:hAnsi="宋体" w:eastAsia="宋体" w:cs="宋体"/>
          <w:sz w:val="18"/>
          <w:szCs w:val="18"/>
        </w:rPr>
        <w:t>-</w:t>
      </w:r>
      <w:r>
        <w:rPr>
          <w:rFonts w:hint="default" w:ascii="Times New Roman" w:hAnsi="Times New Roman" w:eastAsia="宋体" w:cs="Times New Roman"/>
          <w:sz w:val="18"/>
          <w:szCs w:val="18"/>
        </w:rPr>
        <w:t>045</w:t>
      </w:r>
      <w:r>
        <w:rPr>
          <w:rFonts w:hint="eastAsia" w:ascii="宋体" w:hAnsi="宋体" w:eastAsia="宋体" w:cs="宋体"/>
          <w:sz w:val="18"/>
          <w:szCs w:val="18"/>
        </w:rPr>
        <w:t>）、《关于原控股股东所持公司部分股份被司法拍卖的进展公告》（公告编号：</w:t>
      </w:r>
      <w:r>
        <w:rPr>
          <w:rFonts w:hint="default" w:ascii="Times New Roman" w:hAnsi="Times New Roman" w:eastAsia="宋体" w:cs="Times New Roman"/>
          <w:sz w:val="18"/>
          <w:szCs w:val="18"/>
        </w:rPr>
        <w:t>2025</w:t>
      </w:r>
      <w:r>
        <w:rPr>
          <w:rFonts w:hint="eastAsia" w:ascii="宋体" w:hAnsi="宋体" w:eastAsia="宋体" w:cs="宋体"/>
          <w:sz w:val="18"/>
          <w:szCs w:val="18"/>
        </w:rPr>
        <w:t>-</w:t>
      </w:r>
      <w:r>
        <w:rPr>
          <w:rFonts w:hint="default" w:ascii="Times New Roman" w:hAnsi="Times New Roman" w:eastAsia="宋体" w:cs="Times New Roman"/>
          <w:sz w:val="18"/>
          <w:szCs w:val="18"/>
        </w:rPr>
        <w:t>001</w:t>
      </w:r>
      <w:r>
        <w:rPr>
          <w:rFonts w:hint="eastAsia" w:ascii="宋体" w:hAnsi="宋体" w:eastAsia="宋体" w:cs="宋体"/>
          <w:sz w:val="18"/>
          <w:szCs w:val="18"/>
        </w:rPr>
        <w:t>）、《关于原控股股东被司法拍卖部分股份完成过户登记的公告》（公告编号：</w:t>
      </w:r>
      <w:r>
        <w:rPr>
          <w:rFonts w:hint="default" w:ascii="Times New Roman" w:hAnsi="Times New Roman" w:eastAsia="宋体" w:cs="Times New Roman"/>
          <w:sz w:val="18"/>
          <w:szCs w:val="18"/>
        </w:rPr>
        <w:t>2025</w:t>
      </w:r>
      <w:r>
        <w:rPr>
          <w:rFonts w:hint="eastAsia" w:ascii="宋体" w:hAnsi="宋体" w:eastAsia="宋体" w:cs="宋体"/>
          <w:sz w:val="18"/>
          <w:szCs w:val="18"/>
        </w:rPr>
        <w:t>-</w:t>
      </w:r>
      <w:r>
        <w:rPr>
          <w:rFonts w:hint="default" w:ascii="Times New Roman" w:hAnsi="Times New Roman" w:eastAsia="宋体" w:cs="Times New Roman"/>
          <w:sz w:val="18"/>
          <w:szCs w:val="18"/>
        </w:rPr>
        <w:t>006</w:t>
      </w:r>
      <w:r>
        <w:rPr>
          <w:rFonts w:hint="eastAsia" w:ascii="宋体" w:hAnsi="宋体" w:eastAsia="宋体" w:cs="宋体"/>
          <w:sz w:val="18"/>
          <w:szCs w:val="18"/>
        </w:rPr>
        <w:t>）等相关公告。</w:t>
      </w:r>
    </w:p>
    <w:p w14:paraId="5B9ED8A1">
      <w:pPr>
        <w:pStyle w:val="6"/>
        <w:keepNext w:val="0"/>
        <w:keepLines w:val="0"/>
        <w:widowControl/>
        <w:suppressLineNumbers w:val="0"/>
        <w:spacing w:before="0" w:beforeAutospacing="0" w:after="0" w:afterAutospacing="0"/>
        <w:ind w:left="0" w:right="0" w:firstLine="360"/>
        <w:rPr>
          <w:rFonts w:hint="eastAsia" w:ascii="宋体" w:hAnsi="宋体" w:eastAsia="宋体" w:cs="宋体"/>
          <w:sz w:val="24"/>
          <w:szCs w:val="24"/>
        </w:rPr>
      </w:pPr>
      <w:r>
        <w:rPr>
          <w:rFonts w:hint="default" w:ascii="Times New Roman" w:hAnsi="Times New Roman" w:eastAsia="宋体" w:cs="Times New Roman"/>
          <w:sz w:val="18"/>
          <w:szCs w:val="18"/>
        </w:rPr>
        <w:t>2</w:t>
      </w:r>
      <w:r>
        <w:rPr>
          <w:rFonts w:hint="eastAsia" w:ascii="宋体" w:hAnsi="宋体" w:eastAsia="宋体" w:cs="宋体"/>
          <w:sz w:val="18"/>
          <w:szCs w:val="18"/>
        </w:rPr>
        <w:t>、关于公司向特定对象发行股票情况</w:t>
      </w:r>
    </w:p>
    <w:p w14:paraId="1DDB29D9">
      <w:pPr>
        <w:pStyle w:val="6"/>
        <w:keepNext w:val="0"/>
        <w:keepLines w:val="0"/>
        <w:widowControl/>
        <w:suppressLineNumbers w:val="0"/>
        <w:spacing w:before="0" w:beforeAutospacing="0" w:after="0" w:afterAutospacing="0"/>
        <w:ind w:left="0" w:right="0" w:firstLine="360"/>
        <w:rPr>
          <w:rFonts w:hint="eastAsia" w:ascii="宋体" w:hAnsi="宋体" w:eastAsia="宋体" w:cs="宋体"/>
          <w:sz w:val="24"/>
          <w:szCs w:val="24"/>
        </w:rPr>
      </w:pPr>
      <w:r>
        <w:rPr>
          <w:rFonts w:hint="eastAsia" w:ascii="宋体" w:hAnsi="宋体" w:eastAsia="宋体" w:cs="宋体"/>
          <w:sz w:val="18"/>
          <w:szCs w:val="18"/>
        </w:rPr>
        <w:t>公司于</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2</w:t>
      </w:r>
      <w:r>
        <w:rPr>
          <w:rFonts w:hint="eastAsia" w:ascii="宋体" w:hAnsi="宋体" w:eastAsia="宋体" w:cs="宋体"/>
          <w:sz w:val="18"/>
          <w:szCs w:val="18"/>
        </w:rPr>
        <w:t>月</w:t>
      </w:r>
      <w:r>
        <w:rPr>
          <w:rFonts w:hint="default" w:ascii="Times New Roman" w:hAnsi="Times New Roman" w:eastAsia="宋体" w:cs="Times New Roman"/>
          <w:sz w:val="18"/>
          <w:szCs w:val="18"/>
        </w:rPr>
        <w:t>21</w:t>
      </w:r>
      <w:r>
        <w:rPr>
          <w:rFonts w:hint="eastAsia" w:ascii="宋体" w:hAnsi="宋体" w:eastAsia="宋体" w:cs="宋体"/>
          <w:sz w:val="18"/>
          <w:szCs w:val="18"/>
        </w:rPr>
        <w:t>日收到深圳证券交易所出具的《关于受理冠昊生物科技股份有限公司向特定对象发行股票申请文件的通知》（深证上审〔</w:t>
      </w:r>
      <w:r>
        <w:rPr>
          <w:rFonts w:hint="default" w:ascii="Times New Roman" w:hAnsi="Times New Roman" w:eastAsia="宋体" w:cs="Times New Roman"/>
          <w:sz w:val="18"/>
          <w:szCs w:val="18"/>
        </w:rPr>
        <w:t>2025</w:t>
      </w:r>
      <w:r>
        <w:rPr>
          <w:rFonts w:hint="eastAsia" w:ascii="宋体" w:hAnsi="宋体" w:eastAsia="宋体" w:cs="宋体"/>
          <w:sz w:val="18"/>
          <w:szCs w:val="18"/>
        </w:rPr>
        <w:t>〕</w:t>
      </w:r>
      <w:r>
        <w:rPr>
          <w:rFonts w:hint="default" w:ascii="Times New Roman" w:hAnsi="Times New Roman" w:eastAsia="宋体" w:cs="Times New Roman"/>
          <w:sz w:val="18"/>
          <w:szCs w:val="18"/>
        </w:rPr>
        <w:t>30</w:t>
      </w:r>
      <w:r>
        <w:rPr>
          <w:rFonts w:hint="eastAsia" w:ascii="宋体" w:hAnsi="宋体" w:eastAsia="宋体" w:cs="宋体"/>
          <w:sz w:val="18"/>
          <w:szCs w:val="18"/>
        </w:rPr>
        <w:t>号），深圳证券交易所对公司报送的向特定对象发行股票的申请文件进行了核对，认为申请文件齐备，决定予以受理；并于</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w:t>
      </w:r>
      <w:r>
        <w:rPr>
          <w:rFonts w:hint="default" w:ascii="Times New Roman" w:hAnsi="Times New Roman" w:eastAsia="宋体" w:cs="Times New Roman"/>
          <w:sz w:val="18"/>
          <w:szCs w:val="18"/>
        </w:rPr>
        <w:t>13</w:t>
      </w:r>
      <w:r>
        <w:rPr>
          <w:rFonts w:hint="eastAsia" w:ascii="宋体" w:hAnsi="宋体" w:eastAsia="宋体" w:cs="宋体"/>
          <w:sz w:val="18"/>
          <w:szCs w:val="18"/>
        </w:rPr>
        <w:t>日出具了《关于冠昊生物科技股份有限公司申请向特定对象发行股票的审核问询函》（审核函〔</w:t>
      </w:r>
      <w:r>
        <w:rPr>
          <w:rFonts w:hint="default" w:ascii="Times New Roman" w:hAnsi="Times New Roman" w:eastAsia="宋体" w:cs="Times New Roman"/>
          <w:sz w:val="18"/>
          <w:szCs w:val="18"/>
        </w:rPr>
        <w:t>2025</w:t>
      </w:r>
      <w:r>
        <w:rPr>
          <w:rFonts w:hint="eastAsia" w:ascii="宋体" w:hAnsi="宋体" w:eastAsia="宋体" w:cs="宋体"/>
          <w:sz w:val="18"/>
          <w:szCs w:val="18"/>
        </w:rPr>
        <w:t>〕</w:t>
      </w:r>
      <w:r>
        <w:rPr>
          <w:rFonts w:hint="default" w:ascii="Times New Roman" w:hAnsi="Times New Roman" w:eastAsia="宋体" w:cs="Times New Roman"/>
          <w:sz w:val="18"/>
          <w:szCs w:val="18"/>
        </w:rPr>
        <w:t>020009</w:t>
      </w:r>
      <w:r>
        <w:rPr>
          <w:rFonts w:hint="eastAsia" w:ascii="宋体" w:hAnsi="宋体" w:eastAsia="宋体" w:cs="宋体"/>
          <w:sz w:val="18"/>
          <w:szCs w:val="18"/>
        </w:rPr>
        <w:t>号），公司按照审核问询函的要求，对审核问询函进行了回复和说明，同时对募集说明书等申请文件进行了补充和更新；</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6</w:t>
      </w:r>
      <w:r>
        <w:rPr>
          <w:rFonts w:hint="eastAsia" w:ascii="宋体" w:hAnsi="宋体" w:eastAsia="宋体" w:cs="宋体"/>
          <w:sz w:val="18"/>
          <w:szCs w:val="18"/>
        </w:rPr>
        <w:t>月</w:t>
      </w:r>
      <w:r>
        <w:rPr>
          <w:rFonts w:hint="default" w:ascii="Times New Roman" w:hAnsi="Times New Roman" w:eastAsia="宋体" w:cs="Times New Roman"/>
          <w:sz w:val="18"/>
          <w:szCs w:val="18"/>
        </w:rPr>
        <w:t>23</w:t>
      </w:r>
      <w:r>
        <w:rPr>
          <w:rFonts w:hint="eastAsia" w:ascii="宋体" w:hAnsi="宋体" w:eastAsia="宋体" w:cs="宋体"/>
          <w:sz w:val="18"/>
          <w:szCs w:val="18"/>
        </w:rPr>
        <w:t>日，公司召开第六届董事会第十五次会议和第六届监事会第十二次会议，审议通过了《关于公司终止向特定对象发行股票事项并撤回申请文件的议案》，同意公司终止本次向特定对象发行股票事项并撤回申请文件并于</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6</w:t>
      </w:r>
      <w:r>
        <w:rPr>
          <w:rFonts w:hint="eastAsia" w:ascii="宋体" w:hAnsi="宋体" w:eastAsia="宋体" w:cs="宋体"/>
          <w:sz w:val="18"/>
          <w:szCs w:val="18"/>
        </w:rPr>
        <w:t>月</w:t>
      </w:r>
      <w:r>
        <w:rPr>
          <w:rFonts w:hint="default" w:ascii="Times New Roman" w:hAnsi="Times New Roman" w:eastAsia="宋体" w:cs="Times New Roman"/>
          <w:sz w:val="18"/>
          <w:szCs w:val="18"/>
        </w:rPr>
        <w:t>30</w:t>
      </w:r>
      <w:r>
        <w:rPr>
          <w:rFonts w:hint="eastAsia" w:ascii="宋体" w:hAnsi="宋体" w:eastAsia="宋体" w:cs="宋体"/>
          <w:sz w:val="18"/>
          <w:szCs w:val="18"/>
        </w:rPr>
        <w:t>日收到深交所出具的《关于终止对冠昊生物科技股份有限公司申请向特定对象发行股票审核的决定》（深证上审〔</w:t>
      </w:r>
      <w:r>
        <w:rPr>
          <w:rFonts w:hint="default" w:ascii="Times New Roman" w:hAnsi="Times New Roman" w:eastAsia="宋体" w:cs="Times New Roman"/>
          <w:sz w:val="18"/>
          <w:szCs w:val="18"/>
        </w:rPr>
        <w:t>2025</w:t>
      </w:r>
      <w:r>
        <w:rPr>
          <w:rFonts w:hint="eastAsia" w:ascii="宋体" w:hAnsi="宋体" w:eastAsia="宋体" w:cs="宋体"/>
          <w:sz w:val="18"/>
          <w:szCs w:val="18"/>
        </w:rPr>
        <w:t>〕</w:t>
      </w:r>
      <w:r>
        <w:rPr>
          <w:rFonts w:hint="default" w:ascii="Times New Roman" w:hAnsi="Times New Roman" w:eastAsia="宋体" w:cs="Times New Roman"/>
          <w:sz w:val="18"/>
          <w:szCs w:val="18"/>
        </w:rPr>
        <w:t>119</w:t>
      </w:r>
      <w:r>
        <w:rPr>
          <w:rFonts w:hint="eastAsia" w:ascii="宋体" w:hAnsi="宋体" w:eastAsia="宋体" w:cs="宋体"/>
          <w:sz w:val="18"/>
          <w:szCs w:val="18"/>
        </w:rPr>
        <w:t>号）。具体内容详见公司分别于</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2</w:t>
      </w:r>
      <w:r>
        <w:rPr>
          <w:rFonts w:hint="eastAsia" w:ascii="宋体" w:hAnsi="宋体" w:eastAsia="宋体" w:cs="宋体"/>
          <w:sz w:val="18"/>
          <w:szCs w:val="18"/>
        </w:rPr>
        <w:t>月</w:t>
      </w:r>
      <w:r>
        <w:rPr>
          <w:rFonts w:hint="default" w:ascii="Times New Roman" w:hAnsi="Times New Roman" w:eastAsia="宋体" w:cs="Times New Roman"/>
          <w:sz w:val="18"/>
          <w:szCs w:val="18"/>
        </w:rPr>
        <w:t>24</w:t>
      </w:r>
      <w:r>
        <w:rPr>
          <w:rFonts w:hint="eastAsia" w:ascii="宋体" w:hAnsi="宋体" w:eastAsia="宋体" w:cs="宋体"/>
          <w:sz w:val="18"/>
          <w:szCs w:val="18"/>
        </w:rPr>
        <w:t>日、</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4</w:t>
      </w:r>
      <w:r>
        <w:rPr>
          <w:rFonts w:hint="eastAsia" w:ascii="宋体" w:hAnsi="宋体" w:eastAsia="宋体" w:cs="宋体"/>
          <w:sz w:val="18"/>
          <w:szCs w:val="18"/>
        </w:rPr>
        <w:t>月</w:t>
      </w:r>
      <w:r>
        <w:rPr>
          <w:rFonts w:hint="default" w:ascii="Times New Roman" w:hAnsi="Times New Roman" w:eastAsia="宋体" w:cs="Times New Roman"/>
          <w:sz w:val="18"/>
          <w:szCs w:val="18"/>
        </w:rPr>
        <w:t>18</w:t>
      </w:r>
      <w:r>
        <w:rPr>
          <w:rFonts w:hint="eastAsia" w:ascii="宋体" w:hAnsi="宋体" w:eastAsia="宋体" w:cs="宋体"/>
          <w:sz w:val="18"/>
          <w:szCs w:val="18"/>
        </w:rPr>
        <w:t>日、</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6</w:t>
      </w:r>
      <w:r>
        <w:rPr>
          <w:rFonts w:hint="eastAsia" w:ascii="宋体" w:hAnsi="宋体" w:eastAsia="宋体" w:cs="宋体"/>
          <w:sz w:val="18"/>
          <w:szCs w:val="18"/>
        </w:rPr>
        <w:t>月</w:t>
      </w:r>
      <w:r>
        <w:rPr>
          <w:rFonts w:hint="default" w:ascii="Times New Roman" w:hAnsi="Times New Roman" w:eastAsia="宋体" w:cs="Times New Roman"/>
          <w:sz w:val="18"/>
          <w:szCs w:val="18"/>
        </w:rPr>
        <w:t>24</w:t>
      </w:r>
      <w:r>
        <w:rPr>
          <w:rFonts w:hint="eastAsia" w:ascii="宋体" w:hAnsi="宋体" w:eastAsia="宋体" w:cs="宋体"/>
          <w:sz w:val="18"/>
          <w:szCs w:val="18"/>
        </w:rPr>
        <w:t>日、</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7</w:t>
      </w:r>
      <w:r>
        <w:rPr>
          <w:rFonts w:hint="eastAsia" w:ascii="宋体" w:hAnsi="宋体" w:eastAsia="宋体" w:cs="宋体"/>
          <w:sz w:val="18"/>
          <w:szCs w:val="18"/>
        </w:rPr>
        <w:t>月</w:t>
      </w:r>
      <w:r>
        <w:rPr>
          <w:rFonts w:hint="default" w:ascii="Times New Roman" w:hAnsi="Times New Roman" w:eastAsia="宋体" w:cs="Times New Roman"/>
          <w:sz w:val="18"/>
          <w:szCs w:val="18"/>
        </w:rPr>
        <w:t>1</w:t>
      </w:r>
      <w:r>
        <w:rPr>
          <w:rFonts w:hint="eastAsia" w:ascii="宋体" w:hAnsi="宋体" w:eastAsia="宋体" w:cs="宋体"/>
          <w:sz w:val="18"/>
          <w:szCs w:val="18"/>
        </w:rPr>
        <w:t>日在巨潮资讯网上披露的《关于向特定对象发行股票申请获得深圳证券交易所受理的公告》（公告编号：</w:t>
      </w:r>
      <w:r>
        <w:rPr>
          <w:rFonts w:hint="default" w:ascii="Times New Roman" w:hAnsi="Times New Roman" w:eastAsia="宋体" w:cs="Times New Roman"/>
          <w:sz w:val="18"/>
          <w:szCs w:val="18"/>
        </w:rPr>
        <w:t>2025</w:t>
      </w:r>
      <w:r>
        <w:rPr>
          <w:rFonts w:hint="eastAsia" w:ascii="宋体" w:hAnsi="宋体" w:eastAsia="宋体" w:cs="宋体"/>
          <w:sz w:val="18"/>
          <w:szCs w:val="18"/>
        </w:rPr>
        <w:t>-</w:t>
      </w:r>
      <w:r>
        <w:rPr>
          <w:rFonts w:hint="default" w:ascii="Times New Roman" w:hAnsi="Times New Roman" w:eastAsia="宋体" w:cs="Times New Roman"/>
          <w:sz w:val="18"/>
          <w:szCs w:val="18"/>
        </w:rPr>
        <w:t>007</w:t>
      </w:r>
      <w:r>
        <w:rPr>
          <w:rFonts w:hint="eastAsia" w:ascii="宋体" w:hAnsi="宋体" w:eastAsia="宋体" w:cs="宋体"/>
          <w:sz w:val="18"/>
          <w:szCs w:val="18"/>
        </w:rPr>
        <w:t>）、《关于向特定对象发行股票的审核问询函及募集说明书等申请文件更新的提示性公告》（公告编号：</w:t>
      </w:r>
      <w:r>
        <w:rPr>
          <w:rFonts w:hint="default" w:ascii="Times New Roman" w:hAnsi="Times New Roman" w:eastAsia="宋体" w:cs="Times New Roman"/>
          <w:sz w:val="18"/>
          <w:szCs w:val="18"/>
        </w:rPr>
        <w:t>2025</w:t>
      </w:r>
      <w:r>
        <w:rPr>
          <w:rFonts w:hint="eastAsia" w:ascii="宋体" w:hAnsi="宋体" w:eastAsia="宋体" w:cs="宋体"/>
          <w:sz w:val="18"/>
          <w:szCs w:val="18"/>
        </w:rPr>
        <w:t>-</w:t>
      </w:r>
      <w:r>
        <w:rPr>
          <w:rFonts w:hint="default" w:ascii="Times New Roman" w:hAnsi="Times New Roman" w:eastAsia="宋体" w:cs="Times New Roman"/>
          <w:sz w:val="18"/>
          <w:szCs w:val="18"/>
        </w:rPr>
        <w:t>017</w:t>
      </w:r>
      <w:r>
        <w:rPr>
          <w:rFonts w:hint="eastAsia" w:ascii="宋体" w:hAnsi="宋体" w:eastAsia="宋体" w:cs="宋体"/>
          <w:sz w:val="18"/>
          <w:szCs w:val="18"/>
        </w:rPr>
        <w:t>）、《关于公司终止向特定对象发行股票事项并撤回申请文件的公告》（公告编号：</w:t>
      </w:r>
      <w:r>
        <w:rPr>
          <w:rFonts w:hint="default" w:ascii="Times New Roman" w:hAnsi="Times New Roman" w:eastAsia="宋体" w:cs="Times New Roman"/>
          <w:sz w:val="18"/>
          <w:szCs w:val="18"/>
        </w:rPr>
        <w:t>2025</w:t>
      </w:r>
      <w:r>
        <w:rPr>
          <w:rFonts w:hint="eastAsia" w:ascii="宋体" w:hAnsi="宋体" w:eastAsia="宋体" w:cs="宋体"/>
          <w:sz w:val="18"/>
          <w:szCs w:val="18"/>
        </w:rPr>
        <w:t>-</w:t>
      </w:r>
      <w:r>
        <w:rPr>
          <w:rFonts w:hint="default" w:ascii="Times New Roman" w:hAnsi="Times New Roman" w:eastAsia="宋体" w:cs="Times New Roman"/>
          <w:sz w:val="18"/>
          <w:szCs w:val="18"/>
        </w:rPr>
        <w:t>045</w:t>
      </w:r>
      <w:r>
        <w:rPr>
          <w:rFonts w:hint="eastAsia" w:ascii="宋体" w:hAnsi="宋体" w:eastAsia="宋体" w:cs="宋体"/>
          <w:sz w:val="18"/>
          <w:szCs w:val="18"/>
        </w:rPr>
        <w:t>）、《关于收到深圳证券交易所〈关于终止对冠昊生物科技股份有限公司申请向特定对象发行股票审核的决定〉的公告》（公告编号：</w:t>
      </w:r>
      <w:r>
        <w:rPr>
          <w:rFonts w:hint="default" w:ascii="Times New Roman" w:hAnsi="Times New Roman" w:eastAsia="宋体" w:cs="Times New Roman"/>
          <w:sz w:val="18"/>
          <w:szCs w:val="18"/>
        </w:rPr>
        <w:t>2025</w:t>
      </w:r>
      <w:r>
        <w:rPr>
          <w:rFonts w:hint="eastAsia" w:ascii="宋体" w:hAnsi="宋体" w:eastAsia="宋体" w:cs="宋体"/>
          <w:sz w:val="18"/>
          <w:szCs w:val="18"/>
        </w:rPr>
        <w:t>-</w:t>
      </w:r>
      <w:r>
        <w:rPr>
          <w:rFonts w:hint="default" w:ascii="Times New Roman" w:hAnsi="Times New Roman" w:eastAsia="宋体" w:cs="Times New Roman"/>
          <w:sz w:val="18"/>
          <w:szCs w:val="18"/>
        </w:rPr>
        <w:t>047</w:t>
      </w:r>
      <w:r>
        <w:rPr>
          <w:rFonts w:hint="eastAsia" w:ascii="宋体" w:hAnsi="宋体" w:eastAsia="宋体" w:cs="宋体"/>
          <w:sz w:val="18"/>
          <w:szCs w:val="18"/>
        </w:rPr>
        <w:t>）等相关公告。</w:t>
      </w:r>
    </w:p>
    <w:p w14:paraId="39ED436B">
      <w:pPr>
        <w:pStyle w:val="6"/>
        <w:keepNext w:val="0"/>
        <w:keepLines w:val="0"/>
        <w:widowControl/>
        <w:suppressLineNumbers w:val="0"/>
        <w:spacing w:before="0" w:beforeAutospacing="0" w:after="0" w:afterAutospacing="0"/>
        <w:ind w:left="0" w:right="0" w:firstLine="360"/>
        <w:rPr>
          <w:rFonts w:hint="eastAsia" w:ascii="宋体" w:hAnsi="宋体" w:eastAsia="宋体" w:cs="宋体"/>
          <w:sz w:val="24"/>
          <w:szCs w:val="24"/>
        </w:rPr>
      </w:pPr>
      <w:r>
        <w:rPr>
          <w:rFonts w:hint="default" w:ascii="Times New Roman" w:hAnsi="Times New Roman" w:eastAsia="宋体" w:cs="Times New Roman"/>
          <w:sz w:val="18"/>
          <w:szCs w:val="18"/>
        </w:rPr>
        <w:t>3</w:t>
      </w:r>
      <w:r>
        <w:rPr>
          <w:rFonts w:hint="eastAsia" w:ascii="宋体" w:hAnsi="宋体" w:eastAsia="宋体" w:cs="宋体"/>
          <w:sz w:val="18"/>
          <w:szCs w:val="18"/>
        </w:rPr>
        <w:t>、公司于</w:t>
      </w:r>
      <w:r>
        <w:rPr>
          <w:rFonts w:hint="default" w:ascii="Times New Roman" w:hAnsi="Times New Roman" w:eastAsia="宋体" w:cs="Times New Roman"/>
          <w:sz w:val="18"/>
          <w:szCs w:val="18"/>
        </w:rPr>
        <w:t>2026</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w:t>
      </w:r>
      <w:r>
        <w:rPr>
          <w:rFonts w:hint="default" w:ascii="Times New Roman" w:hAnsi="Times New Roman" w:eastAsia="宋体" w:cs="Times New Roman"/>
          <w:sz w:val="18"/>
          <w:szCs w:val="18"/>
        </w:rPr>
        <w:t>13</w:t>
      </w:r>
      <w:r>
        <w:rPr>
          <w:rFonts w:hint="eastAsia" w:ascii="宋体" w:hAnsi="宋体" w:eastAsia="宋体" w:cs="宋体"/>
          <w:sz w:val="18"/>
          <w:szCs w:val="18"/>
        </w:rPr>
        <w:t>日在巨潮资讯网上披露了《关于补缴税款的公告》（公告编号：</w:t>
      </w:r>
      <w:r>
        <w:rPr>
          <w:rFonts w:hint="default" w:ascii="Times New Roman" w:hAnsi="Times New Roman" w:eastAsia="宋体" w:cs="Times New Roman"/>
          <w:sz w:val="18"/>
          <w:szCs w:val="18"/>
        </w:rPr>
        <w:t>2026-002</w:t>
      </w:r>
      <w:r>
        <w:rPr>
          <w:rFonts w:hint="eastAsia" w:ascii="宋体" w:hAnsi="宋体" w:eastAsia="宋体" w:cs="宋体"/>
          <w:sz w:val="18"/>
          <w:szCs w:val="18"/>
        </w:rPr>
        <w:t>）。</w:t>
      </w:r>
    </w:p>
    <w:p w14:paraId="54C91E29">
      <w:pPr>
        <w:pStyle w:val="2"/>
        <w:keepNext/>
        <w:keepLines/>
        <w:spacing w:before="300" w:after="300" w:line="320" w:lineRule="exact"/>
        <w:jc w:val="left"/>
        <w:outlineLvl w:val="1"/>
        <w:rPr>
          <w:rFonts w:ascii="宋体" w:hAnsi="宋体" w:eastAsia="宋体" w:cs="宋体"/>
          <w:b/>
          <w:bCs/>
          <w:sz w:val="24"/>
          <w:szCs w:val="24"/>
        </w:rPr>
      </w:pPr>
      <w:bookmarkStart w:id="186" w:name="_Toc9037"/>
      <w:bookmarkStart w:id="187" w:name="_Toc989011"/>
      <w:r>
        <w:rPr>
          <w:rFonts w:ascii="宋体" w:hAnsi="宋体" w:eastAsia="宋体" w:cs="宋体"/>
          <w:b/>
          <w:bCs/>
          <w:sz w:val="24"/>
          <w:szCs w:val="24"/>
        </w:rPr>
        <w:t>十八、公司子公司重大事项</w:t>
      </w:r>
      <w:bookmarkEnd w:id="186"/>
      <w:bookmarkEnd w:id="187"/>
    </w:p>
    <w:p w14:paraId="78BA9436">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0153F322">
      <w:pPr>
        <w:pStyle w:val="6"/>
        <w:keepNext w:val="0"/>
        <w:keepLines w:val="0"/>
        <w:widowControl/>
        <w:suppressLineNumbers w:val="0"/>
        <w:spacing w:before="0" w:beforeAutospacing="0" w:after="0" w:afterAutospacing="0"/>
        <w:ind w:left="0" w:right="0" w:firstLine="360"/>
        <w:rPr>
          <w:rFonts w:hint="eastAsia" w:ascii="宋体" w:hAnsi="宋体" w:eastAsia="宋体" w:cs="宋体"/>
          <w:sz w:val="24"/>
          <w:szCs w:val="24"/>
        </w:rPr>
      </w:pPr>
      <w:r>
        <w:rPr>
          <w:rFonts w:hint="eastAsia" w:ascii="宋体" w:hAnsi="宋体" w:eastAsia="宋体" w:cs="宋体"/>
          <w:sz w:val="18"/>
          <w:szCs w:val="18"/>
        </w:rPr>
        <w:t>珠海祥乐涉及仲裁事项（案号：</w:t>
      </w:r>
      <w:r>
        <w:rPr>
          <w:rFonts w:hint="default" w:ascii="Times New Roman" w:hAnsi="Times New Roman" w:eastAsia="宋体" w:cs="Times New Roman"/>
          <w:sz w:val="18"/>
          <w:szCs w:val="18"/>
        </w:rPr>
        <w:t>HKIAC</w:t>
      </w:r>
      <w:r>
        <w:rPr>
          <w:rFonts w:hint="eastAsia" w:ascii="宋体" w:hAnsi="宋体" w:eastAsia="宋体" w:cs="宋体"/>
          <w:sz w:val="18"/>
          <w:szCs w:val="18"/>
        </w:rPr>
        <w:t>/</w:t>
      </w:r>
      <w:r>
        <w:rPr>
          <w:rFonts w:hint="default" w:ascii="Times New Roman" w:hAnsi="Times New Roman" w:eastAsia="宋体" w:cs="Times New Roman"/>
          <w:sz w:val="18"/>
          <w:szCs w:val="18"/>
        </w:rPr>
        <w:t>A23008</w:t>
      </w:r>
      <w:r>
        <w:rPr>
          <w:rFonts w:hint="eastAsia" w:ascii="宋体" w:hAnsi="宋体" w:eastAsia="宋体" w:cs="宋体"/>
          <w:sz w:val="18"/>
          <w:szCs w:val="18"/>
        </w:rPr>
        <w:t>），</w:t>
      </w:r>
      <w:r>
        <w:rPr>
          <w:rFonts w:hint="default" w:ascii="Times New Roman" w:hAnsi="Times New Roman" w:eastAsia="宋体" w:cs="Times New Roman"/>
          <w:sz w:val="18"/>
          <w:szCs w:val="18"/>
        </w:rPr>
        <w:t>2024</w:t>
      </w:r>
      <w:r>
        <w:rPr>
          <w:rFonts w:hint="eastAsia" w:ascii="宋体" w:hAnsi="宋体" w:eastAsia="宋体" w:cs="宋体"/>
          <w:sz w:val="18"/>
          <w:szCs w:val="18"/>
        </w:rPr>
        <w:t>年</w:t>
      </w:r>
      <w:r>
        <w:rPr>
          <w:rFonts w:hint="default" w:ascii="Times New Roman" w:hAnsi="Times New Roman" w:eastAsia="宋体" w:cs="Times New Roman"/>
          <w:sz w:val="18"/>
          <w:szCs w:val="18"/>
        </w:rPr>
        <w:t>8</w:t>
      </w:r>
      <w:r>
        <w:rPr>
          <w:rFonts w:hint="eastAsia" w:ascii="宋体" w:hAnsi="宋体" w:eastAsia="宋体" w:cs="宋体"/>
          <w:sz w:val="18"/>
          <w:szCs w:val="18"/>
        </w:rPr>
        <w:t>月收到香港国际仲裁中心发出的《</w:t>
      </w:r>
      <w:r>
        <w:rPr>
          <w:rFonts w:hint="default" w:ascii="Times New Roman" w:hAnsi="Times New Roman" w:eastAsia="宋体" w:cs="Times New Roman"/>
          <w:sz w:val="18"/>
          <w:szCs w:val="18"/>
        </w:rPr>
        <w:t>PARTIALAWARD</w:t>
      </w:r>
      <w:r>
        <w:rPr>
          <w:rFonts w:hint="eastAsia" w:ascii="宋体" w:hAnsi="宋体" w:eastAsia="宋体" w:cs="宋体"/>
          <w:sz w:val="18"/>
          <w:szCs w:val="18"/>
        </w:rPr>
        <w:t>》（</w:t>
      </w:r>
      <w:r>
        <w:rPr>
          <w:rFonts w:hint="default" w:ascii="Times New Roman" w:hAnsi="Times New Roman" w:eastAsia="宋体" w:cs="Times New Roman"/>
          <w:sz w:val="18"/>
          <w:szCs w:val="18"/>
        </w:rPr>
        <w:t>HKIAC</w:t>
      </w:r>
      <w:r>
        <w:rPr>
          <w:rFonts w:hint="eastAsia" w:ascii="宋体" w:hAnsi="宋体" w:eastAsia="宋体" w:cs="宋体"/>
          <w:sz w:val="18"/>
          <w:szCs w:val="18"/>
        </w:rPr>
        <w:t>/</w:t>
      </w:r>
      <w:r>
        <w:rPr>
          <w:rFonts w:hint="default" w:ascii="Times New Roman" w:hAnsi="Times New Roman" w:eastAsia="宋体" w:cs="Times New Roman"/>
          <w:sz w:val="18"/>
          <w:szCs w:val="18"/>
        </w:rPr>
        <w:t>A23008</w:t>
      </w:r>
      <w:r>
        <w:rPr>
          <w:rFonts w:hint="eastAsia" w:ascii="宋体" w:hAnsi="宋体" w:eastAsia="宋体" w:cs="宋体"/>
          <w:sz w:val="18"/>
          <w:szCs w:val="18"/>
        </w:rPr>
        <w:t>），具体内容详见公司于</w:t>
      </w:r>
      <w:r>
        <w:rPr>
          <w:rFonts w:hint="default" w:ascii="Times New Roman" w:hAnsi="Times New Roman" w:eastAsia="宋体" w:cs="Times New Roman"/>
          <w:sz w:val="18"/>
          <w:szCs w:val="18"/>
        </w:rPr>
        <w:t>2024</w:t>
      </w:r>
      <w:r>
        <w:rPr>
          <w:rFonts w:hint="eastAsia" w:ascii="宋体" w:hAnsi="宋体" w:eastAsia="宋体" w:cs="宋体"/>
          <w:sz w:val="18"/>
          <w:szCs w:val="18"/>
        </w:rPr>
        <w:t>年</w:t>
      </w:r>
      <w:r>
        <w:rPr>
          <w:rFonts w:hint="default" w:ascii="Times New Roman" w:hAnsi="Times New Roman" w:eastAsia="宋体" w:cs="Times New Roman"/>
          <w:sz w:val="18"/>
          <w:szCs w:val="18"/>
        </w:rPr>
        <w:t>8</w:t>
      </w:r>
      <w:r>
        <w:rPr>
          <w:rFonts w:hint="eastAsia" w:ascii="宋体" w:hAnsi="宋体" w:eastAsia="宋体" w:cs="宋体"/>
          <w:sz w:val="18"/>
          <w:szCs w:val="18"/>
        </w:rPr>
        <w:t>月</w:t>
      </w:r>
      <w:r>
        <w:rPr>
          <w:rFonts w:hint="default" w:ascii="Times New Roman" w:hAnsi="Times New Roman" w:eastAsia="宋体" w:cs="Times New Roman"/>
          <w:sz w:val="18"/>
          <w:szCs w:val="18"/>
        </w:rPr>
        <w:t>13</w:t>
      </w:r>
      <w:r>
        <w:rPr>
          <w:rFonts w:hint="eastAsia" w:ascii="宋体" w:hAnsi="宋体" w:eastAsia="宋体" w:cs="宋体"/>
          <w:sz w:val="18"/>
          <w:szCs w:val="18"/>
        </w:rPr>
        <w:t>日刊登在巨潮资讯网上的《关于仲裁进展的公告》（公告编号：</w:t>
      </w:r>
      <w:r>
        <w:rPr>
          <w:rFonts w:hint="default" w:ascii="Times New Roman" w:hAnsi="Times New Roman" w:eastAsia="宋体" w:cs="Times New Roman"/>
          <w:sz w:val="18"/>
          <w:szCs w:val="18"/>
        </w:rPr>
        <w:t>2024</w:t>
      </w:r>
      <w:r>
        <w:rPr>
          <w:rFonts w:hint="eastAsia" w:ascii="宋体" w:hAnsi="宋体" w:eastAsia="宋体" w:cs="宋体"/>
          <w:sz w:val="18"/>
          <w:szCs w:val="18"/>
        </w:rPr>
        <w:t>-</w:t>
      </w:r>
      <w:r>
        <w:rPr>
          <w:rFonts w:hint="default" w:ascii="Times New Roman" w:hAnsi="Times New Roman" w:eastAsia="宋体" w:cs="Times New Roman"/>
          <w:sz w:val="18"/>
          <w:szCs w:val="18"/>
        </w:rPr>
        <w:t>030</w:t>
      </w:r>
      <w:r>
        <w:rPr>
          <w:rFonts w:hint="eastAsia" w:ascii="宋体" w:hAnsi="宋体" w:eastAsia="宋体" w:cs="宋体"/>
          <w:sz w:val="18"/>
          <w:szCs w:val="18"/>
        </w:rPr>
        <w:t>）；</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1</w:t>
      </w:r>
      <w:r>
        <w:rPr>
          <w:rFonts w:hint="eastAsia" w:ascii="宋体" w:hAnsi="宋体" w:eastAsia="宋体" w:cs="宋体"/>
          <w:sz w:val="18"/>
          <w:szCs w:val="18"/>
        </w:rPr>
        <w:t>月收到香港国际仲裁中心发出的《</w:t>
      </w:r>
      <w:r>
        <w:rPr>
          <w:rFonts w:hint="default" w:ascii="Times New Roman" w:hAnsi="Times New Roman" w:eastAsia="宋体" w:cs="Times New Roman"/>
          <w:sz w:val="18"/>
          <w:szCs w:val="18"/>
        </w:rPr>
        <w:t>CONSENTAWARD</w:t>
      </w:r>
      <w:r>
        <w:rPr>
          <w:rFonts w:hint="eastAsia" w:ascii="宋体" w:hAnsi="宋体" w:eastAsia="宋体" w:cs="宋体"/>
          <w:sz w:val="18"/>
          <w:szCs w:val="18"/>
        </w:rPr>
        <w:t>》（</w:t>
      </w:r>
      <w:r>
        <w:rPr>
          <w:rFonts w:hint="default" w:ascii="Times New Roman" w:hAnsi="Times New Roman" w:eastAsia="宋体" w:cs="Times New Roman"/>
          <w:sz w:val="18"/>
          <w:szCs w:val="18"/>
        </w:rPr>
        <w:t>HKIAC</w:t>
      </w:r>
      <w:r>
        <w:rPr>
          <w:rFonts w:hint="eastAsia" w:ascii="宋体" w:hAnsi="宋体" w:eastAsia="宋体" w:cs="宋体"/>
          <w:sz w:val="18"/>
          <w:szCs w:val="18"/>
        </w:rPr>
        <w:t>/</w:t>
      </w:r>
      <w:r>
        <w:rPr>
          <w:rFonts w:hint="default" w:ascii="Times New Roman" w:hAnsi="Times New Roman" w:eastAsia="宋体" w:cs="Times New Roman"/>
          <w:sz w:val="18"/>
          <w:szCs w:val="18"/>
        </w:rPr>
        <w:t>A23008</w:t>
      </w:r>
      <w:r>
        <w:rPr>
          <w:rFonts w:hint="eastAsia" w:ascii="宋体" w:hAnsi="宋体" w:eastAsia="宋体" w:cs="宋体"/>
          <w:sz w:val="18"/>
          <w:szCs w:val="18"/>
        </w:rPr>
        <w:t>），具体内容详见公司于</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1</w:t>
      </w:r>
      <w:r>
        <w:rPr>
          <w:rFonts w:hint="eastAsia" w:ascii="宋体" w:hAnsi="宋体" w:eastAsia="宋体" w:cs="宋体"/>
          <w:sz w:val="18"/>
          <w:szCs w:val="18"/>
        </w:rPr>
        <w:t>月</w:t>
      </w:r>
      <w:r>
        <w:rPr>
          <w:rFonts w:hint="default" w:ascii="Times New Roman" w:hAnsi="Times New Roman" w:eastAsia="宋体" w:cs="Times New Roman"/>
          <w:sz w:val="18"/>
          <w:szCs w:val="18"/>
        </w:rPr>
        <w:t>9</w:t>
      </w:r>
      <w:r>
        <w:rPr>
          <w:rFonts w:hint="eastAsia" w:ascii="宋体" w:hAnsi="宋体" w:eastAsia="宋体" w:cs="宋体"/>
          <w:sz w:val="18"/>
          <w:szCs w:val="18"/>
        </w:rPr>
        <w:t>日刊登在巨潮资讯网上的《关于仲裁进展的公告》（公告编号：</w:t>
      </w:r>
      <w:r>
        <w:rPr>
          <w:rFonts w:hint="default" w:ascii="Times New Roman" w:hAnsi="Times New Roman" w:eastAsia="宋体" w:cs="Times New Roman"/>
          <w:sz w:val="18"/>
          <w:szCs w:val="18"/>
        </w:rPr>
        <w:t>2025</w:t>
      </w:r>
      <w:r>
        <w:rPr>
          <w:rFonts w:hint="eastAsia" w:ascii="宋体" w:hAnsi="宋体" w:eastAsia="宋体" w:cs="宋体"/>
          <w:sz w:val="18"/>
          <w:szCs w:val="18"/>
        </w:rPr>
        <w:t>-</w:t>
      </w:r>
      <w:r>
        <w:rPr>
          <w:rFonts w:hint="default" w:ascii="Times New Roman" w:hAnsi="Times New Roman" w:eastAsia="宋体" w:cs="Times New Roman"/>
          <w:sz w:val="18"/>
          <w:szCs w:val="18"/>
        </w:rPr>
        <w:t>002</w:t>
      </w:r>
      <w:r>
        <w:rPr>
          <w:rFonts w:hint="eastAsia" w:ascii="宋体" w:hAnsi="宋体" w:eastAsia="宋体" w:cs="宋体"/>
          <w:sz w:val="18"/>
          <w:szCs w:val="18"/>
        </w:rPr>
        <w:t>）。</w:t>
      </w:r>
    </w:p>
    <w:p w14:paraId="01D90921">
      <w:r>
        <w:br w:type="page"/>
      </w:r>
    </w:p>
    <w:p w14:paraId="3E80BD38">
      <w:pPr>
        <w:pStyle w:val="11"/>
        <w:keepNext/>
        <w:keepLines/>
        <w:spacing w:before="340" w:after="330" w:line="773" w:lineRule="exact"/>
        <w:jc w:val="center"/>
        <w:outlineLvl w:val="0"/>
        <w:rPr>
          <w:rFonts w:ascii="宋体" w:hAnsi="宋体" w:eastAsia="宋体" w:cs="宋体"/>
          <w:b/>
          <w:bCs/>
          <w:sz w:val="32"/>
          <w:szCs w:val="32"/>
        </w:rPr>
      </w:pPr>
      <w:bookmarkStart w:id="188" w:name="_Toc965"/>
      <w:bookmarkStart w:id="189" w:name="_Toc989012"/>
      <w:r>
        <w:rPr>
          <w:rFonts w:ascii="宋体" w:hAnsi="宋体" w:eastAsia="宋体" w:cs="宋体"/>
          <w:b/>
          <w:bCs/>
          <w:sz w:val="32"/>
          <w:szCs w:val="32"/>
        </w:rPr>
        <w:t>第六节 股份变动及股东情况</w:t>
      </w:r>
      <w:bookmarkEnd w:id="188"/>
      <w:bookmarkEnd w:id="189"/>
    </w:p>
    <w:p w14:paraId="60A2AA4B">
      <w:pPr>
        <w:pStyle w:val="2"/>
        <w:keepNext/>
        <w:keepLines/>
        <w:spacing w:before="300" w:after="300" w:line="320" w:lineRule="exact"/>
        <w:jc w:val="left"/>
        <w:outlineLvl w:val="1"/>
        <w:rPr>
          <w:rFonts w:ascii="宋体" w:hAnsi="宋体" w:eastAsia="宋体" w:cs="宋体"/>
          <w:b/>
          <w:bCs/>
          <w:sz w:val="24"/>
          <w:szCs w:val="24"/>
        </w:rPr>
      </w:pPr>
      <w:bookmarkStart w:id="190" w:name="_Toc19269"/>
      <w:bookmarkStart w:id="191" w:name="_Toc989013"/>
      <w:r>
        <w:rPr>
          <w:rFonts w:ascii="宋体" w:hAnsi="宋体" w:eastAsia="宋体" w:cs="宋体"/>
          <w:b/>
          <w:bCs/>
          <w:sz w:val="24"/>
          <w:szCs w:val="24"/>
        </w:rPr>
        <w:t>一、股份变动情况</w:t>
      </w:r>
      <w:bookmarkEnd w:id="190"/>
      <w:bookmarkEnd w:id="191"/>
    </w:p>
    <w:p w14:paraId="13125566">
      <w:pPr>
        <w:pStyle w:val="3"/>
        <w:keepNext/>
        <w:keepLines/>
        <w:spacing w:before="300" w:after="300" w:line="280" w:lineRule="exact"/>
        <w:jc w:val="left"/>
        <w:outlineLvl w:val="2"/>
        <w:rPr>
          <w:rFonts w:ascii="宋体" w:hAnsi="宋体" w:eastAsia="宋体" w:cs="宋体"/>
          <w:b/>
          <w:bCs/>
          <w:sz w:val="21"/>
          <w:szCs w:val="21"/>
        </w:rPr>
      </w:pPr>
      <w:bookmarkStart w:id="192" w:name="_Toc989014"/>
      <w:r>
        <w:rPr>
          <w:rFonts w:hint="default" w:ascii="Times New Roman" w:hAnsi="Times New Roman" w:eastAsia="宋体" w:cs="Times New Roman"/>
          <w:b/>
          <w:bCs/>
          <w:sz w:val="21"/>
          <w:szCs w:val="21"/>
        </w:rPr>
        <w:t>1</w:t>
      </w:r>
      <w:r>
        <w:rPr>
          <w:rFonts w:ascii="宋体" w:hAnsi="宋体" w:eastAsia="宋体" w:cs="宋体"/>
          <w:b/>
          <w:bCs/>
          <w:sz w:val="21"/>
          <w:szCs w:val="21"/>
        </w:rPr>
        <w:t>、股份变动情况</w:t>
      </w:r>
      <w:bookmarkEnd w:id="192"/>
    </w:p>
    <w:p w14:paraId="5883F2C5">
      <w:pPr>
        <w:spacing w:before="40" w:after="40" w:line="240" w:lineRule="exact"/>
        <w:jc w:val="right"/>
        <w:rPr>
          <w:rFonts w:ascii="宋体" w:hAnsi="宋体" w:eastAsia="宋体" w:cs="宋体"/>
          <w:sz w:val="18"/>
          <w:szCs w:val="18"/>
        </w:rPr>
      </w:pPr>
      <w:r>
        <w:rPr>
          <w:rFonts w:ascii="宋体" w:hAnsi="宋体" w:eastAsia="宋体" w:cs="宋体"/>
          <w:sz w:val="18"/>
          <w:szCs w:val="18"/>
        </w:rPr>
        <w:t>单位：股
</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14:paraId="3ADDE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5BD0771">
            <w:pPr>
              <w:rPr>
                <w:rFonts w:hint="default" w:ascii="Times New Roman" w:hAnsi="Times New Roman" w:cs="Times New Roman"/>
              </w:rPr>
            </w:pP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6113EE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本次变动前</w:t>
            </w:r>
          </w:p>
        </w:tc>
        <w:tc>
          <w:tcPr>
            <w:tcW w:w="482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6092FDA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本次变动增减（＋，－）</w:t>
            </w: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F24B31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本次变动后</w:t>
            </w:r>
          </w:p>
        </w:tc>
      </w:tr>
      <w:tr w14:paraId="69EDC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6ACB9CB">
            <w:pPr>
              <w:rPr>
                <w:rFonts w:hint="default" w:ascii="Times New Roman" w:hAnsi="Times New Roman" w:cs="Times New Roman"/>
              </w:rPr>
            </w:pP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55DF925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6896020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比例</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697515A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发行新股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6D3107A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送股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52B2197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公积金转股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3FA8945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783EAD0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小计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38E7F82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1087BDF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比例</w:t>
            </w:r>
          </w:p>
        </w:tc>
      </w:tr>
      <w:tr w14:paraId="326EF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52778153">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一、有限售条件股份</w:t>
            </w:r>
          </w:p>
        </w:tc>
        <w:tc>
          <w:tcPr>
            <w:tcW w:w="964" w:type="dxa"/>
            <w:tcBorders>
              <w:top w:val="single" w:color="auto" w:sz="2" w:space="0"/>
              <w:left w:val="single" w:color="auto" w:sz="2" w:space="0"/>
              <w:bottom w:val="single" w:color="auto" w:sz="2" w:space="0"/>
              <w:right w:val="single" w:color="auto" w:sz="2" w:space="0"/>
            </w:tcBorders>
            <w:vAlign w:val="center"/>
          </w:tcPr>
          <w:p w14:paraId="3014429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21,619</w:t>
            </w:r>
          </w:p>
        </w:tc>
        <w:tc>
          <w:tcPr>
            <w:tcW w:w="964" w:type="dxa"/>
            <w:tcBorders>
              <w:top w:val="single" w:color="auto" w:sz="2" w:space="0"/>
              <w:left w:val="single" w:color="auto" w:sz="2" w:space="0"/>
              <w:bottom w:val="single" w:color="auto" w:sz="2" w:space="0"/>
              <w:right w:val="single" w:color="auto" w:sz="2" w:space="0"/>
            </w:tcBorders>
            <w:vAlign w:val="center"/>
          </w:tcPr>
          <w:p w14:paraId="0628E03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0.01%</w:t>
            </w:r>
          </w:p>
        </w:tc>
        <w:tc>
          <w:tcPr>
            <w:tcW w:w="964" w:type="dxa"/>
            <w:tcBorders>
              <w:top w:val="single" w:color="auto" w:sz="2" w:space="0"/>
              <w:left w:val="single" w:color="auto" w:sz="2" w:space="0"/>
              <w:bottom w:val="single" w:color="auto" w:sz="2" w:space="0"/>
              <w:right w:val="single" w:color="auto" w:sz="2" w:space="0"/>
            </w:tcBorders>
            <w:vAlign w:val="center"/>
          </w:tcPr>
          <w:p w14:paraId="25C7D23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11B52A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1FAB68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082607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ABF253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60B66B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21,619</w:t>
            </w:r>
          </w:p>
        </w:tc>
        <w:tc>
          <w:tcPr>
            <w:tcW w:w="964" w:type="dxa"/>
            <w:tcBorders>
              <w:top w:val="single" w:color="auto" w:sz="2" w:space="0"/>
              <w:left w:val="single" w:color="auto" w:sz="2" w:space="0"/>
              <w:bottom w:val="single" w:color="auto" w:sz="2" w:space="0"/>
              <w:right w:val="single" w:color="auto" w:sz="2" w:space="0"/>
            </w:tcBorders>
            <w:vAlign w:val="center"/>
          </w:tcPr>
          <w:p w14:paraId="4B6FA1D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0.01%</w:t>
            </w:r>
          </w:p>
        </w:tc>
      </w:tr>
      <w:tr w14:paraId="3276F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043CA300">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1、国家持股</w:t>
            </w:r>
          </w:p>
        </w:tc>
        <w:tc>
          <w:tcPr>
            <w:tcW w:w="964" w:type="dxa"/>
            <w:tcBorders>
              <w:top w:val="single" w:color="auto" w:sz="2" w:space="0"/>
              <w:left w:val="single" w:color="auto" w:sz="2" w:space="0"/>
              <w:bottom w:val="single" w:color="auto" w:sz="2" w:space="0"/>
              <w:right w:val="single" w:color="auto" w:sz="2" w:space="0"/>
            </w:tcBorders>
            <w:vAlign w:val="center"/>
          </w:tcPr>
          <w:p w14:paraId="0E17545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1439F5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7CD96B8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F1176C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9E38DC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7D1AC1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B7D43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AD88D4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C2DBF9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14:paraId="3B61D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76FD280C">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2、国有法人持股</w:t>
            </w:r>
          </w:p>
        </w:tc>
        <w:tc>
          <w:tcPr>
            <w:tcW w:w="964" w:type="dxa"/>
            <w:tcBorders>
              <w:top w:val="single" w:color="auto" w:sz="2" w:space="0"/>
              <w:left w:val="single" w:color="auto" w:sz="2" w:space="0"/>
              <w:bottom w:val="single" w:color="auto" w:sz="2" w:space="0"/>
              <w:right w:val="single" w:color="auto" w:sz="2" w:space="0"/>
            </w:tcBorders>
            <w:vAlign w:val="center"/>
          </w:tcPr>
          <w:p w14:paraId="0D480F6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CD4781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109CDAF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A67768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08B243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4DBF55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81FD14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142B83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C45D9A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14:paraId="2F6D3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78DEC011">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3、其他内资持股</w:t>
            </w:r>
          </w:p>
        </w:tc>
        <w:tc>
          <w:tcPr>
            <w:tcW w:w="964" w:type="dxa"/>
            <w:tcBorders>
              <w:top w:val="single" w:color="auto" w:sz="2" w:space="0"/>
              <w:left w:val="single" w:color="auto" w:sz="2" w:space="0"/>
              <w:bottom w:val="single" w:color="auto" w:sz="2" w:space="0"/>
              <w:right w:val="single" w:color="auto" w:sz="2" w:space="0"/>
            </w:tcBorders>
            <w:vAlign w:val="center"/>
          </w:tcPr>
          <w:p w14:paraId="050481B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21,619</w:t>
            </w:r>
          </w:p>
        </w:tc>
        <w:tc>
          <w:tcPr>
            <w:tcW w:w="964" w:type="dxa"/>
            <w:tcBorders>
              <w:top w:val="single" w:color="auto" w:sz="2" w:space="0"/>
              <w:left w:val="single" w:color="auto" w:sz="2" w:space="0"/>
              <w:bottom w:val="single" w:color="auto" w:sz="2" w:space="0"/>
              <w:right w:val="single" w:color="auto" w:sz="2" w:space="0"/>
            </w:tcBorders>
            <w:vAlign w:val="center"/>
          </w:tcPr>
          <w:p w14:paraId="1A1C661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0.01%</w:t>
            </w:r>
          </w:p>
        </w:tc>
        <w:tc>
          <w:tcPr>
            <w:tcW w:w="964" w:type="dxa"/>
            <w:tcBorders>
              <w:top w:val="single" w:color="auto" w:sz="2" w:space="0"/>
              <w:left w:val="single" w:color="auto" w:sz="2" w:space="0"/>
              <w:bottom w:val="single" w:color="auto" w:sz="2" w:space="0"/>
              <w:right w:val="single" w:color="auto" w:sz="2" w:space="0"/>
            </w:tcBorders>
            <w:vAlign w:val="center"/>
          </w:tcPr>
          <w:p w14:paraId="6F47116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E3FD78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FCFF50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E217B2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4576FE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C5462F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21,619</w:t>
            </w:r>
          </w:p>
        </w:tc>
        <w:tc>
          <w:tcPr>
            <w:tcW w:w="964" w:type="dxa"/>
            <w:tcBorders>
              <w:top w:val="single" w:color="auto" w:sz="2" w:space="0"/>
              <w:left w:val="single" w:color="auto" w:sz="2" w:space="0"/>
              <w:bottom w:val="single" w:color="auto" w:sz="2" w:space="0"/>
              <w:right w:val="single" w:color="auto" w:sz="2" w:space="0"/>
            </w:tcBorders>
            <w:vAlign w:val="center"/>
          </w:tcPr>
          <w:p w14:paraId="59DF374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0.01%</w:t>
            </w:r>
          </w:p>
        </w:tc>
      </w:tr>
      <w:tr w14:paraId="193A4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09C55E7B">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其中：境内法人持股</w:t>
            </w:r>
          </w:p>
        </w:tc>
        <w:tc>
          <w:tcPr>
            <w:tcW w:w="964" w:type="dxa"/>
            <w:tcBorders>
              <w:top w:val="single" w:color="auto" w:sz="2" w:space="0"/>
              <w:left w:val="single" w:color="auto" w:sz="2" w:space="0"/>
              <w:bottom w:val="single" w:color="auto" w:sz="2" w:space="0"/>
              <w:right w:val="single" w:color="auto" w:sz="2" w:space="0"/>
            </w:tcBorders>
            <w:vAlign w:val="center"/>
          </w:tcPr>
          <w:p w14:paraId="7DCA2F1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6E6F2B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27DB89A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4410FE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C75C1C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2BD4C0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2027A3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D9AD03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E5C3F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14:paraId="44995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23A2C3C3">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境内自然人持股</w:t>
            </w:r>
          </w:p>
        </w:tc>
        <w:tc>
          <w:tcPr>
            <w:tcW w:w="964" w:type="dxa"/>
            <w:tcBorders>
              <w:top w:val="single" w:color="auto" w:sz="2" w:space="0"/>
              <w:left w:val="single" w:color="auto" w:sz="2" w:space="0"/>
              <w:bottom w:val="single" w:color="auto" w:sz="2" w:space="0"/>
              <w:right w:val="single" w:color="auto" w:sz="2" w:space="0"/>
            </w:tcBorders>
            <w:vAlign w:val="center"/>
          </w:tcPr>
          <w:p w14:paraId="1666844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21,619</w:t>
            </w:r>
          </w:p>
        </w:tc>
        <w:tc>
          <w:tcPr>
            <w:tcW w:w="964" w:type="dxa"/>
            <w:tcBorders>
              <w:top w:val="single" w:color="auto" w:sz="2" w:space="0"/>
              <w:left w:val="single" w:color="auto" w:sz="2" w:space="0"/>
              <w:bottom w:val="single" w:color="auto" w:sz="2" w:space="0"/>
              <w:right w:val="single" w:color="auto" w:sz="2" w:space="0"/>
            </w:tcBorders>
            <w:vAlign w:val="center"/>
          </w:tcPr>
          <w:p w14:paraId="4659DFC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0.01%</w:t>
            </w:r>
          </w:p>
        </w:tc>
        <w:tc>
          <w:tcPr>
            <w:tcW w:w="964" w:type="dxa"/>
            <w:tcBorders>
              <w:top w:val="single" w:color="auto" w:sz="2" w:space="0"/>
              <w:left w:val="single" w:color="auto" w:sz="2" w:space="0"/>
              <w:bottom w:val="single" w:color="auto" w:sz="2" w:space="0"/>
              <w:right w:val="single" w:color="auto" w:sz="2" w:space="0"/>
            </w:tcBorders>
            <w:vAlign w:val="center"/>
          </w:tcPr>
          <w:p w14:paraId="09F38AE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4BA751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CBF814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29713B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033149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0A8A49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21,619</w:t>
            </w:r>
          </w:p>
        </w:tc>
        <w:tc>
          <w:tcPr>
            <w:tcW w:w="964" w:type="dxa"/>
            <w:tcBorders>
              <w:top w:val="single" w:color="auto" w:sz="2" w:space="0"/>
              <w:left w:val="single" w:color="auto" w:sz="2" w:space="0"/>
              <w:bottom w:val="single" w:color="auto" w:sz="2" w:space="0"/>
              <w:right w:val="single" w:color="auto" w:sz="2" w:space="0"/>
            </w:tcBorders>
            <w:vAlign w:val="center"/>
          </w:tcPr>
          <w:p w14:paraId="31BB681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0.01%</w:t>
            </w:r>
          </w:p>
        </w:tc>
      </w:tr>
      <w:tr w14:paraId="0A20C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7B80FA4B">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4、外资持股</w:t>
            </w:r>
          </w:p>
        </w:tc>
        <w:tc>
          <w:tcPr>
            <w:tcW w:w="964" w:type="dxa"/>
            <w:tcBorders>
              <w:top w:val="single" w:color="auto" w:sz="2" w:space="0"/>
              <w:left w:val="single" w:color="auto" w:sz="2" w:space="0"/>
              <w:bottom w:val="single" w:color="auto" w:sz="2" w:space="0"/>
              <w:right w:val="single" w:color="auto" w:sz="2" w:space="0"/>
            </w:tcBorders>
            <w:vAlign w:val="center"/>
          </w:tcPr>
          <w:p w14:paraId="0AD0DB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5C49A3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4264368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949B3D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C285C5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1D1C67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3F3FC4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2BA7C0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6E658C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14:paraId="7429E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2013A5E2">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其中：境外法人持股</w:t>
            </w:r>
          </w:p>
        </w:tc>
        <w:tc>
          <w:tcPr>
            <w:tcW w:w="964" w:type="dxa"/>
            <w:tcBorders>
              <w:top w:val="single" w:color="auto" w:sz="2" w:space="0"/>
              <w:left w:val="single" w:color="auto" w:sz="2" w:space="0"/>
              <w:bottom w:val="single" w:color="auto" w:sz="2" w:space="0"/>
              <w:right w:val="single" w:color="auto" w:sz="2" w:space="0"/>
            </w:tcBorders>
            <w:vAlign w:val="center"/>
          </w:tcPr>
          <w:p w14:paraId="4012EB0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3ED607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52C324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185374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33C3D1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31E6BA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79349E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40BCC6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250ABC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14:paraId="6E5DD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2E84DE43">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境外自然人持股</w:t>
            </w:r>
          </w:p>
        </w:tc>
        <w:tc>
          <w:tcPr>
            <w:tcW w:w="964" w:type="dxa"/>
            <w:tcBorders>
              <w:top w:val="single" w:color="auto" w:sz="2" w:space="0"/>
              <w:left w:val="single" w:color="auto" w:sz="2" w:space="0"/>
              <w:bottom w:val="single" w:color="auto" w:sz="2" w:space="0"/>
              <w:right w:val="single" w:color="auto" w:sz="2" w:space="0"/>
            </w:tcBorders>
            <w:vAlign w:val="center"/>
          </w:tcPr>
          <w:p w14:paraId="725C66D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B10F3C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647A07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749B3D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883F8E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C33532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1A1420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226953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8DE0BF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14:paraId="084C0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56C78D8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二、无限售条件股份</w:t>
            </w:r>
          </w:p>
        </w:tc>
        <w:tc>
          <w:tcPr>
            <w:tcW w:w="964" w:type="dxa"/>
            <w:tcBorders>
              <w:top w:val="single" w:color="auto" w:sz="2" w:space="0"/>
              <w:left w:val="single" w:color="auto" w:sz="2" w:space="0"/>
              <w:bottom w:val="single" w:color="auto" w:sz="2" w:space="0"/>
              <w:right w:val="single" w:color="auto" w:sz="2" w:space="0"/>
            </w:tcBorders>
            <w:vAlign w:val="center"/>
          </w:tcPr>
          <w:p w14:paraId="07D4582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265,134,082</w:t>
            </w:r>
          </w:p>
        </w:tc>
        <w:tc>
          <w:tcPr>
            <w:tcW w:w="964" w:type="dxa"/>
            <w:tcBorders>
              <w:top w:val="single" w:color="auto" w:sz="2" w:space="0"/>
              <w:left w:val="single" w:color="auto" w:sz="2" w:space="0"/>
              <w:bottom w:val="single" w:color="auto" w:sz="2" w:space="0"/>
              <w:right w:val="single" w:color="auto" w:sz="2" w:space="0"/>
            </w:tcBorders>
            <w:vAlign w:val="center"/>
          </w:tcPr>
          <w:p w14:paraId="3AA25AD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99.99%</w:t>
            </w:r>
          </w:p>
        </w:tc>
        <w:tc>
          <w:tcPr>
            <w:tcW w:w="964" w:type="dxa"/>
            <w:tcBorders>
              <w:top w:val="single" w:color="auto" w:sz="2" w:space="0"/>
              <w:left w:val="single" w:color="auto" w:sz="2" w:space="0"/>
              <w:bottom w:val="single" w:color="auto" w:sz="2" w:space="0"/>
              <w:right w:val="single" w:color="auto" w:sz="2" w:space="0"/>
            </w:tcBorders>
            <w:vAlign w:val="center"/>
          </w:tcPr>
          <w:p w14:paraId="35968E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63A9D4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7F7F11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2299BC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184C60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388E60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265,134,082</w:t>
            </w:r>
          </w:p>
        </w:tc>
        <w:tc>
          <w:tcPr>
            <w:tcW w:w="964" w:type="dxa"/>
            <w:tcBorders>
              <w:top w:val="single" w:color="auto" w:sz="2" w:space="0"/>
              <w:left w:val="single" w:color="auto" w:sz="2" w:space="0"/>
              <w:bottom w:val="single" w:color="auto" w:sz="2" w:space="0"/>
              <w:right w:val="single" w:color="auto" w:sz="2" w:space="0"/>
            </w:tcBorders>
            <w:vAlign w:val="center"/>
          </w:tcPr>
          <w:p w14:paraId="3FE570D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99.99%</w:t>
            </w:r>
          </w:p>
        </w:tc>
      </w:tr>
      <w:tr w14:paraId="0403C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66CFA2A8">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1、人民币普通股</w:t>
            </w:r>
          </w:p>
        </w:tc>
        <w:tc>
          <w:tcPr>
            <w:tcW w:w="964" w:type="dxa"/>
            <w:tcBorders>
              <w:top w:val="single" w:color="auto" w:sz="2" w:space="0"/>
              <w:left w:val="single" w:color="auto" w:sz="2" w:space="0"/>
              <w:bottom w:val="single" w:color="auto" w:sz="2" w:space="0"/>
              <w:right w:val="single" w:color="auto" w:sz="2" w:space="0"/>
            </w:tcBorders>
            <w:vAlign w:val="center"/>
          </w:tcPr>
          <w:p w14:paraId="0D6D23D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265,134,082</w:t>
            </w:r>
          </w:p>
        </w:tc>
        <w:tc>
          <w:tcPr>
            <w:tcW w:w="964" w:type="dxa"/>
            <w:tcBorders>
              <w:top w:val="single" w:color="auto" w:sz="2" w:space="0"/>
              <w:left w:val="single" w:color="auto" w:sz="2" w:space="0"/>
              <w:bottom w:val="single" w:color="auto" w:sz="2" w:space="0"/>
              <w:right w:val="single" w:color="auto" w:sz="2" w:space="0"/>
            </w:tcBorders>
            <w:vAlign w:val="center"/>
          </w:tcPr>
          <w:p w14:paraId="035EFB6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99.99%</w:t>
            </w:r>
          </w:p>
        </w:tc>
        <w:tc>
          <w:tcPr>
            <w:tcW w:w="964" w:type="dxa"/>
            <w:tcBorders>
              <w:top w:val="single" w:color="auto" w:sz="2" w:space="0"/>
              <w:left w:val="single" w:color="auto" w:sz="2" w:space="0"/>
              <w:bottom w:val="single" w:color="auto" w:sz="2" w:space="0"/>
              <w:right w:val="single" w:color="auto" w:sz="2" w:space="0"/>
            </w:tcBorders>
            <w:vAlign w:val="center"/>
          </w:tcPr>
          <w:p w14:paraId="67F2450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246D76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330793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3107C6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6EDD30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E91BDA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265,134,082</w:t>
            </w:r>
          </w:p>
        </w:tc>
        <w:tc>
          <w:tcPr>
            <w:tcW w:w="964" w:type="dxa"/>
            <w:tcBorders>
              <w:top w:val="single" w:color="auto" w:sz="2" w:space="0"/>
              <w:left w:val="single" w:color="auto" w:sz="2" w:space="0"/>
              <w:bottom w:val="single" w:color="auto" w:sz="2" w:space="0"/>
              <w:right w:val="single" w:color="auto" w:sz="2" w:space="0"/>
            </w:tcBorders>
            <w:vAlign w:val="center"/>
          </w:tcPr>
          <w:p w14:paraId="1187A63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99.99%</w:t>
            </w:r>
          </w:p>
        </w:tc>
      </w:tr>
      <w:tr w14:paraId="47609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01659306">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2、境内上市的外资股</w:t>
            </w:r>
          </w:p>
        </w:tc>
        <w:tc>
          <w:tcPr>
            <w:tcW w:w="964" w:type="dxa"/>
            <w:tcBorders>
              <w:top w:val="single" w:color="auto" w:sz="2" w:space="0"/>
              <w:left w:val="single" w:color="auto" w:sz="2" w:space="0"/>
              <w:bottom w:val="single" w:color="auto" w:sz="2" w:space="0"/>
              <w:right w:val="single" w:color="auto" w:sz="2" w:space="0"/>
            </w:tcBorders>
            <w:vAlign w:val="center"/>
          </w:tcPr>
          <w:p w14:paraId="79DE6FB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1C8068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3DAD921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42AD1F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76D2AC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D24A91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952FA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0A103E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D238E9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14:paraId="6D951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2AD91391">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3、境外上市的外资股</w:t>
            </w:r>
          </w:p>
        </w:tc>
        <w:tc>
          <w:tcPr>
            <w:tcW w:w="964" w:type="dxa"/>
            <w:tcBorders>
              <w:top w:val="single" w:color="auto" w:sz="2" w:space="0"/>
              <w:left w:val="single" w:color="auto" w:sz="2" w:space="0"/>
              <w:bottom w:val="single" w:color="auto" w:sz="2" w:space="0"/>
              <w:right w:val="single" w:color="auto" w:sz="2" w:space="0"/>
            </w:tcBorders>
            <w:vAlign w:val="center"/>
          </w:tcPr>
          <w:p w14:paraId="067EA13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F8F32A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24ED22E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1BD352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BF5506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0618C6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536C38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72BADC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BF26CF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14:paraId="0A926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75132CC7">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4、其他</w:t>
            </w:r>
          </w:p>
        </w:tc>
        <w:tc>
          <w:tcPr>
            <w:tcW w:w="964" w:type="dxa"/>
            <w:tcBorders>
              <w:top w:val="single" w:color="auto" w:sz="2" w:space="0"/>
              <w:left w:val="single" w:color="auto" w:sz="2" w:space="0"/>
              <w:bottom w:val="single" w:color="auto" w:sz="2" w:space="0"/>
              <w:right w:val="single" w:color="auto" w:sz="2" w:space="0"/>
            </w:tcBorders>
            <w:vAlign w:val="center"/>
          </w:tcPr>
          <w:p w14:paraId="081BF07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815826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70B8666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A61B8A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43B6E2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454F44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E72B89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572A2E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4EBA91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14:paraId="26D5F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508C292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三、股份总数</w:t>
            </w:r>
          </w:p>
        </w:tc>
        <w:tc>
          <w:tcPr>
            <w:tcW w:w="964" w:type="dxa"/>
            <w:tcBorders>
              <w:top w:val="single" w:color="auto" w:sz="2" w:space="0"/>
              <w:left w:val="single" w:color="auto" w:sz="2" w:space="0"/>
              <w:bottom w:val="single" w:color="auto" w:sz="2" w:space="0"/>
              <w:right w:val="single" w:color="auto" w:sz="2" w:space="0"/>
            </w:tcBorders>
            <w:vAlign w:val="center"/>
          </w:tcPr>
          <w:p w14:paraId="6D1ADDB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w:t>
            </w:r>
          </w:p>
        </w:tc>
        <w:tc>
          <w:tcPr>
            <w:tcW w:w="964" w:type="dxa"/>
            <w:tcBorders>
              <w:top w:val="single" w:color="auto" w:sz="2" w:space="0"/>
              <w:left w:val="single" w:color="auto" w:sz="2" w:space="0"/>
              <w:bottom w:val="single" w:color="auto" w:sz="2" w:space="0"/>
              <w:right w:val="single" w:color="auto" w:sz="2" w:space="0"/>
            </w:tcBorders>
            <w:vAlign w:val="center"/>
          </w:tcPr>
          <w:p w14:paraId="32E7883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14:paraId="6CD18B9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1FAF6F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F8D679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D67A9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42BEA1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321EBB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w:t>
            </w:r>
          </w:p>
        </w:tc>
        <w:tc>
          <w:tcPr>
            <w:tcW w:w="964" w:type="dxa"/>
            <w:tcBorders>
              <w:top w:val="single" w:color="auto" w:sz="2" w:space="0"/>
              <w:left w:val="single" w:color="auto" w:sz="2" w:space="0"/>
              <w:bottom w:val="single" w:color="auto" w:sz="2" w:space="0"/>
              <w:right w:val="single" w:color="auto" w:sz="2" w:space="0"/>
            </w:tcBorders>
            <w:vAlign w:val="center"/>
          </w:tcPr>
          <w:p w14:paraId="5CC9F6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r>
    </w:tbl>
    <w:p w14:paraId="62FA7F1B">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股份变动的原因</w:t>
      </w:r>
    </w:p>
    <w:p w14:paraId="4B7103FC">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71C775B">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股份变动的批准情况</w:t>
      </w:r>
    </w:p>
    <w:p w14:paraId="6C45EA87">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BB7FC12">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股份变动的过户情况</w:t>
      </w:r>
    </w:p>
    <w:p w14:paraId="404A98C0">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7350330">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股份变动对最近一年和最近一期基本每股收益和稀释每股收益、归属于公司普通股股东的每股净资产等财务指标的影响</w:t>
      </w:r>
    </w:p>
    <w:p w14:paraId="7FFFA22F">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AB154D3">
      <w:pPr>
        <w:spacing w:before="100" w:after="100" w:line="240" w:lineRule="exact"/>
        <w:jc w:val="left"/>
        <w:rPr>
          <w:rFonts w:ascii="宋体" w:hAnsi="宋体" w:eastAsia="宋体" w:cs="宋体"/>
          <w:sz w:val="18"/>
          <w:szCs w:val="18"/>
        </w:rPr>
      </w:pPr>
      <w:r>
        <w:rPr>
          <w:rFonts w:ascii="宋体" w:hAnsi="宋体" w:eastAsia="宋体" w:cs="宋体"/>
          <w:sz w:val="18"/>
          <w:szCs w:val="18"/>
        </w:rPr>
        <w:t>公司认为必要或证券监管机构要求披露的其他内容</w:t>
      </w:r>
    </w:p>
    <w:p w14:paraId="4B977C2A">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D31CF8A">
      <w:pPr>
        <w:pStyle w:val="3"/>
        <w:keepNext/>
        <w:keepLines/>
        <w:spacing w:before="300" w:after="300" w:line="280" w:lineRule="exact"/>
        <w:jc w:val="left"/>
        <w:outlineLvl w:val="2"/>
        <w:rPr>
          <w:rFonts w:ascii="宋体" w:hAnsi="宋体" w:eastAsia="宋体" w:cs="宋体"/>
          <w:b/>
          <w:bCs/>
          <w:sz w:val="21"/>
          <w:szCs w:val="21"/>
        </w:rPr>
      </w:pPr>
      <w:bookmarkStart w:id="193" w:name="_Toc989015"/>
      <w:r>
        <w:rPr>
          <w:rFonts w:hint="default" w:ascii="Times New Roman" w:hAnsi="Times New Roman" w:eastAsia="宋体" w:cs="Times New Roman"/>
          <w:b/>
          <w:bCs/>
          <w:sz w:val="21"/>
          <w:szCs w:val="21"/>
        </w:rPr>
        <w:t>2</w:t>
      </w:r>
      <w:r>
        <w:rPr>
          <w:rFonts w:ascii="宋体" w:hAnsi="宋体" w:eastAsia="宋体" w:cs="宋体"/>
          <w:b/>
          <w:bCs/>
          <w:sz w:val="21"/>
          <w:szCs w:val="21"/>
        </w:rPr>
        <w:t>、限售股份变动情况</w:t>
      </w:r>
      <w:bookmarkEnd w:id="193"/>
    </w:p>
    <w:p w14:paraId="2E29A320">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6C8469D">
      <w:pPr>
        <w:pStyle w:val="2"/>
        <w:keepNext/>
        <w:keepLines/>
        <w:spacing w:before="300" w:after="300" w:line="320" w:lineRule="exact"/>
        <w:jc w:val="left"/>
        <w:outlineLvl w:val="1"/>
        <w:rPr>
          <w:rFonts w:ascii="宋体" w:hAnsi="宋体" w:eastAsia="宋体" w:cs="宋体"/>
          <w:b/>
          <w:bCs/>
          <w:sz w:val="24"/>
          <w:szCs w:val="24"/>
        </w:rPr>
      </w:pPr>
      <w:bookmarkStart w:id="194" w:name="_Toc25081"/>
      <w:bookmarkStart w:id="195" w:name="_Toc989016"/>
      <w:r>
        <w:rPr>
          <w:rFonts w:ascii="宋体" w:hAnsi="宋体" w:eastAsia="宋体" w:cs="宋体"/>
          <w:b/>
          <w:bCs/>
          <w:sz w:val="24"/>
          <w:szCs w:val="24"/>
        </w:rPr>
        <w:t>二、证券发行与上市情况</w:t>
      </w:r>
      <w:bookmarkEnd w:id="194"/>
      <w:bookmarkEnd w:id="195"/>
    </w:p>
    <w:p w14:paraId="1B79D916">
      <w:pPr>
        <w:pStyle w:val="3"/>
        <w:keepNext/>
        <w:keepLines/>
        <w:spacing w:before="300" w:after="300" w:line="280" w:lineRule="exact"/>
        <w:jc w:val="left"/>
        <w:outlineLvl w:val="2"/>
        <w:rPr>
          <w:rFonts w:ascii="宋体" w:hAnsi="宋体" w:eastAsia="宋体" w:cs="宋体"/>
          <w:b/>
          <w:bCs/>
          <w:sz w:val="21"/>
          <w:szCs w:val="21"/>
        </w:rPr>
      </w:pPr>
      <w:bookmarkStart w:id="196" w:name="_Toc989017"/>
      <w:r>
        <w:rPr>
          <w:rFonts w:hint="default" w:ascii="Times New Roman" w:hAnsi="Times New Roman" w:eastAsia="宋体" w:cs="Times New Roman"/>
          <w:b/>
          <w:bCs/>
          <w:sz w:val="21"/>
          <w:szCs w:val="21"/>
        </w:rPr>
        <w:t>1</w:t>
      </w:r>
      <w:r>
        <w:rPr>
          <w:rFonts w:ascii="宋体" w:hAnsi="宋体" w:eastAsia="宋体" w:cs="宋体"/>
          <w:b/>
          <w:bCs/>
          <w:sz w:val="21"/>
          <w:szCs w:val="21"/>
        </w:rPr>
        <w:t>、报告期内证券发行（不含优先股）情况</w:t>
      </w:r>
      <w:bookmarkEnd w:id="196"/>
    </w:p>
    <w:p w14:paraId="605B0006">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E38027D">
      <w:pPr>
        <w:pStyle w:val="3"/>
        <w:keepNext/>
        <w:keepLines/>
        <w:spacing w:before="300" w:after="300" w:line="280" w:lineRule="exact"/>
        <w:jc w:val="left"/>
        <w:outlineLvl w:val="2"/>
        <w:rPr>
          <w:rFonts w:ascii="宋体" w:hAnsi="宋体" w:eastAsia="宋体" w:cs="宋体"/>
          <w:b/>
          <w:bCs/>
          <w:sz w:val="21"/>
          <w:szCs w:val="21"/>
        </w:rPr>
      </w:pPr>
      <w:bookmarkStart w:id="197" w:name="_Toc989018"/>
      <w:r>
        <w:rPr>
          <w:rFonts w:hint="default" w:ascii="Times New Roman" w:hAnsi="Times New Roman" w:eastAsia="宋体" w:cs="Times New Roman"/>
          <w:b/>
          <w:bCs/>
          <w:sz w:val="21"/>
          <w:szCs w:val="21"/>
        </w:rPr>
        <w:t>2</w:t>
      </w:r>
      <w:r>
        <w:rPr>
          <w:rFonts w:ascii="宋体" w:hAnsi="宋体" w:eastAsia="宋体" w:cs="宋体"/>
          <w:b/>
          <w:bCs/>
          <w:sz w:val="21"/>
          <w:szCs w:val="21"/>
        </w:rPr>
        <w:t>、公司股份总数及股东结构的变动、公司资产和负债结构的变动情况说明</w:t>
      </w:r>
      <w:bookmarkEnd w:id="197"/>
    </w:p>
    <w:p w14:paraId="4831DE3D">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64F42EE">
      <w:pPr>
        <w:pStyle w:val="3"/>
        <w:keepNext/>
        <w:keepLines/>
        <w:spacing w:before="300" w:after="300" w:line="280" w:lineRule="exact"/>
        <w:jc w:val="left"/>
        <w:outlineLvl w:val="2"/>
        <w:rPr>
          <w:rFonts w:ascii="宋体" w:hAnsi="宋体" w:eastAsia="宋体" w:cs="宋体"/>
          <w:b/>
          <w:bCs/>
          <w:sz w:val="21"/>
          <w:szCs w:val="21"/>
        </w:rPr>
      </w:pPr>
      <w:bookmarkStart w:id="198" w:name="_Toc989019"/>
      <w:r>
        <w:rPr>
          <w:rFonts w:hint="default" w:ascii="Times New Roman" w:hAnsi="Times New Roman" w:eastAsia="宋体" w:cs="Times New Roman"/>
          <w:b/>
          <w:bCs/>
          <w:sz w:val="21"/>
          <w:szCs w:val="21"/>
        </w:rPr>
        <w:t>3</w:t>
      </w:r>
      <w:r>
        <w:rPr>
          <w:rFonts w:ascii="宋体" w:hAnsi="宋体" w:eastAsia="宋体" w:cs="宋体"/>
          <w:b/>
          <w:bCs/>
          <w:sz w:val="21"/>
          <w:szCs w:val="21"/>
        </w:rPr>
        <w:t>、现存的内部职工股情况</w:t>
      </w:r>
      <w:bookmarkEnd w:id="198"/>
    </w:p>
    <w:p w14:paraId="5BFADE9B">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904A55F">
      <w:pPr>
        <w:pStyle w:val="2"/>
        <w:keepNext/>
        <w:keepLines/>
        <w:spacing w:before="300" w:after="300" w:line="320" w:lineRule="exact"/>
        <w:jc w:val="left"/>
        <w:outlineLvl w:val="1"/>
        <w:rPr>
          <w:rFonts w:ascii="宋体" w:hAnsi="宋体" w:eastAsia="宋体" w:cs="宋体"/>
          <w:b/>
          <w:bCs/>
          <w:sz w:val="24"/>
          <w:szCs w:val="24"/>
        </w:rPr>
      </w:pPr>
      <w:bookmarkStart w:id="199" w:name="_Toc989020"/>
      <w:bookmarkStart w:id="200" w:name="_Toc7794"/>
      <w:r>
        <w:rPr>
          <w:rFonts w:ascii="宋体" w:hAnsi="宋体" w:eastAsia="宋体" w:cs="宋体"/>
          <w:b/>
          <w:bCs/>
          <w:sz w:val="24"/>
          <w:szCs w:val="24"/>
        </w:rPr>
        <w:t>三、股东和实际控制人情况</w:t>
      </w:r>
      <w:bookmarkEnd w:id="199"/>
      <w:bookmarkEnd w:id="200"/>
    </w:p>
    <w:p w14:paraId="76672053">
      <w:pPr>
        <w:pStyle w:val="3"/>
        <w:keepNext/>
        <w:keepLines/>
        <w:spacing w:before="300" w:after="300" w:line="280" w:lineRule="exact"/>
        <w:jc w:val="left"/>
        <w:outlineLvl w:val="2"/>
        <w:rPr>
          <w:rFonts w:ascii="宋体" w:hAnsi="宋体" w:eastAsia="宋体" w:cs="宋体"/>
          <w:b/>
          <w:bCs/>
          <w:sz w:val="21"/>
          <w:szCs w:val="21"/>
        </w:rPr>
      </w:pPr>
      <w:bookmarkStart w:id="201" w:name="_Toc989021"/>
      <w:r>
        <w:rPr>
          <w:rFonts w:hint="default" w:ascii="Times New Roman" w:hAnsi="Times New Roman" w:eastAsia="宋体" w:cs="Times New Roman"/>
          <w:b/>
          <w:bCs/>
          <w:sz w:val="21"/>
          <w:szCs w:val="21"/>
        </w:rPr>
        <w:t>1</w:t>
      </w:r>
      <w:r>
        <w:rPr>
          <w:rFonts w:ascii="宋体" w:hAnsi="宋体" w:eastAsia="宋体" w:cs="宋体"/>
          <w:b/>
          <w:bCs/>
          <w:sz w:val="21"/>
          <w:szCs w:val="21"/>
        </w:rPr>
        <w:t>、公司股东数量及持股情况</w:t>
      </w:r>
      <w:bookmarkEnd w:id="201"/>
    </w:p>
    <w:p w14:paraId="1F003975">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7"/>
        <w:tblW w:w="4982"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5"/>
        <w:gridCol w:w="784"/>
        <w:gridCol w:w="835"/>
        <w:gridCol w:w="1400"/>
        <w:gridCol w:w="1314"/>
        <w:gridCol w:w="620"/>
        <w:gridCol w:w="1579"/>
        <w:gridCol w:w="306"/>
        <w:gridCol w:w="664"/>
        <w:gridCol w:w="1441"/>
      </w:tblGrid>
      <w:tr w14:paraId="7EF80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6" w:type="pct"/>
            <w:tcBorders>
              <w:top w:val="single" w:color="auto" w:sz="2" w:space="0"/>
              <w:left w:val="single" w:color="auto" w:sz="2" w:space="0"/>
              <w:bottom w:val="single" w:color="auto" w:sz="2" w:space="0"/>
              <w:right w:val="single" w:color="auto" w:sz="2" w:space="0"/>
            </w:tcBorders>
            <w:shd w:val="clear" w:color="auto" w:fill="D3D3D3"/>
            <w:vAlign w:val="center"/>
          </w:tcPr>
          <w:p w14:paraId="345A91FA">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报告期末普通股股东总数</w:t>
            </w:r>
          </w:p>
        </w:tc>
        <w:tc>
          <w:tcPr>
            <w:tcW w:w="399" w:type="pct"/>
            <w:tcBorders>
              <w:top w:val="single" w:color="auto" w:sz="2" w:space="0"/>
              <w:left w:val="single" w:color="auto" w:sz="2" w:space="0"/>
              <w:bottom w:val="single" w:color="auto" w:sz="2" w:space="0"/>
              <w:right w:val="single" w:color="auto" w:sz="2" w:space="0"/>
            </w:tcBorders>
            <w:vAlign w:val="center"/>
          </w:tcPr>
          <w:p w14:paraId="119F03C5">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27,775</w:t>
            </w:r>
          </w:p>
        </w:tc>
        <w:tc>
          <w:tcPr>
            <w:tcW w:w="425" w:type="pct"/>
            <w:tcBorders>
              <w:top w:val="single" w:color="auto" w:sz="2" w:space="0"/>
              <w:left w:val="single" w:color="auto" w:sz="2" w:space="0"/>
              <w:bottom w:val="single" w:color="auto" w:sz="2" w:space="0"/>
              <w:right w:val="single" w:color="auto" w:sz="2" w:space="0"/>
            </w:tcBorders>
            <w:shd w:val="clear" w:color="auto" w:fill="D3D3D3"/>
            <w:vAlign w:val="center"/>
          </w:tcPr>
          <w:p w14:paraId="1C605387">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年度报告披露日前上一月末普通股股东总数</w:t>
            </w:r>
          </w:p>
        </w:tc>
        <w:tc>
          <w:tcPr>
            <w:tcW w:w="713" w:type="pct"/>
            <w:tcBorders>
              <w:top w:val="single" w:color="auto" w:sz="2" w:space="0"/>
              <w:left w:val="single" w:color="auto" w:sz="2" w:space="0"/>
              <w:bottom w:val="single" w:color="auto" w:sz="2" w:space="0"/>
              <w:right w:val="single" w:color="auto" w:sz="2" w:space="0"/>
            </w:tcBorders>
            <w:vAlign w:val="center"/>
          </w:tcPr>
          <w:p w14:paraId="367131A8">
            <w:pPr>
              <w:snapToGrid w:val="0"/>
              <w:spacing w:after="0" w:line="24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29,506</w:t>
            </w:r>
          </w:p>
        </w:tc>
        <w:tc>
          <w:tcPr>
            <w:tcW w:w="669" w:type="pct"/>
            <w:tcBorders>
              <w:top w:val="single" w:color="auto" w:sz="2" w:space="0"/>
              <w:left w:val="single" w:color="auto" w:sz="2" w:space="0"/>
              <w:bottom w:val="single" w:color="auto" w:sz="2" w:space="0"/>
              <w:right w:val="single" w:color="auto" w:sz="2" w:space="0"/>
            </w:tcBorders>
            <w:shd w:val="clear" w:color="auto" w:fill="D3D3D3"/>
            <w:vAlign w:val="center"/>
          </w:tcPr>
          <w:p w14:paraId="2F8AC06D">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报告期末表决权恢复的优先股股东总数（如有）（参见注9）</w:t>
            </w:r>
          </w:p>
        </w:tc>
        <w:tc>
          <w:tcPr>
            <w:tcW w:w="316" w:type="pct"/>
            <w:tcBorders>
              <w:top w:val="single" w:color="auto" w:sz="2" w:space="0"/>
              <w:left w:val="single" w:color="auto" w:sz="2" w:space="0"/>
              <w:bottom w:val="single" w:color="auto" w:sz="2" w:space="0"/>
              <w:right w:val="single" w:color="auto" w:sz="2" w:space="0"/>
            </w:tcBorders>
            <w:vAlign w:val="center"/>
          </w:tcPr>
          <w:p w14:paraId="7904F534">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03" w:type="pct"/>
            <w:tcBorders>
              <w:top w:val="single" w:color="auto" w:sz="2" w:space="0"/>
              <w:left w:val="single" w:color="auto" w:sz="2" w:space="0"/>
              <w:bottom w:val="single" w:color="auto" w:sz="2" w:space="0"/>
              <w:right w:val="single" w:color="auto" w:sz="2" w:space="0"/>
            </w:tcBorders>
            <w:shd w:val="clear" w:color="auto" w:fill="D3D3D3"/>
            <w:vAlign w:val="center"/>
          </w:tcPr>
          <w:p w14:paraId="4E3FC367">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年度报告披露日前上一月末表决权恢复的优先股股东总数（如有）（参见注9）</w:t>
            </w:r>
          </w:p>
        </w:tc>
        <w:tc>
          <w:tcPr>
            <w:tcW w:w="155" w:type="pct"/>
            <w:tcBorders>
              <w:top w:val="single" w:color="auto" w:sz="2" w:space="0"/>
              <w:left w:val="single" w:color="auto" w:sz="2" w:space="0"/>
              <w:bottom w:val="single" w:color="auto" w:sz="2" w:space="0"/>
              <w:right w:val="single" w:color="auto" w:sz="2" w:space="0"/>
            </w:tcBorders>
            <w:vAlign w:val="center"/>
          </w:tcPr>
          <w:p w14:paraId="7F381577">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338" w:type="pct"/>
            <w:tcBorders>
              <w:top w:val="single" w:color="auto" w:sz="2" w:space="0"/>
              <w:left w:val="single" w:color="auto" w:sz="2" w:space="0"/>
              <w:bottom w:val="single" w:color="auto" w:sz="2" w:space="0"/>
              <w:right w:val="single" w:color="auto" w:sz="2" w:space="0"/>
            </w:tcBorders>
            <w:shd w:val="clear" w:color="auto" w:fill="D3D3D3"/>
            <w:vAlign w:val="center"/>
          </w:tcPr>
          <w:p w14:paraId="259C6846">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持有特别表决权股份的股东总数（如有）</w:t>
            </w:r>
          </w:p>
        </w:tc>
        <w:tc>
          <w:tcPr>
            <w:tcW w:w="732" w:type="pct"/>
            <w:tcBorders>
              <w:top w:val="single" w:color="auto" w:sz="2" w:space="0"/>
              <w:left w:val="single" w:color="auto" w:sz="2" w:space="0"/>
              <w:bottom w:val="single" w:color="auto" w:sz="2" w:space="0"/>
              <w:right w:val="single" w:color="auto" w:sz="2" w:space="0"/>
            </w:tcBorders>
            <w:vAlign w:val="center"/>
          </w:tcPr>
          <w:p w14:paraId="7C590A96">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14:paraId="57F70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000" w:type="pct"/>
            <w:gridSpan w:val="10"/>
            <w:tcBorders>
              <w:top w:val="single" w:color="auto" w:sz="2" w:space="0"/>
              <w:left w:val="single" w:color="auto" w:sz="2" w:space="0"/>
              <w:bottom w:val="single" w:color="auto" w:sz="2" w:space="0"/>
              <w:right w:val="single" w:color="auto" w:sz="2" w:space="0"/>
            </w:tcBorders>
            <w:shd w:val="clear" w:color="auto" w:fill="D3D3D3"/>
            <w:vAlign w:val="center"/>
          </w:tcPr>
          <w:p w14:paraId="0D74E161">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持股5%以上的股东或前10名股东持股情况（不含通过转融通出借股份）</w:t>
            </w:r>
          </w:p>
        </w:tc>
      </w:tr>
      <w:tr w14:paraId="5E821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6" w:type="pct"/>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AF31AD7">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股东名称</w:t>
            </w:r>
          </w:p>
        </w:tc>
        <w:tc>
          <w:tcPr>
            <w:tcW w:w="399" w:type="pct"/>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B597C01">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股东性质</w:t>
            </w:r>
          </w:p>
        </w:tc>
        <w:tc>
          <w:tcPr>
            <w:tcW w:w="425" w:type="pct"/>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2F6FA4B">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持股比例</w:t>
            </w:r>
          </w:p>
        </w:tc>
        <w:tc>
          <w:tcPr>
            <w:tcW w:w="713" w:type="pct"/>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7ECF778">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报告期末持股数量</w:t>
            </w:r>
          </w:p>
        </w:tc>
        <w:tc>
          <w:tcPr>
            <w:tcW w:w="669" w:type="pct"/>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8DEA9D6">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报告期内增减变动情况</w:t>
            </w:r>
          </w:p>
        </w:tc>
        <w:tc>
          <w:tcPr>
            <w:tcW w:w="316" w:type="pct"/>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1263827">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持有有限售条件的股份数量</w:t>
            </w:r>
          </w:p>
        </w:tc>
        <w:tc>
          <w:tcPr>
            <w:tcW w:w="803" w:type="pct"/>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2451FF7">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持有无限售条件的股份数量</w:t>
            </w:r>
          </w:p>
        </w:tc>
        <w:tc>
          <w:tcPr>
            <w:tcW w:w="1226" w:type="pct"/>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00E7FA83">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质押、标记或冻结情况</w:t>
            </w:r>
          </w:p>
        </w:tc>
      </w:tr>
      <w:tr w14:paraId="72C63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6" w:type="pct"/>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F55C90D">
            <w:pPr>
              <w:snapToGrid w:val="0"/>
              <w:rPr>
                <w:rFonts w:ascii="Times New Roman" w:hAnsi="Times New Roman" w:cs="Times New Roman"/>
              </w:rPr>
            </w:pPr>
          </w:p>
        </w:tc>
        <w:tc>
          <w:tcPr>
            <w:tcW w:w="399" w:type="pct"/>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90ED2E9">
            <w:pPr>
              <w:snapToGrid w:val="0"/>
              <w:rPr>
                <w:rFonts w:ascii="Times New Roman" w:hAnsi="Times New Roman" w:cs="Times New Roman"/>
              </w:rPr>
            </w:pPr>
          </w:p>
        </w:tc>
        <w:tc>
          <w:tcPr>
            <w:tcW w:w="425" w:type="pct"/>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8BE10A9">
            <w:pPr>
              <w:snapToGrid w:val="0"/>
              <w:rPr>
                <w:rFonts w:ascii="Times New Roman" w:hAnsi="Times New Roman" w:cs="Times New Roman"/>
              </w:rPr>
            </w:pPr>
          </w:p>
        </w:tc>
        <w:tc>
          <w:tcPr>
            <w:tcW w:w="713" w:type="pct"/>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E91D8F8">
            <w:pPr>
              <w:snapToGrid w:val="0"/>
              <w:rPr>
                <w:rFonts w:ascii="Times New Roman" w:hAnsi="Times New Roman" w:cs="Times New Roman"/>
              </w:rPr>
            </w:pPr>
          </w:p>
        </w:tc>
        <w:tc>
          <w:tcPr>
            <w:tcW w:w="669" w:type="pct"/>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C3D7710">
            <w:pPr>
              <w:snapToGrid w:val="0"/>
              <w:rPr>
                <w:rFonts w:ascii="Times New Roman" w:hAnsi="Times New Roman" w:cs="Times New Roman"/>
              </w:rPr>
            </w:pPr>
          </w:p>
        </w:tc>
        <w:tc>
          <w:tcPr>
            <w:tcW w:w="316" w:type="pct"/>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D0D79E7">
            <w:pPr>
              <w:snapToGrid w:val="0"/>
              <w:rPr>
                <w:rFonts w:ascii="Times New Roman" w:hAnsi="Times New Roman" w:cs="Times New Roman"/>
              </w:rPr>
            </w:pPr>
          </w:p>
        </w:tc>
        <w:tc>
          <w:tcPr>
            <w:tcW w:w="803" w:type="pct"/>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90A6BA2">
            <w:pPr>
              <w:snapToGrid w:val="0"/>
              <w:rPr>
                <w:rFonts w:ascii="Times New Roman" w:hAnsi="Times New Roman" w:cs="Times New Roman"/>
              </w:rPr>
            </w:pPr>
          </w:p>
        </w:tc>
        <w:tc>
          <w:tcPr>
            <w:tcW w:w="493" w:type="pct"/>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FD00217">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股份状态</w:t>
            </w:r>
          </w:p>
        </w:tc>
        <w:tc>
          <w:tcPr>
            <w:tcW w:w="732" w:type="pct"/>
            <w:tcBorders>
              <w:top w:val="single" w:color="auto" w:sz="2" w:space="0"/>
              <w:left w:val="single" w:color="auto" w:sz="2" w:space="0"/>
              <w:bottom w:val="single" w:color="auto" w:sz="2" w:space="0"/>
              <w:right w:val="single" w:color="auto" w:sz="2" w:space="0"/>
            </w:tcBorders>
            <w:shd w:val="clear" w:color="auto" w:fill="D3D3D3"/>
            <w:vAlign w:val="center"/>
          </w:tcPr>
          <w:p w14:paraId="59ECF6D5">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r>
      <w:tr w14:paraId="2325F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6" w:type="pct"/>
            <w:tcBorders>
              <w:top w:val="single" w:color="auto" w:sz="2" w:space="0"/>
              <w:left w:val="single" w:color="auto" w:sz="2" w:space="0"/>
              <w:bottom w:val="single" w:color="auto" w:sz="2" w:space="0"/>
              <w:right w:val="single" w:color="auto" w:sz="2" w:space="0"/>
            </w:tcBorders>
            <w:vAlign w:val="center"/>
          </w:tcPr>
          <w:p w14:paraId="396C888C">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北京世纪天富创业投资中心（有限合伙）</w:t>
            </w:r>
          </w:p>
        </w:tc>
        <w:tc>
          <w:tcPr>
            <w:tcW w:w="399" w:type="pct"/>
            <w:tcBorders>
              <w:top w:val="single" w:color="auto" w:sz="2" w:space="0"/>
              <w:left w:val="single" w:color="auto" w:sz="2" w:space="0"/>
              <w:bottom w:val="single" w:color="auto" w:sz="2" w:space="0"/>
              <w:right w:val="single" w:color="auto" w:sz="2" w:space="0"/>
            </w:tcBorders>
            <w:vAlign w:val="center"/>
          </w:tcPr>
          <w:p w14:paraId="13BF3103">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425" w:type="pct"/>
            <w:tcBorders>
              <w:top w:val="single" w:color="auto" w:sz="2" w:space="0"/>
              <w:left w:val="single" w:color="auto" w:sz="2" w:space="0"/>
              <w:bottom w:val="single" w:color="auto" w:sz="2" w:space="0"/>
              <w:right w:val="single" w:color="auto" w:sz="2" w:space="0"/>
            </w:tcBorders>
            <w:vAlign w:val="center"/>
          </w:tcPr>
          <w:p w14:paraId="28C804E0">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13.58%</w:t>
            </w:r>
          </w:p>
        </w:tc>
        <w:tc>
          <w:tcPr>
            <w:tcW w:w="713" w:type="pct"/>
            <w:tcBorders>
              <w:top w:val="single" w:color="auto" w:sz="2" w:space="0"/>
              <w:left w:val="single" w:color="auto" w:sz="2" w:space="0"/>
              <w:bottom w:val="single" w:color="auto" w:sz="2" w:space="0"/>
              <w:right w:val="single" w:color="auto" w:sz="2" w:space="0"/>
            </w:tcBorders>
            <w:vAlign w:val="center"/>
          </w:tcPr>
          <w:p w14:paraId="1C6FD57A">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36,016,266</w:t>
            </w:r>
          </w:p>
        </w:tc>
        <w:tc>
          <w:tcPr>
            <w:tcW w:w="669" w:type="pct"/>
            <w:tcBorders>
              <w:top w:val="single" w:color="auto" w:sz="2" w:space="0"/>
              <w:left w:val="single" w:color="auto" w:sz="2" w:space="0"/>
              <w:bottom w:val="single" w:color="auto" w:sz="2" w:space="0"/>
              <w:right w:val="single" w:color="auto" w:sz="2" w:space="0"/>
            </w:tcBorders>
            <w:vAlign w:val="center"/>
          </w:tcPr>
          <w:p w14:paraId="095D6378">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316" w:type="pct"/>
            <w:tcBorders>
              <w:top w:val="single" w:color="auto" w:sz="2" w:space="0"/>
              <w:left w:val="single" w:color="auto" w:sz="2" w:space="0"/>
              <w:bottom w:val="single" w:color="auto" w:sz="2" w:space="0"/>
              <w:right w:val="single" w:color="auto" w:sz="2" w:space="0"/>
            </w:tcBorders>
            <w:vAlign w:val="center"/>
          </w:tcPr>
          <w:p w14:paraId="5EBDA445">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03" w:type="pct"/>
            <w:tcBorders>
              <w:top w:val="single" w:color="auto" w:sz="2" w:space="0"/>
              <w:left w:val="single" w:color="auto" w:sz="2" w:space="0"/>
              <w:bottom w:val="single" w:color="auto" w:sz="2" w:space="0"/>
              <w:right w:val="single" w:color="auto" w:sz="2" w:space="0"/>
            </w:tcBorders>
            <w:vAlign w:val="center"/>
          </w:tcPr>
          <w:p w14:paraId="2C53D551">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36,016,266</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272B4DA2">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732" w:type="pct"/>
            <w:tcBorders>
              <w:top w:val="single" w:color="auto" w:sz="2" w:space="0"/>
              <w:left w:val="single" w:color="auto" w:sz="2" w:space="0"/>
              <w:bottom w:val="single" w:color="auto" w:sz="2" w:space="0"/>
              <w:right w:val="single" w:color="auto" w:sz="2" w:space="0"/>
            </w:tcBorders>
            <w:vAlign w:val="center"/>
          </w:tcPr>
          <w:p w14:paraId="434E0516">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14:paraId="53B7E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6" w:type="pct"/>
            <w:tcBorders>
              <w:top w:val="single" w:color="auto" w:sz="2" w:space="0"/>
              <w:left w:val="single" w:color="auto" w:sz="2" w:space="0"/>
              <w:bottom w:val="single" w:color="auto" w:sz="2" w:space="0"/>
              <w:right w:val="single" w:color="auto" w:sz="2" w:space="0"/>
            </w:tcBorders>
            <w:vAlign w:val="center"/>
          </w:tcPr>
          <w:p w14:paraId="0189A5EB">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北京天佑瑞元医药科技有限公司</w:t>
            </w:r>
          </w:p>
        </w:tc>
        <w:tc>
          <w:tcPr>
            <w:tcW w:w="399" w:type="pct"/>
            <w:tcBorders>
              <w:top w:val="single" w:color="auto" w:sz="2" w:space="0"/>
              <w:left w:val="single" w:color="auto" w:sz="2" w:space="0"/>
              <w:bottom w:val="single" w:color="auto" w:sz="2" w:space="0"/>
              <w:right w:val="single" w:color="auto" w:sz="2" w:space="0"/>
            </w:tcBorders>
            <w:vAlign w:val="center"/>
          </w:tcPr>
          <w:p w14:paraId="18AEDC4D">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425" w:type="pct"/>
            <w:tcBorders>
              <w:top w:val="single" w:color="auto" w:sz="2" w:space="0"/>
              <w:left w:val="single" w:color="auto" w:sz="2" w:space="0"/>
              <w:bottom w:val="single" w:color="auto" w:sz="2" w:space="0"/>
              <w:right w:val="single" w:color="auto" w:sz="2" w:space="0"/>
            </w:tcBorders>
            <w:vAlign w:val="center"/>
          </w:tcPr>
          <w:p w14:paraId="074624BC">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6.44%</w:t>
            </w:r>
          </w:p>
        </w:tc>
        <w:tc>
          <w:tcPr>
            <w:tcW w:w="713" w:type="pct"/>
            <w:tcBorders>
              <w:top w:val="single" w:color="auto" w:sz="2" w:space="0"/>
              <w:left w:val="single" w:color="auto" w:sz="2" w:space="0"/>
              <w:bottom w:val="single" w:color="auto" w:sz="2" w:space="0"/>
              <w:right w:val="single" w:color="auto" w:sz="2" w:space="0"/>
            </w:tcBorders>
            <w:vAlign w:val="center"/>
          </w:tcPr>
          <w:p w14:paraId="28FBE61A">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17,084,822</w:t>
            </w:r>
          </w:p>
        </w:tc>
        <w:tc>
          <w:tcPr>
            <w:tcW w:w="669" w:type="pct"/>
            <w:tcBorders>
              <w:top w:val="single" w:color="auto" w:sz="2" w:space="0"/>
              <w:left w:val="single" w:color="auto" w:sz="2" w:space="0"/>
              <w:bottom w:val="single" w:color="auto" w:sz="2" w:space="0"/>
              <w:right w:val="single" w:color="auto" w:sz="2" w:space="0"/>
            </w:tcBorders>
            <w:vAlign w:val="center"/>
          </w:tcPr>
          <w:p w14:paraId="62B72C34">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w:t>
            </w:r>
            <w:r>
              <w:rPr>
                <w:rFonts w:hint="eastAsia" w:ascii="Times New Roman" w:hAnsi="Times New Roman" w:eastAsia="宋体" w:cs="Times New Roman"/>
                <w:sz w:val="18"/>
                <w:szCs w:val="18"/>
              </w:rPr>
              <w:t>,</w:t>
            </w:r>
            <w:r>
              <w:rPr>
                <w:rFonts w:ascii="Times New Roman" w:hAnsi="Times New Roman" w:eastAsia="宋体" w:cs="Times New Roman"/>
                <w:sz w:val="18"/>
                <w:szCs w:val="18"/>
              </w:rPr>
              <w:t>084</w:t>
            </w:r>
            <w:r>
              <w:rPr>
                <w:rFonts w:hint="eastAsia" w:ascii="Times New Roman" w:hAnsi="Times New Roman" w:eastAsia="宋体" w:cs="Times New Roman"/>
                <w:sz w:val="18"/>
                <w:szCs w:val="18"/>
              </w:rPr>
              <w:t>,</w:t>
            </w:r>
            <w:r>
              <w:rPr>
                <w:rFonts w:ascii="Times New Roman" w:hAnsi="Times New Roman" w:eastAsia="宋体" w:cs="Times New Roman"/>
                <w:sz w:val="18"/>
                <w:szCs w:val="18"/>
              </w:rPr>
              <w:t>822</w:t>
            </w:r>
          </w:p>
        </w:tc>
        <w:tc>
          <w:tcPr>
            <w:tcW w:w="316" w:type="pct"/>
            <w:tcBorders>
              <w:top w:val="single" w:color="auto" w:sz="2" w:space="0"/>
              <w:left w:val="single" w:color="auto" w:sz="2" w:space="0"/>
              <w:bottom w:val="single" w:color="auto" w:sz="2" w:space="0"/>
              <w:right w:val="single" w:color="auto" w:sz="2" w:space="0"/>
            </w:tcBorders>
            <w:vAlign w:val="center"/>
          </w:tcPr>
          <w:p w14:paraId="2827A44A">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03" w:type="pct"/>
            <w:tcBorders>
              <w:top w:val="single" w:color="auto" w:sz="2" w:space="0"/>
              <w:left w:val="single" w:color="auto" w:sz="2" w:space="0"/>
              <w:bottom w:val="single" w:color="auto" w:sz="2" w:space="0"/>
              <w:right w:val="single" w:color="auto" w:sz="2" w:space="0"/>
            </w:tcBorders>
            <w:vAlign w:val="center"/>
          </w:tcPr>
          <w:p w14:paraId="13D68181">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17,084,822</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2732E471">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质押</w:t>
            </w:r>
          </w:p>
        </w:tc>
        <w:tc>
          <w:tcPr>
            <w:tcW w:w="732" w:type="pct"/>
            <w:tcBorders>
              <w:top w:val="single" w:color="auto" w:sz="2" w:space="0"/>
              <w:left w:val="single" w:color="auto" w:sz="2" w:space="0"/>
              <w:bottom w:val="single" w:color="auto" w:sz="2" w:space="0"/>
              <w:right w:val="single" w:color="auto" w:sz="2" w:space="0"/>
            </w:tcBorders>
            <w:vAlign w:val="center"/>
          </w:tcPr>
          <w:p w14:paraId="66728DD4">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17,084,822</w:t>
            </w:r>
          </w:p>
        </w:tc>
      </w:tr>
      <w:tr w14:paraId="2A731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6" w:type="pct"/>
            <w:tcBorders>
              <w:top w:val="single" w:color="auto" w:sz="2" w:space="0"/>
              <w:left w:val="single" w:color="auto" w:sz="2" w:space="0"/>
              <w:bottom w:val="single" w:color="auto" w:sz="2" w:space="0"/>
              <w:right w:val="single" w:color="auto" w:sz="2" w:space="0"/>
            </w:tcBorders>
            <w:vAlign w:val="center"/>
          </w:tcPr>
          <w:p w14:paraId="5078EBDE">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西藏金淦企业管理咨询有限公司</w:t>
            </w:r>
          </w:p>
        </w:tc>
        <w:tc>
          <w:tcPr>
            <w:tcW w:w="399" w:type="pct"/>
            <w:tcBorders>
              <w:top w:val="single" w:color="auto" w:sz="2" w:space="0"/>
              <w:left w:val="single" w:color="auto" w:sz="2" w:space="0"/>
              <w:bottom w:val="single" w:color="auto" w:sz="2" w:space="0"/>
              <w:right w:val="single" w:color="auto" w:sz="2" w:space="0"/>
            </w:tcBorders>
            <w:vAlign w:val="center"/>
          </w:tcPr>
          <w:p w14:paraId="49FD734C">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425" w:type="pct"/>
            <w:tcBorders>
              <w:top w:val="single" w:color="auto" w:sz="2" w:space="0"/>
              <w:left w:val="single" w:color="auto" w:sz="2" w:space="0"/>
              <w:bottom w:val="single" w:color="auto" w:sz="2" w:space="0"/>
              <w:right w:val="single" w:color="auto" w:sz="2" w:space="0"/>
            </w:tcBorders>
            <w:vAlign w:val="center"/>
          </w:tcPr>
          <w:p w14:paraId="1B3D07AC">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3.77%</w:t>
            </w:r>
          </w:p>
        </w:tc>
        <w:tc>
          <w:tcPr>
            <w:tcW w:w="713" w:type="pct"/>
            <w:tcBorders>
              <w:top w:val="single" w:color="auto" w:sz="2" w:space="0"/>
              <w:left w:val="single" w:color="auto" w:sz="2" w:space="0"/>
              <w:bottom w:val="single" w:color="auto" w:sz="2" w:space="0"/>
              <w:right w:val="single" w:color="auto" w:sz="2" w:space="0"/>
            </w:tcBorders>
            <w:vAlign w:val="center"/>
          </w:tcPr>
          <w:p w14:paraId="0F5C1BE4">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w:t>
            </w:r>
          </w:p>
        </w:tc>
        <w:tc>
          <w:tcPr>
            <w:tcW w:w="669" w:type="pct"/>
            <w:tcBorders>
              <w:top w:val="single" w:color="auto" w:sz="2" w:space="0"/>
              <w:left w:val="single" w:color="auto" w:sz="2" w:space="0"/>
              <w:bottom w:val="single" w:color="auto" w:sz="2" w:space="0"/>
              <w:right w:val="single" w:color="auto" w:sz="2" w:space="0"/>
            </w:tcBorders>
            <w:vAlign w:val="center"/>
          </w:tcPr>
          <w:p w14:paraId="5BA6BB77">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316" w:type="pct"/>
            <w:tcBorders>
              <w:top w:val="single" w:color="auto" w:sz="2" w:space="0"/>
              <w:left w:val="single" w:color="auto" w:sz="2" w:space="0"/>
              <w:bottom w:val="single" w:color="auto" w:sz="2" w:space="0"/>
              <w:right w:val="single" w:color="auto" w:sz="2" w:space="0"/>
            </w:tcBorders>
            <w:vAlign w:val="center"/>
          </w:tcPr>
          <w:p w14:paraId="2672A291">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03" w:type="pct"/>
            <w:tcBorders>
              <w:top w:val="single" w:color="auto" w:sz="2" w:space="0"/>
              <w:left w:val="single" w:color="auto" w:sz="2" w:space="0"/>
              <w:bottom w:val="single" w:color="auto" w:sz="2" w:space="0"/>
              <w:right w:val="single" w:color="auto" w:sz="2" w:space="0"/>
            </w:tcBorders>
            <w:vAlign w:val="center"/>
          </w:tcPr>
          <w:p w14:paraId="16D36274">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4674C472">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732" w:type="pct"/>
            <w:tcBorders>
              <w:top w:val="single" w:color="auto" w:sz="2" w:space="0"/>
              <w:left w:val="single" w:color="auto" w:sz="2" w:space="0"/>
              <w:bottom w:val="single" w:color="auto" w:sz="2" w:space="0"/>
              <w:right w:val="single" w:color="auto" w:sz="2" w:space="0"/>
            </w:tcBorders>
            <w:vAlign w:val="center"/>
          </w:tcPr>
          <w:p w14:paraId="08A12E1F">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14:paraId="24DFF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0" w:hRule="atLeast"/>
          <w:jc w:val="center"/>
        </w:trPr>
        <w:tc>
          <w:tcPr>
            <w:tcW w:w="446" w:type="pct"/>
            <w:vMerge w:val="restart"/>
            <w:tcBorders>
              <w:top w:val="single" w:color="auto" w:sz="2" w:space="0"/>
              <w:left w:val="single" w:color="auto" w:sz="2" w:space="0"/>
              <w:right w:val="single" w:color="auto" w:sz="2" w:space="0"/>
            </w:tcBorders>
            <w:vAlign w:val="center"/>
          </w:tcPr>
          <w:p w14:paraId="03E78645">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广东知光生物科技有限公司</w:t>
            </w:r>
          </w:p>
        </w:tc>
        <w:tc>
          <w:tcPr>
            <w:tcW w:w="399" w:type="pct"/>
            <w:vMerge w:val="restart"/>
            <w:tcBorders>
              <w:top w:val="single" w:color="auto" w:sz="2" w:space="0"/>
              <w:left w:val="single" w:color="auto" w:sz="2" w:space="0"/>
              <w:right w:val="single" w:color="auto" w:sz="2" w:space="0"/>
            </w:tcBorders>
            <w:vAlign w:val="center"/>
          </w:tcPr>
          <w:p w14:paraId="5DAA2145">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425" w:type="pct"/>
            <w:vMerge w:val="restart"/>
            <w:tcBorders>
              <w:top w:val="single" w:color="auto" w:sz="2" w:space="0"/>
              <w:left w:val="single" w:color="auto" w:sz="2" w:space="0"/>
              <w:right w:val="single" w:color="auto" w:sz="2" w:space="0"/>
            </w:tcBorders>
            <w:vAlign w:val="center"/>
          </w:tcPr>
          <w:p w14:paraId="62CB3A44">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2.76%</w:t>
            </w:r>
          </w:p>
        </w:tc>
        <w:tc>
          <w:tcPr>
            <w:tcW w:w="713" w:type="pct"/>
            <w:vMerge w:val="restart"/>
            <w:tcBorders>
              <w:top w:val="single" w:color="auto" w:sz="2" w:space="0"/>
              <w:left w:val="single" w:color="auto" w:sz="2" w:space="0"/>
              <w:right w:val="single" w:color="auto" w:sz="2" w:space="0"/>
            </w:tcBorders>
            <w:vAlign w:val="center"/>
          </w:tcPr>
          <w:p w14:paraId="19C6EC69">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7,310,000</w:t>
            </w:r>
          </w:p>
        </w:tc>
        <w:tc>
          <w:tcPr>
            <w:tcW w:w="669" w:type="pct"/>
            <w:vMerge w:val="restart"/>
            <w:tcBorders>
              <w:top w:val="single" w:color="auto" w:sz="2" w:space="0"/>
              <w:left w:val="single" w:color="auto" w:sz="2" w:space="0"/>
              <w:right w:val="single" w:color="auto" w:sz="2" w:space="0"/>
            </w:tcBorders>
            <w:vAlign w:val="center"/>
          </w:tcPr>
          <w:p w14:paraId="2884D45F">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w:t>
            </w:r>
            <w:r>
              <w:rPr>
                <w:rFonts w:hint="eastAsia" w:ascii="Times New Roman" w:hAnsi="Times New Roman" w:eastAsia="宋体" w:cs="Times New Roman"/>
                <w:sz w:val="18"/>
                <w:szCs w:val="18"/>
              </w:rPr>
              <w:t>,</w:t>
            </w:r>
            <w:r>
              <w:rPr>
                <w:rFonts w:ascii="Times New Roman" w:hAnsi="Times New Roman" w:eastAsia="宋体" w:cs="Times New Roman"/>
                <w:sz w:val="18"/>
                <w:szCs w:val="18"/>
              </w:rPr>
              <w:t>084</w:t>
            </w:r>
            <w:r>
              <w:rPr>
                <w:rFonts w:hint="eastAsia" w:ascii="Times New Roman" w:hAnsi="Times New Roman" w:eastAsia="宋体" w:cs="Times New Roman"/>
                <w:sz w:val="18"/>
                <w:szCs w:val="18"/>
              </w:rPr>
              <w:t>,</w:t>
            </w:r>
            <w:r>
              <w:rPr>
                <w:rFonts w:ascii="Times New Roman" w:hAnsi="Times New Roman" w:eastAsia="宋体" w:cs="Times New Roman"/>
                <w:sz w:val="18"/>
                <w:szCs w:val="18"/>
              </w:rPr>
              <w:t>822</w:t>
            </w:r>
          </w:p>
        </w:tc>
        <w:tc>
          <w:tcPr>
            <w:tcW w:w="316" w:type="pct"/>
            <w:vMerge w:val="restart"/>
            <w:tcBorders>
              <w:top w:val="single" w:color="auto" w:sz="2" w:space="0"/>
              <w:left w:val="single" w:color="auto" w:sz="2" w:space="0"/>
              <w:right w:val="single" w:color="auto" w:sz="2" w:space="0"/>
            </w:tcBorders>
            <w:vAlign w:val="center"/>
          </w:tcPr>
          <w:p w14:paraId="566A1296">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03" w:type="pct"/>
            <w:vMerge w:val="restart"/>
            <w:tcBorders>
              <w:top w:val="single" w:color="auto" w:sz="2" w:space="0"/>
              <w:left w:val="single" w:color="auto" w:sz="2" w:space="0"/>
              <w:right w:val="single" w:color="auto" w:sz="2" w:space="0"/>
            </w:tcBorders>
            <w:vAlign w:val="center"/>
          </w:tcPr>
          <w:p w14:paraId="6707F9B7">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7,310,000</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4EC4F459">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冻结</w:t>
            </w:r>
          </w:p>
        </w:tc>
        <w:tc>
          <w:tcPr>
            <w:tcW w:w="732" w:type="pct"/>
            <w:vMerge w:val="restart"/>
            <w:tcBorders>
              <w:top w:val="single" w:color="auto" w:sz="2" w:space="0"/>
              <w:left w:val="single" w:color="auto" w:sz="2" w:space="0"/>
              <w:right w:val="single" w:color="auto" w:sz="2" w:space="0"/>
            </w:tcBorders>
            <w:vAlign w:val="center"/>
          </w:tcPr>
          <w:p w14:paraId="74DEDD62">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7,310,000</w:t>
            </w:r>
          </w:p>
        </w:tc>
      </w:tr>
      <w:tr w14:paraId="5114A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6" w:type="pct"/>
            <w:vMerge w:val="continue"/>
            <w:tcBorders>
              <w:left w:val="single" w:color="auto" w:sz="2" w:space="0"/>
              <w:bottom w:val="single" w:color="auto" w:sz="2" w:space="0"/>
              <w:right w:val="single" w:color="auto" w:sz="2" w:space="0"/>
            </w:tcBorders>
            <w:vAlign w:val="center"/>
          </w:tcPr>
          <w:p w14:paraId="4016800C">
            <w:pPr>
              <w:snapToGrid w:val="0"/>
              <w:spacing w:after="0" w:line="240" w:lineRule="exact"/>
              <w:rPr>
                <w:rFonts w:ascii="Times New Roman" w:hAnsi="Times New Roman" w:eastAsia="宋体" w:cs="Times New Roman"/>
                <w:sz w:val="18"/>
                <w:szCs w:val="18"/>
              </w:rPr>
            </w:pPr>
          </w:p>
        </w:tc>
        <w:tc>
          <w:tcPr>
            <w:tcW w:w="399" w:type="pct"/>
            <w:vMerge w:val="continue"/>
            <w:tcBorders>
              <w:left w:val="single" w:color="auto" w:sz="2" w:space="0"/>
              <w:bottom w:val="single" w:color="auto" w:sz="2" w:space="0"/>
              <w:right w:val="single" w:color="auto" w:sz="2" w:space="0"/>
            </w:tcBorders>
            <w:vAlign w:val="center"/>
          </w:tcPr>
          <w:p w14:paraId="3A3B2945">
            <w:pPr>
              <w:snapToGrid w:val="0"/>
              <w:spacing w:after="0" w:line="240" w:lineRule="exact"/>
              <w:jc w:val="center"/>
              <w:rPr>
                <w:rFonts w:ascii="Times New Roman" w:hAnsi="Times New Roman" w:eastAsia="宋体" w:cs="Times New Roman"/>
                <w:sz w:val="18"/>
                <w:szCs w:val="18"/>
              </w:rPr>
            </w:pPr>
          </w:p>
        </w:tc>
        <w:tc>
          <w:tcPr>
            <w:tcW w:w="425" w:type="pct"/>
            <w:vMerge w:val="continue"/>
            <w:tcBorders>
              <w:left w:val="single" w:color="auto" w:sz="2" w:space="0"/>
              <w:bottom w:val="single" w:color="auto" w:sz="2" w:space="0"/>
              <w:right w:val="single" w:color="auto" w:sz="2" w:space="0"/>
            </w:tcBorders>
            <w:vAlign w:val="center"/>
          </w:tcPr>
          <w:p w14:paraId="0AAB1EE7">
            <w:pPr>
              <w:snapToGrid w:val="0"/>
              <w:spacing w:after="0" w:line="240" w:lineRule="exact"/>
              <w:jc w:val="right"/>
              <w:rPr>
                <w:rFonts w:ascii="Times New Roman" w:hAnsi="Times New Roman" w:eastAsia="宋体" w:cs="Times New Roman"/>
                <w:sz w:val="18"/>
                <w:szCs w:val="18"/>
              </w:rPr>
            </w:pPr>
          </w:p>
        </w:tc>
        <w:tc>
          <w:tcPr>
            <w:tcW w:w="713" w:type="pct"/>
            <w:vMerge w:val="continue"/>
            <w:tcBorders>
              <w:left w:val="single" w:color="auto" w:sz="2" w:space="0"/>
              <w:bottom w:val="single" w:color="auto" w:sz="2" w:space="0"/>
              <w:right w:val="single" w:color="auto" w:sz="2" w:space="0"/>
            </w:tcBorders>
            <w:vAlign w:val="center"/>
          </w:tcPr>
          <w:p w14:paraId="61CD276F">
            <w:pPr>
              <w:snapToGrid w:val="0"/>
              <w:spacing w:after="0" w:line="240" w:lineRule="exact"/>
              <w:jc w:val="right"/>
              <w:rPr>
                <w:rFonts w:ascii="Times New Roman" w:hAnsi="Times New Roman" w:eastAsia="宋体" w:cs="Times New Roman"/>
                <w:sz w:val="18"/>
                <w:szCs w:val="18"/>
              </w:rPr>
            </w:pPr>
          </w:p>
        </w:tc>
        <w:tc>
          <w:tcPr>
            <w:tcW w:w="669" w:type="pct"/>
            <w:vMerge w:val="continue"/>
            <w:tcBorders>
              <w:left w:val="single" w:color="auto" w:sz="2" w:space="0"/>
              <w:bottom w:val="single" w:color="auto" w:sz="2" w:space="0"/>
              <w:right w:val="single" w:color="auto" w:sz="2" w:space="0"/>
            </w:tcBorders>
            <w:vAlign w:val="center"/>
          </w:tcPr>
          <w:p w14:paraId="166EAAEA">
            <w:pPr>
              <w:snapToGrid w:val="0"/>
              <w:spacing w:after="0" w:line="240" w:lineRule="exact"/>
              <w:jc w:val="right"/>
              <w:rPr>
                <w:rFonts w:ascii="Times New Roman" w:hAnsi="Times New Roman" w:eastAsia="宋体" w:cs="Times New Roman"/>
                <w:sz w:val="18"/>
                <w:szCs w:val="18"/>
              </w:rPr>
            </w:pPr>
          </w:p>
        </w:tc>
        <w:tc>
          <w:tcPr>
            <w:tcW w:w="316" w:type="pct"/>
            <w:vMerge w:val="continue"/>
            <w:tcBorders>
              <w:left w:val="single" w:color="auto" w:sz="2" w:space="0"/>
              <w:bottom w:val="single" w:color="auto" w:sz="2" w:space="0"/>
              <w:right w:val="single" w:color="auto" w:sz="2" w:space="0"/>
            </w:tcBorders>
            <w:vAlign w:val="center"/>
          </w:tcPr>
          <w:p w14:paraId="2E9F8177">
            <w:pPr>
              <w:snapToGrid w:val="0"/>
              <w:spacing w:after="0" w:line="240" w:lineRule="exact"/>
              <w:jc w:val="right"/>
              <w:rPr>
                <w:rFonts w:ascii="Times New Roman" w:hAnsi="Times New Roman" w:eastAsia="宋体" w:cs="Times New Roman"/>
                <w:sz w:val="18"/>
                <w:szCs w:val="18"/>
              </w:rPr>
            </w:pPr>
          </w:p>
        </w:tc>
        <w:tc>
          <w:tcPr>
            <w:tcW w:w="803" w:type="pct"/>
            <w:vMerge w:val="continue"/>
            <w:tcBorders>
              <w:left w:val="single" w:color="auto" w:sz="2" w:space="0"/>
              <w:bottom w:val="single" w:color="auto" w:sz="2" w:space="0"/>
              <w:right w:val="single" w:color="auto" w:sz="2" w:space="0"/>
            </w:tcBorders>
            <w:vAlign w:val="center"/>
          </w:tcPr>
          <w:p w14:paraId="38367D62">
            <w:pPr>
              <w:snapToGrid w:val="0"/>
              <w:spacing w:after="0" w:line="240" w:lineRule="exact"/>
              <w:jc w:val="right"/>
              <w:rPr>
                <w:rFonts w:ascii="Times New Roman" w:hAnsi="Times New Roman" w:eastAsia="宋体" w:cs="Times New Roman"/>
                <w:sz w:val="18"/>
                <w:szCs w:val="18"/>
              </w:rPr>
            </w:pP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1D74F990">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质押</w:t>
            </w:r>
          </w:p>
        </w:tc>
        <w:tc>
          <w:tcPr>
            <w:tcW w:w="732" w:type="pct"/>
            <w:vMerge w:val="continue"/>
            <w:tcBorders>
              <w:left w:val="single" w:color="auto" w:sz="2" w:space="0"/>
              <w:bottom w:val="single" w:color="auto" w:sz="2" w:space="0"/>
              <w:right w:val="single" w:color="auto" w:sz="2" w:space="0"/>
            </w:tcBorders>
            <w:vAlign w:val="center"/>
          </w:tcPr>
          <w:p w14:paraId="2B96BE70">
            <w:pPr>
              <w:snapToGrid w:val="0"/>
              <w:spacing w:after="0" w:line="240" w:lineRule="exact"/>
              <w:jc w:val="right"/>
              <w:rPr>
                <w:rFonts w:ascii="Times New Roman" w:hAnsi="Times New Roman" w:eastAsia="宋体" w:cs="Times New Roman"/>
                <w:sz w:val="18"/>
                <w:szCs w:val="18"/>
              </w:rPr>
            </w:pPr>
          </w:p>
        </w:tc>
      </w:tr>
      <w:tr w14:paraId="4BF8F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6" w:type="pct"/>
            <w:tcBorders>
              <w:top w:val="single" w:color="auto" w:sz="2" w:space="0"/>
              <w:left w:val="single" w:color="auto" w:sz="2" w:space="0"/>
              <w:bottom w:val="single" w:color="auto" w:sz="2" w:space="0"/>
              <w:right w:val="single" w:color="auto" w:sz="2" w:space="0"/>
            </w:tcBorders>
            <w:vAlign w:val="center"/>
          </w:tcPr>
          <w:p w14:paraId="1F530313">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蒋仕波</w:t>
            </w:r>
          </w:p>
        </w:tc>
        <w:tc>
          <w:tcPr>
            <w:tcW w:w="399" w:type="pct"/>
            <w:tcBorders>
              <w:top w:val="single" w:color="auto" w:sz="2" w:space="0"/>
              <w:left w:val="single" w:color="auto" w:sz="2" w:space="0"/>
              <w:bottom w:val="single" w:color="auto" w:sz="2" w:space="0"/>
              <w:right w:val="single" w:color="auto" w:sz="2" w:space="0"/>
            </w:tcBorders>
            <w:vAlign w:val="center"/>
          </w:tcPr>
          <w:p w14:paraId="4EA9A001">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境内自然人</w:t>
            </w:r>
          </w:p>
        </w:tc>
        <w:tc>
          <w:tcPr>
            <w:tcW w:w="425" w:type="pct"/>
            <w:tcBorders>
              <w:top w:val="single" w:color="auto" w:sz="2" w:space="0"/>
              <w:left w:val="single" w:color="auto" w:sz="2" w:space="0"/>
              <w:bottom w:val="single" w:color="auto" w:sz="2" w:space="0"/>
              <w:right w:val="single" w:color="auto" w:sz="2" w:space="0"/>
            </w:tcBorders>
            <w:vAlign w:val="center"/>
          </w:tcPr>
          <w:p w14:paraId="5C6C37BA">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1.87%</w:t>
            </w:r>
          </w:p>
        </w:tc>
        <w:tc>
          <w:tcPr>
            <w:tcW w:w="713" w:type="pct"/>
            <w:tcBorders>
              <w:top w:val="single" w:color="auto" w:sz="2" w:space="0"/>
              <w:left w:val="single" w:color="auto" w:sz="2" w:space="0"/>
              <w:bottom w:val="single" w:color="auto" w:sz="2" w:space="0"/>
              <w:right w:val="single" w:color="auto" w:sz="2" w:space="0"/>
            </w:tcBorders>
            <w:vAlign w:val="center"/>
          </w:tcPr>
          <w:p w14:paraId="3EA2D3F4">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4,958,440</w:t>
            </w:r>
          </w:p>
        </w:tc>
        <w:tc>
          <w:tcPr>
            <w:tcW w:w="669" w:type="pct"/>
            <w:tcBorders>
              <w:top w:val="single" w:color="auto" w:sz="2" w:space="0"/>
              <w:left w:val="single" w:color="auto" w:sz="2" w:space="0"/>
              <w:bottom w:val="single" w:color="auto" w:sz="2" w:space="0"/>
              <w:right w:val="single" w:color="auto" w:sz="2" w:space="0"/>
            </w:tcBorders>
            <w:vAlign w:val="center"/>
          </w:tcPr>
          <w:p w14:paraId="07AA1B60">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316" w:type="pct"/>
            <w:tcBorders>
              <w:top w:val="single" w:color="auto" w:sz="2" w:space="0"/>
              <w:left w:val="single" w:color="auto" w:sz="2" w:space="0"/>
              <w:bottom w:val="single" w:color="auto" w:sz="2" w:space="0"/>
              <w:right w:val="single" w:color="auto" w:sz="2" w:space="0"/>
            </w:tcBorders>
            <w:vAlign w:val="center"/>
          </w:tcPr>
          <w:p w14:paraId="23E8DC49">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03" w:type="pct"/>
            <w:tcBorders>
              <w:top w:val="single" w:color="auto" w:sz="2" w:space="0"/>
              <w:left w:val="single" w:color="auto" w:sz="2" w:space="0"/>
              <w:bottom w:val="single" w:color="auto" w:sz="2" w:space="0"/>
              <w:right w:val="single" w:color="auto" w:sz="2" w:space="0"/>
            </w:tcBorders>
            <w:vAlign w:val="center"/>
          </w:tcPr>
          <w:p w14:paraId="3757AF04">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4,958,440</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39E205C5">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732" w:type="pct"/>
            <w:tcBorders>
              <w:top w:val="single" w:color="auto" w:sz="2" w:space="0"/>
              <w:left w:val="single" w:color="auto" w:sz="2" w:space="0"/>
              <w:bottom w:val="single" w:color="auto" w:sz="2" w:space="0"/>
              <w:right w:val="single" w:color="auto" w:sz="2" w:space="0"/>
            </w:tcBorders>
            <w:vAlign w:val="center"/>
          </w:tcPr>
          <w:p w14:paraId="2F041DD3">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14:paraId="79524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6" w:type="pct"/>
            <w:tcBorders>
              <w:top w:val="single" w:color="auto" w:sz="2" w:space="0"/>
              <w:left w:val="single" w:color="auto" w:sz="2" w:space="0"/>
              <w:bottom w:val="single" w:color="auto" w:sz="2" w:space="0"/>
              <w:right w:val="single" w:color="auto" w:sz="2" w:space="0"/>
            </w:tcBorders>
            <w:vAlign w:val="center"/>
          </w:tcPr>
          <w:p w14:paraId="293CC1A6">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兴宝国际信托有限责任公司－华融·汇盈32号证券投资单一资金信托</w:t>
            </w:r>
          </w:p>
        </w:tc>
        <w:tc>
          <w:tcPr>
            <w:tcW w:w="399" w:type="pct"/>
            <w:tcBorders>
              <w:top w:val="single" w:color="auto" w:sz="2" w:space="0"/>
              <w:left w:val="single" w:color="auto" w:sz="2" w:space="0"/>
              <w:bottom w:val="single" w:color="auto" w:sz="2" w:space="0"/>
              <w:right w:val="single" w:color="auto" w:sz="2" w:space="0"/>
            </w:tcBorders>
            <w:vAlign w:val="center"/>
          </w:tcPr>
          <w:p w14:paraId="1ADDBB59">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425" w:type="pct"/>
            <w:tcBorders>
              <w:top w:val="single" w:color="auto" w:sz="2" w:space="0"/>
              <w:left w:val="single" w:color="auto" w:sz="2" w:space="0"/>
              <w:bottom w:val="single" w:color="auto" w:sz="2" w:space="0"/>
              <w:right w:val="single" w:color="auto" w:sz="2" w:space="0"/>
            </w:tcBorders>
            <w:vAlign w:val="center"/>
          </w:tcPr>
          <w:p w14:paraId="47690818">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1.54%</w:t>
            </w:r>
          </w:p>
        </w:tc>
        <w:tc>
          <w:tcPr>
            <w:tcW w:w="713" w:type="pct"/>
            <w:tcBorders>
              <w:top w:val="single" w:color="auto" w:sz="2" w:space="0"/>
              <w:left w:val="single" w:color="auto" w:sz="2" w:space="0"/>
              <w:bottom w:val="single" w:color="auto" w:sz="2" w:space="0"/>
              <w:right w:val="single" w:color="auto" w:sz="2" w:space="0"/>
            </w:tcBorders>
            <w:vAlign w:val="center"/>
          </w:tcPr>
          <w:p w14:paraId="2368547E">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4,080,000</w:t>
            </w:r>
          </w:p>
        </w:tc>
        <w:tc>
          <w:tcPr>
            <w:tcW w:w="669" w:type="pct"/>
            <w:tcBorders>
              <w:top w:val="single" w:color="auto" w:sz="2" w:space="0"/>
              <w:left w:val="single" w:color="auto" w:sz="2" w:space="0"/>
              <w:bottom w:val="single" w:color="auto" w:sz="2" w:space="0"/>
              <w:right w:val="single" w:color="auto" w:sz="2" w:space="0"/>
            </w:tcBorders>
            <w:vAlign w:val="center"/>
          </w:tcPr>
          <w:p w14:paraId="747E1C18">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w:t>
            </w:r>
            <w:r>
              <w:rPr>
                <w:rFonts w:hint="eastAsia" w:ascii="Times New Roman" w:hAnsi="Times New Roman" w:eastAsia="宋体" w:cs="Times New Roman"/>
                <w:sz w:val="18"/>
                <w:szCs w:val="18"/>
              </w:rPr>
              <w:t>,</w:t>
            </w:r>
            <w:r>
              <w:rPr>
                <w:rFonts w:ascii="Times New Roman" w:hAnsi="Times New Roman" w:eastAsia="宋体" w:cs="Times New Roman"/>
                <w:sz w:val="18"/>
                <w:szCs w:val="18"/>
              </w:rPr>
              <w:t>000</w:t>
            </w:r>
          </w:p>
        </w:tc>
        <w:tc>
          <w:tcPr>
            <w:tcW w:w="316" w:type="pct"/>
            <w:tcBorders>
              <w:top w:val="single" w:color="auto" w:sz="2" w:space="0"/>
              <w:left w:val="single" w:color="auto" w:sz="2" w:space="0"/>
              <w:bottom w:val="single" w:color="auto" w:sz="2" w:space="0"/>
              <w:right w:val="single" w:color="auto" w:sz="2" w:space="0"/>
            </w:tcBorders>
            <w:vAlign w:val="center"/>
          </w:tcPr>
          <w:p w14:paraId="2508B902">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03" w:type="pct"/>
            <w:tcBorders>
              <w:top w:val="single" w:color="auto" w:sz="2" w:space="0"/>
              <w:left w:val="single" w:color="auto" w:sz="2" w:space="0"/>
              <w:bottom w:val="single" w:color="auto" w:sz="2" w:space="0"/>
              <w:right w:val="single" w:color="auto" w:sz="2" w:space="0"/>
            </w:tcBorders>
            <w:vAlign w:val="center"/>
          </w:tcPr>
          <w:p w14:paraId="5AAE57F8">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4,080,000</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6D71A18E">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732" w:type="pct"/>
            <w:tcBorders>
              <w:top w:val="single" w:color="auto" w:sz="2" w:space="0"/>
              <w:left w:val="single" w:color="auto" w:sz="2" w:space="0"/>
              <w:bottom w:val="single" w:color="auto" w:sz="2" w:space="0"/>
              <w:right w:val="single" w:color="auto" w:sz="2" w:space="0"/>
            </w:tcBorders>
            <w:vAlign w:val="center"/>
          </w:tcPr>
          <w:p w14:paraId="3B4FA3F8">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14:paraId="15E15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6" w:type="pct"/>
            <w:tcBorders>
              <w:top w:val="single" w:color="auto" w:sz="2" w:space="0"/>
              <w:left w:val="single" w:color="auto" w:sz="2" w:space="0"/>
              <w:bottom w:val="single" w:color="auto" w:sz="2" w:space="0"/>
              <w:right w:val="single" w:color="auto" w:sz="2" w:space="0"/>
            </w:tcBorders>
            <w:vAlign w:val="center"/>
          </w:tcPr>
          <w:p w14:paraId="63FEE53C">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万美琴</w:t>
            </w:r>
          </w:p>
        </w:tc>
        <w:tc>
          <w:tcPr>
            <w:tcW w:w="399" w:type="pct"/>
            <w:tcBorders>
              <w:top w:val="single" w:color="auto" w:sz="2" w:space="0"/>
              <w:left w:val="single" w:color="auto" w:sz="2" w:space="0"/>
              <w:bottom w:val="single" w:color="auto" w:sz="2" w:space="0"/>
              <w:right w:val="single" w:color="auto" w:sz="2" w:space="0"/>
            </w:tcBorders>
            <w:vAlign w:val="center"/>
          </w:tcPr>
          <w:p w14:paraId="44AD14A0">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境内自然人</w:t>
            </w:r>
          </w:p>
        </w:tc>
        <w:tc>
          <w:tcPr>
            <w:tcW w:w="425" w:type="pct"/>
            <w:tcBorders>
              <w:top w:val="single" w:color="auto" w:sz="2" w:space="0"/>
              <w:left w:val="single" w:color="auto" w:sz="2" w:space="0"/>
              <w:bottom w:val="single" w:color="auto" w:sz="2" w:space="0"/>
              <w:right w:val="single" w:color="auto" w:sz="2" w:space="0"/>
            </w:tcBorders>
            <w:vAlign w:val="center"/>
          </w:tcPr>
          <w:p w14:paraId="3EFD1232">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w:t>
            </w:r>
          </w:p>
        </w:tc>
        <w:tc>
          <w:tcPr>
            <w:tcW w:w="713" w:type="pct"/>
            <w:tcBorders>
              <w:top w:val="single" w:color="auto" w:sz="2" w:space="0"/>
              <w:left w:val="single" w:color="auto" w:sz="2" w:space="0"/>
              <w:bottom w:val="single" w:color="auto" w:sz="2" w:space="0"/>
              <w:right w:val="single" w:color="auto" w:sz="2" w:space="0"/>
            </w:tcBorders>
            <w:vAlign w:val="center"/>
          </w:tcPr>
          <w:p w14:paraId="0DAFDA5D">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2,702,000</w:t>
            </w:r>
          </w:p>
        </w:tc>
        <w:tc>
          <w:tcPr>
            <w:tcW w:w="669" w:type="pct"/>
            <w:tcBorders>
              <w:top w:val="single" w:color="auto" w:sz="2" w:space="0"/>
              <w:left w:val="single" w:color="auto" w:sz="2" w:space="0"/>
              <w:bottom w:val="single" w:color="auto" w:sz="2" w:space="0"/>
              <w:right w:val="single" w:color="auto" w:sz="2" w:space="0"/>
            </w:tcBorders>
            <w:vAlign w:val="center"/>
          </w:tcPr>
          <w:p w14:paraId="2E58DF3A">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237</w:t>
            </w:r>
            <w:r>
              <w:rPr>
                <w:rFonts w:hint="eastAsia" w:ascii="Times New Roman" w:hAnsi="Times New Roman" w:eastAsia="宋体" w:cs="Times New Roman"/>
                <w:sz w:val="18"/>
                <w:szCs w:val="18"/>
              </w:rPr>
              <w:t>,</w:t>
            </w:r>
            <w:r>
              <w:rPr>
                <w:rFonts w:ascii="Times New Roman" w:hAnsi="Times New Roman" w:eastAsia="宋体" w:cs="Times New Roman"/>
                <w:sz w:val="18"/>
                <w:szCs w:val="18"/>
              </w:rPr>
              <w:t>000</w:t>
            </w:r>
          </w:p>
        </w:tc>
        <w:tc>
          <w:tcPr>
            <w:tcW w:w="316" w:type="pct"/>
            <w:tcBorders>
              <w:top w:val="single" w:color="auto" w:sz="2" w:space="0"/>
              <w:left w:val="single" w:color="auto" w:sz="2" w:space="0"/>
              <w:bottom w:val="single" w:color="auto" w:sz="2" w:space="0"/>
              <w:right w:val="single" w:color="auto" w:sz="2" w:space="0"/>
            </w:tcBorders>
            <w:vAlign w:val="center"/>
          </w:tcPr>
          <w:p w14:paraId="22788BD0">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03" w:type="pct"/>
            <w:tcBorders>
              <w:top w:val="single" w:color="auto" w:sz="2" w:space="0"/>
              <w:left w:val="single" w:color="auto" w:sz="2" w:space="0"/>
              <w:bottom w:val="single" w:color="auto" w:sz="2" w:space="0"/>
              <w:right w:val="single" w:color="auto" w:sz="2" w:space="0"/>
            </w:tcBorders>
            <w:vAlign w:val="center"/>
          </w:tcPr>
          <w:p w14:paraId="059878F1">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2,702,000</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456468E0">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732" w:type="pct"/>
            <w:tcBorders>
              <w:top w:val="single" w:color="auto" w:sz="2" w:space="0"/>
              <w:left w:val="single" w:color="auto" w:sz="2" w:space="0"/>
              <w:bottom w:val="single" w:color="auto" w:sz="2" w:space="0"/>
              <w:right w:val="single" w:color="auto" w:sz="2" w:space="0"/>
            </w:tcBorders>
            <w:vAlign w:val="center"/>
          </w:tcPr>
          <w:p w14:paraId="38184379">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14:paraId="7483E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6" w:type="pct"/>
            <w:tcBorders>
              <w:top w:val="single" w:color="auto" w:sz="2" w:space="0"/>
              <w:left w:val="single" w:color="auto" w:sz="2" w:space="0"/>
              <w:bottom w:val="single" w:color="auto" w:sz="2" w:space="0"/>
              <w:right w:val="single" w:color="auto" w:sz="2" w:space="0"/>
            </w:tcBorders>
            <w:vAlign w:val="center"/>
          </w:tcPr>
          <w:p w14:paraId="015D2056">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王若亭</w:t>
            </w:r>
          </w:p>
        </w:tc>
        <w:tc>
          <w:tcPr>
            <w:tcW w:w="399" w:type="pct"/>
            <w:tcBorders>
              <w:top w:val="single" w:color="auto" w:sz="2" w:space="0"/>
              <w:left w:val="single" w:color="auto" w:sz="2" w:space="0"/>
              <w:bottom w:val="single" w:color="auto" w:sz="2" w:space="0"/>
              <w:right w:val="single" w:color="auto" w:sz="2" w:space="0"/>
            </w:tcBorders>
            <w:vAlign w:val="center"/>
          </w:tcPr>
          <w:p w14:paraId="6CAE2FAC">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境外自然人</w:t>
            </w:r>
          </w:p>
        </w:tc>
        <w:tc>
          <w:tcPr>
            <w:tcW w:w="425" w:type="pct"/>
            <w:tcBorders>
              <w:top w:val="single" w:color="auto" w:sz="2" w:space="0"/>
              <w:left w:val="single" w:color="auto" w:sz="2" w:space="0"/>
              <w:bottom w:val="single" w:color="auto" w:sz="2" w:space="0"/>
              <w:right w:val="single" w:color="auto" w:sz="2" w:space="0"/>
            </w:tcBorders>
            <w:vAlign w:val="center"/>
          </w:tcPr>
          <w:p w14:paraId="7167CEAC">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0.58%</w:t>
            </w:r>
          </w:p>
        </w:tc>
        <w:tc>
          <w:tcPr>
            <w:tcW w:w="713" w:type="pct"/>
            <w:tcBorders>
              <w:top w:val="single" w:color="auto" w:sz="2" w:space="0"/>
              <w:left w:val="single" w:color="auto" w:sz="2" w:space="0"/>
              <w:bottom w:val="single" w:color="auto" w:sz="2" w:space="0"/>
              <w:right w:val="single" w:color="auto" w:sz="2" w:space="0"/>
            </w:tcBorders>
            <w:vAlign w:val="center"/>
          </w:tcPr>
          <w:p w14:paraId="36708529">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1,537,500</w:t>
            </w:r>
          </w:p>
        </w:tc>
        <w:tc>
          <w:tcPr>
            <w:tcW w:w="669" w:type="pct"/>
            <w:tcBorders>
              <w:top w:val="single" w:color="auto" w:sz="2" w:space="0"/>
              <w:left w:val="single" w:color="auto" w:sz="2" w:space="0"/>
              <w:bottom w:val="single" w:color="auto" w:sz="2" w:space="0"/>
              <w:right w:val="single" w:color="auto" w:sz="2" w:space="0"/>
            </w:tcBorders>
            <w:vAlign w:val="center"/>
          </w:tcPr>
          <w:p w14:paraId="15B1464C">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625</w:t>
            </w:r>
            <w:r>
              <w:rPr>
                <w:rFonts w:hint="eastAsia" w:ascii="Times New Roman" w:hAnsi="Times New Roman" w:eastAsia="宋体" w:cs="Times New Roman"/>
                <w:sz w:val="18"/>
                <w:szCs w:val="18"/>
              </w:rPr>
              <w:t>,</w:t>
            </w:r>
            <w:r>
              <w:rPr>
                <w:rFonts w:ascii="Times New Roman" w:hAnsi="Times New Roman" w:eastAsia="宋体" w:cs="Times New Roman"/>
                <w:sz w:val="18"/>
                <w:szCs w:val="18"/>
              </w:rPr>
              <w:t>200</w:t>
            </w:r>
          </w:p>
        </w:tc>
        <w:tc>
          <w:tcPr>
            <w:tcW w:w="316" w:type="pct"/>
            <w:tcBorders>
              <w:top w:val="single" w:color="auto" w:sz="2" w:space="0"/>
              <w:left w:val="single" w:color="auto" w:sz="2" w:space="0"/>
              <w:bottom w:val="single" w:color="auto" w:sz="2" w:space="0"/>
              <w:right w:val="single" w:color="auto" w:sz="2" w:space="0"/>
            </w:tcBorders>
            <w:vAlign w:val="center"/>
          </w:tcPr>
          <w:p w14:paraId="4CE28143">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03" w:type="pct"/>
            <w:tcBorders>
              <w:top w:val="single" w:color="auto" w:sz="2" w:space="0"/>
              <w:left w:val="single" w:color="auto" w:sz="2" w:space="0"/>
              <w:bottom w:val="single" w:color="auto" w:sz="2" w:space="0"/>
              <w:right w:val="single" w:color="auto" w:sz="2" w:space="0"/>
            </w:tcBorders>
            <w:vAlign w:val="center"/>
          </w:tcPr>
          <w:p w14:paraId="2885D543">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1,537,500</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315330BA">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732" w:type="pct"/>
            <w:tcBorders>
              <w:top w:val="single" w:color="auto" w:sz="2" w:space="0"/>
              <w:left w:val="single" w:color="auto" w:sz="2" w:space="0"/>
              <w:bottom w:val="single" w:color="auto" w:sz="2" w:space="0"/>
              <w:right w:val="single" w:color="auto" w:sz="2" w:space="0"/>
            </w:tcBorders>
            <w:vAlign w:val="center"/>
          </w:tcPr>
          <w:p w14:paraId="5F810AB0">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14:paraId="4F263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6" w:type="pct"/>
            <w:tcBorders>
              <w:top w:val="single" w:color="auto" w:sz="2" w:space="0"/>
              <w:left w:val="single" w:color="auto" w:sz="2" w:space="0"/>
              <w:bottom w:val="single" w:color="auto" w:sz="2" w:space="0"/>
              <w:right w:val="single" w:color="auto" w:sz="2" w:space="0"/>
            </w:tcBorders>
            <w:vAlign w:val="center"/>
          </w:tcPr>
          <w:p w14:paraId="0361FE26">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吉洋洋</w:t>
            </w:r>
          </w:p>
        </w:tc>
        <w:tc>
          <w:tcPr>
            <w:tcW w:w="399" w:type="pct"/>
            <w:tcBorders>
              <w:top w:val="single" w:color="auto" w:sz="2" w:space="0"/>
              <w:left w:val="single" w:color="auto" w:sz="2" w:space="0"/>
              <w:bottom w:val="single" w:color="auto" w:sz="2" w:space="0"/>
              <w:right w:val="single" w:color="auto" w:sz="2" w:space="0"/>
            </w:tcBorders>
            <w:vAlign w:val="center"/>
          </w:tcPr>
          <w:p w14:paraId="615F9F97">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境内自然人</w:t>
            </w:r>
          </w:p>
        </w:tc>
        <w:tc>
          <w:tcPr>
            <w:tcW w:w="425" w:type="pct"/>
            <w:tcBorders>
              <w:top w:val="single" w:color="auto" w:sz="2" w:space="0"/>
              <w:left w:val="single" w:color="auto" w:sz="2" w:space="0"/>
              <w:bottom w:val="single" w:color="auto" w:sz="2" w:space="0"/>
              <w:right w:val="single" w:color="auto" w:sz="2" w:space="0"/>
            </w:tcBorders>
            <w:vAlign w:val="center"/>
          </w:tcPr>
          <w:p w14:paraId="2C7A4F01">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0.53%</w:t>
            </w:r>
          </w:p>
        </w:tc>
        <w:tc>
          <w:tcPr>
            <w:tcW w:w="713" w:type="pct"/>
            <w:tcBorders>
              <w:top w:val="single" w:color="auto" w:sz="2" w:space="0"/>
              <w:left w:val="single" w:color="auto" w:sz="2" w:space="0"/>
              <w:bottom w:val="single" w:color="auto" w:sz="2" w:space="0"/>
              <w:right w:val="single" w:color="auto" w:sz="2" w:space="0"/>
            </w:tcBorders>
            <w:vAlign w:val="center"/>
          </w:tcPr>
          <w:p w14:paraId="6B35A976">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1,413,400</w:t>
            </w:r>
          </w:p>
        </w:tc>
        <w:tc>
          <w:tcPr>
            <w:tcW w:w="669" w:type="pct"/>
            <w:tcBorders>
              <w:top w:val="single" w:color="auto" w:sz="2" w:space="0"/>
              <w:left w:val="single" w:color="auto" w:sz="2" w:space="0"/>
              <w:bottom w:val="single" w:color="auto" w:sz="2" w:space="0"/>
              <w:right w:val="single" w:color="auto" w:sz="2" w:space="0"/>
            </w:tcBorders>
            <w:vAlign w:val="center"/>
          </w:tcPr>
          <w:p w14:paraId="04B2F461">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w:t>
            </w:r>
            <w:r>
              <w:rPr>
                <w:rFonts w:hint="eastAsia" w:ascii="Times New Roman" w:hAnsi="Times New Roman" w:eastAsia="宋体" w:cs="Times New Roman"/>
                <w:sz w:val="18"/>
                <w:szCs w:val="18"/>
              </w:rPr>
              <w:t>,</w:t>
            </w:r>
            <w:r>
              <w:rPr>
                <w:rFonts w:ascii="Times New Roman" w:hAnsi="Times New Roman" w:eastAsia="宋体" w:cs="Times New Roman"/>
                <w:sz w:val="18"/>
                <w:szCs w:val="18"/>
              </w:rPr>
              <w:t>413</w:t>
            </w:r>
            <w:r>
              <w:rPr>
                <w:rFonts w:hint="eastAsia" w:ascii="Times New Roman" w:hAnsi="Times New Roman" w:eastAsia="宋体" w:cs="Times New Roman"/>
                <w:sz w:val="18"/>
                <w:szCs w:val="18"/>
              </w:rPr>
              <w:t>,</w:t>
            </w:r>
            <w:r>
              <w:rPr>
                <w:rFonts w:ascii="Times New Roman" w:hAnsi="Times New Roman" w:eastAsia="宋体" w:cs="Times New Roman"/>
                <w:sz w:val="18"/>
                <w:szCs w:val="18"/>
              </w:rPr>
              <w:t>400</w:t>
            </w:r>
          </w:p>
        </w:tc>
        <w:tc>
          <w:tcPr>
            <w:tcW w:w="316" w:type="pct"/>
            <w:tcBorders>
              <w:top w:val="single" w:color="auto" w:sz="2" w:space="0"/>
              <w:left w:val="single" w:color="auto" w:sz="2" w:space="0"/>
              <w:bottom w:val="single" w:color="auto" w:sz="2" w:space="0"/>
              <w:right w:val="single" w:color="auto" w:sz="2" w:space="0"/>
            </w:tcBorders>
            <w:vAlign w:val="center"/>
          </w:tcPr>
          <w:p w14:paraId="6055DEEA">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03" w:type="pct"/>
            <w:tcBorders>
              <w:top w:val="single" w:color="auto" w:sz="2" w:space="0"/>
              <w:left w:val="single" w:color="auto" w:sz="2" w:space="0"/>
              <w:bottom w:val="single" w:color="auto" w:sz="2" w:space="0"/>
              <w:right w:val="single" w:color="auto" w:sz="2" w:space="0"/>
            </w:tcBorders>
            <w:vAlign w:val="center"/>
          </w:tcPr>
          <w:p w14:paraId="5955A141">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1,413,400</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45182A2E">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732" w:type="pct"/>
            <w:tcBorders>
              <w:top w:val="single" w:color="auto" w:sz="2" w:space="0"/>
              <w:left w:val="single" w:color="auto" w:sz="2" w:space="0"/>
              <w:bottom w:val="single" w:color="auto" w:sz="2" w:space="0"/>
              <w:right w:val="single" w:color="auto" w:sz="2" w:space="0"/>
            </w:tcBorders>
            <w:vAlign w:val="center"/>
          </w:tcPr>
          <w:p w14:paraId="4B17124F">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14:paraId="11C79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6" w:type="pct"/>
            <w:tcBorders>
              <w:top w:val="single" w:color="auto" w:sz="2" w:space="0"/>
              <w:left w:val="single" w:color="auto" w:sz="2" w:space="0"/>
              <w:bottom w:val="single" w:color="auto" w:sz="2" w:space="0"/>
              <w:right w:val="single" w:color="auto" w:sz="2" w:space="0"/>
            </w:tcBorders>
            <w:vAlign w:val="center"/>
          </w:tcPr>
          <w:p w14:paraId="07AF1CAC">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苗文成</w:t>
            </w:r>
          </w:p>
        </w:tc>
        <w:tc>
          <w:tcPr>
            <w:tcW w:w="399" w:type="pct"/>
            <w:tcBorders>
              <w:top w:val="single" w:color="auto" w:sz="2" w:space="0"/>
              <w:left w:val="single" w:color="auto" w:sz="2" w:space="0"/>
              <w:bottom w:val="single" w:color="auto" w:sz="2" w:space="0"/>
              <w:right w:val="single" w:color="auto" w:sz="2" w:space="0"/>
            </w:tcBorders>
            <w:vAlign w:val="center"/>
          </w:tcPr>
          <w:p w14:paraId="63EBA668">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境内自然人</w:t>
            </w:r>
          </w:p>
        </w:tc>
        <w:tc>
          <w:tcPr>
            <w:tcW w:w="425" w:type="pct"/>
            <w:tcBorders>
              <w:top w:val="single" w:color="auto" w:sz="2" w:space="0"/>
              <w:left w:val="single" w:color="auto" w:sz="2" w:space="0"/>
              <w:bottom w:val="single" w:color="auto" w:sz="2" w:space="0"/>
              <w:right w:val="single" w:color="auto" w:sz="2" w:space="0"/>
            </w:tcBorders>
            <w:vAlign w:val="center"/>
          </w:tcPr>
          <w:p w14:paraId="625BDF43">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0.51%</w:t>
            </w:r>
          </w:p>
        </w:tc>
        <w:tc>
          <w:tcPr>
            <w:tcW w:w="713" w:type="pct"/>
            <w:tcBorders>
              <w:top w:val="single" w:color="auto" w:sz="2" w:space="0"/>
              <w:left w:val="single" w:color="auto" w:sz="2" w:space="0"/>
              <w:bottom w:val="single" w:color="auto" w:sz="2" w:space="0"/>
              <w:right w:val="single" w:color="auto" w:sz="2" w:space="0"/>
            </w:tcBorders>
            <w:vAlign w:val="center"/>
          </w:tcPr>
          <w:p w14:paraId="7990F45D">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1,346,600</w:t>
            </w:r>
          </w:p>
        </w:tc>
        <w:tc>
          <w:tcPr>
            <w:tcW w:w="669" w:type="pct"/>
            <w:tcBorders>
              <w:top w:val="single" w:color="auto" w:sz="2" w:space="0"/>
              <w:left w:val="single" w:color="auto" w:sz="2" w:space="0"/>
              <w:bottom w:val="single" w:color="auto" w:sz="2" w:space="0"/>
              <w:right w:val="single" w:color="auto" w:sz="2" w:space="0"/>
            </w:tcBorders>
            <w:vAlign w:val="center"/>
          </w:tcPr>
          <w:p w14:paraId="48FB8A9F">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316" w:type="pct"/>
            <w:tcBorders>
              <w:top w:val="single" w:color="auto" w:sz="2" w:space="0"/>
              <w:left w:val="single" w:color="auto" w:sz="2" w:space="0"/>
              <w:bottom w:val="single" w:color="auto" w:sz="2" w:space="0"/>
              <w:right w:val="single" w:color="auto" w:sz="2" w:space="0"/>
            </w:tcBorders>
            <w:vAlign w:val="center"/>
          </w:tcPr>
          <w:p w14:paraId="7501D2E5">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03" w:type="pct"/>
            <w:tcBorders>
              <w:top w:val="single" w:color="auto" w:sz="2" w:space="0"/>
              <w:left w:val="single" w:color="auto" w:sz="2" w:space="0"/>
              <w:bottom w:val="single" w:color="auto" w:sz="2" w:space="0"/>
              <w:right w:val="single" w:color="auto" w:sz="2" w:space="0"/>
            </w:tcBorders>
            <w:vAlign w:val="center"/>
          </w:tcPr>
          <w:p w14:paraId="620492ED">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1,346,600</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64857220">
            <w:pPr>
              <w:snapToGrid w:val="0"/>
              <w:spacing w:after="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732" w:type="pct"/>
            <w:tcBorders>
              <w:top w:val="single" w:color="auto" w:sz="2" w:space="0"/>
              <w:left w:val="single" w:color="auto" w:sz="2" w:space="0"/>
              <w:bottom w:val="single" w:color="auto" w:sz="2" w:space="0"/>
              <w:right w:val="single" w:color="auto" w:sz="2" w:space="0"/>
            </w:tcBorders>
            <w:vAlign w:val="center"/>
          </w:tcPr>
          <w:p w14:paraId="6E782245">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14:paraId="5EEB6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1565EF1">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战略投资者或一般法人因配售新股成为前10名股东的情况（如有）（参见注4）</w:t>
            </w:r>
          </w:p>
        </w:tc>
        <w:tc>
          <w:tcPr>
            <w:tcW w:w="4153" w:type="pct"/>
            <w:gridSpan w:val="8"/>
            <w:tcBorders>
              <w:top w:val="single" w:color="auto" w:sz="2" w:space="0"/>
              <w:left w:val="single" w:color="auto" w:sz="2" w:space="0"/>
              <w:bottom w:val="single" w:color="auto" w:sz="2" w:space="0"/>
              <w:right w:val="single" w:color="auto" w:sz="2" w:space="0"/>
            </w:tcBorders>
            <w:vAlign w:val="center"/>
          </w:tcPr>
          <w:p w14:paraId="598503B0">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r>
      <w:tr w14:paraId="21D3F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74F93E5">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上述股东关联关系或一致行动的说明</w:t>
            </w:r>
          </w:p>
        </w:tc>
        <w:tc>
          <w:tcPr>
            <w:tcW w:w="4153" w:type="pct"/>
            <w:gridSpan w:val="8"/>
            <w:tcBorders>
              <w:top w:val="single" w:color="auto" w:sz="2" w:space="0"/>
              <w:left w:val="single" w:color="auto" w:sz="2" w:space="0"/>
              <w:bottom w:val="single" w:color="auto" w:sz="2" w:space="0"/>
              <w:right w:val="single" w:color="auto" w:sz="2" w:space="0"/>
            </w:tcBorders>
            <w:vAlign w:val="center"/>
          </w:tcPr>
          <w:p w14:paraId="12E97902">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张永明、林玲夫妇是公司的实际控制人，其通过北京世纪天富创业投资中心（有限合伙）、北京天佑瑞元医药科技有限公司、西藏金淦企业管理咨询有限公司、广东知光生物科技有限公司间接持有公司股份；除此之外公司未知其他股东间是否存在关联关系，也未知其他股东是否属于上市公司持股变动信息披露管理办法中规定的一致行动人。</w:t>
            </w:r>
          </w:p>
        </w:tc>
      </w:tr>
      <w:tr w14:paraId="69ECC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C21F5AC">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上述股东涉及委托/受托表决权、放弃表决权情况的说明</w:t>
            </w:r>
          </w:p>
        </w:tc>
        <w:tc>
          <w:tcPr>
            <w:tcW w:w="4153" w:type="pct"/>
            <w:gridSpan w:val="8"/>
            <w:tcBorders>
              <w:top w:val="single" w:color="auto" w:sz="2" w:space="0"/>
              <w:left w:val="single" w:color="auto" w:sz="2" w:space="0"/>
              <w:bottom w:val="single" w:color="auto" w:sz="2" w:space="0"/>
              <w:right w:val="single" w:color="auto" w:sz="2" w:space="0"/>
            </w:tcBorders>
            <w:vAlign w:val="center"/>
          </w:tcPr>
          <w:p w14:paraId="1DDAB209">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r>
      <w:tr w14:paraId="58B60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ADABBA9">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前10名股东中存在回购专户的特别说明（如有）（参见注10）</w:t>
            </w:r>
          </w:p>
        </w:tc>
        <w:tc>
          <w:tcPr>
            <w:tcW w:w="4153" w:type="pct"/>
            <w:gridSpan w:val="8"/>
            <w:tcBorders>
              <w:top w:val="single" w:color="auto" w:sz="2" w:space="0"/>
              <w:left w:val="single" w:color="auto" w:sz="2" w:space="0"/>
              <w:bottom w:val="single" w:color="auto" w:sz="2" w:space="0"/>
              <w:right w:val="single" w:color="auto" w:sz="2" w:space="0"/>
            </w:tcBorders>
            <w:vAlign w:val="center"/>
          </w:tcPr>
          <w:p w14:paraId="745E176F">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r>
      <w:tr w14:paraId="64785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000" w:type="pct"/>
            <w:gridSpan w:val="10"/>
            <w:tcBorders>
              <w:top w:val="single" w:color="auto" w:sz="2" w:space="0"/>
              <w:left w:val="single" w:color="auto" w:sz="2" w:space="0"/>
              <w:bottom w:val="single" w:color="auto" w:sz="2" w:space="0"/>
              <w:right w:val="single" w:color="auto" w:sz="2" w:space="0"/>
            </w:tcBorders>
            <w:shd w:val="clear" w:color="auto" w:fill="D3D3D3"/>
            <w:vAlign w:val="center"/>
          </w:tcPr>
          <w:p w14:paraId="59BA8B21">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前10名无限售条件股东持股情况（不含通过转融通出借股份、高管锁定股）</w:t>
            </w:r>
          </w:p>
        </w:tc>
      </w:tr>
      <w:tr w14:paraId="77404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85C7BD8">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股东名称</w:t>
            </w:r>
          </w:p>
        </w:tc>
        <w:tc>
          <w:tcPr>
            <w:tcW w:w="2927" w:type="pct"/>
            <w:gridSpan w:val="5"/>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F080EF3">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报告期末持有无限售条件股份数量</w:t>
            </w:r>
          </w:p>
        </w:tc>
        <w:tc>
          <w:tcPr>
            <w:tcW w:w="1226" w:type="pct"/>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43322EF5">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股份种类</w:t>
            </w:r>
          </w:p>
        </w:tc>
      </w:tr>
      <w:tr w14:paraId="616E9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8D93367">
            <w:pPr>
              <w:snapToGrid w:val="0"/>
              <w:rPr>
                <w:rFonts w:ascii="Times New Roman" w:hAnsi="Times New Roman" w:cs="Times New Roman"/>
              </w:rPr>
            </w:pPr>
          </w:p>
        </w:tc>
        <w:tc>
          <w:tcPr>
            <w:tcW w:w="2927" w:type="pct"/>
            <w:gridSpan w:val="5"/>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F95F978">
            <w:pPr>
              <w:snapToGrid w:val="0"/>
              <w:rPr>
                <w:rFonts w:ascii="Times New Roman" w:hAnsi="Times New Roman" w:cs="Times New Roman"/>
              </w:rPr>
            </w:pPr>
          </w:p>
        </w:tc>
        <w:tc>
          <w:tcPr>
            <w:tcW w:w="493" w:type="pct"/>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7903E97">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股份种类</w:t>
            </w:r>
          </w:p>
        </w:tc>
        <w:tc>
          <w:tcPr>
            <w:tcW w:w="732" w:type="pct"/>
            <w:tcBorders>
              <w:top w:val="single" w:color="auto" w:sz="2" w:space="0"/>
              <w:left w:val="single" w:color="auto" w:sz="2" w:space="0"/>
              <w:bottom w:val="single" w:color="auto" w:sz="2" w:space="0"/>
              <w:right w:val="single" w:color="auto" w:sz="2" w:space="0"/>
            </w:tcBorders>
            <w:shd w:val="clear" w:color="auto" w:fill="D3D3D3"/>
            <w:vAlign w:val="center"/>
          </w:tcPr>
          <w:p w14:paraId="73BE2A6D">
            <w:pPr>
              <w:snapToGrid w:val="0"/>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r>
      <w:tr w14:paraId="6132A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tcBorders>
              <w:top w:val="single" w:color="auto" w:sz="2" w:space="0"/>
              <w:left w:val="single" w:color="auto" w:sz="2" w:space="0"/>
              <w:bottom w:val="single" w:color="auto" w:sz="2" w:space="0"/>
              <w:right w:val="single" w:color="auto" w:sz="2" w:space="0"/>
            </w:tcBorders>
            <w:vAlign w:val="center"/>
          </w:tcPr>
          <w:p w14:paraId="6A88E7CE">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北京世纪天富创业投资中心（有限合伙）</w:t>
            </w:r>
          </w:p>
        </w:tc>
        <w:tc>
          <w:tcPr>
            <w:tcW w:w="2927" w:type="pct"/>
            <w:gridSpan w:val="5"/>
            <w:tcBorders>
              <w:top w:val="single" w:color="auto" w:sz="2" w:space="0"/>
              <w:left w:val="single" w:color="auto" w:sz="2" w:space="0"/>
              <w:bottom w:val="single" w:color="auto" w:sz="2" w:space="0"/>
              <w:right w:val="single" w:color="auto" w:sz="2" w:space="0"/>
            </w:tcBorders>
            <w:vAlign w:val="center"/>
          </w:tcPr>
          <w:p w14:paraId="2131AFE4">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36,016,266</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0A358071">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732" w:type="pct"/>
            <w:tcBorders>
              <w:top w:val="single" w:color="auto" w:sz="2" w:space="0"/>
              <w:left w:val="single" w:color="auto" w:sz="2" w:space="0"/>
              <w:bottom w:val="single" w:color="auto" w:sz="2" w:space="0"/>
              <w:right w:val="single" w:color="auto" w:sz="2" w:space="0"/>
            </w:tcBorders>
            <w:vAlign w:val="center"/>
          </w:tcPr>
          <w:p w14:paraId="418D34E2">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36,016,266</w:t>
            </w:r>
          </w:p>
        </w:tc>
      </w:tr>
      <w:tr w14:paraId="7BEE6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tcBorders>
              <w:top w:val="single" w:color="auto" w:sz="2" w:space="0"/>
              <w:left w:val="single" w:color="auto" w:sz="2" w:space="0"/>
              <w:bottom w:val="single" w:color="auto" w:sz="2" w:space="0"/>
              <w:right w:val="single" w:color="auto" w:sz="2" w:space="0"/>
            </w:tcBorders>
            <w:vAlign w:val="center"/>
          </w:tcPr>
          <w:p w14:paraId="6F3EAB14">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北京天佑瑞元医药科技有限公司</w:t>
            </w:r>
          </w:p>
        </w:tc>
        <w:tc>
          <w:tcPr>
            <w:tcW w:w="2927" w:type="pct"/>
            <w:gridSpan w:val="5"/>
            <w:tcBorders>
              <w:top w:val="single" w:color="auto" w:sz="2" w:space="0"/>
              <w:left w:val="single" w:color="auto" w:sz="2" w:space="0"/>
              <w:bottom w:val="single" w:color="auto" w:sz="2" w:space="0"/>
              <w:right w:val="single" w:color="auto" w:sz="2" w:space="0"/>
            </w:tcBorders>
            <w:vAlign w:val="center"/>
          </w:tcPr>
          <w:p w14:paraId="523621EA">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17,084,822</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01BFED65">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732" w:type="pct"/>
            <w:tcBorders>
              <w:top w:val="single" w:color="auto" w:sz="2" w:space="0"/>
              <w:left w:val="single" w:color="auto" w:sz="2" w:space="0"/>
              <w:bottom w:val="single" w:color="auto" w:sz="2" w:space="0"/>
              <w:right w:val="single" w:color="auto" w:sz="2" w:space="0"/>
            </w:tcBorders>
            <w:vAlign w:val="center"/>
          </w:tcPr>
          <w:p w14:paraId="3B02F7EF">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17,084,822</w:t>
            </w:r>
          </w:p>
        </w:tc>
      </w:tr>
      <w:tr w14:paraId="0D70B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tcBorders>
              <w:top w:val="single" w:color="auto" w:sz="2" w:space="0"/>
              <w:left w:val="single" w:color="auto" w:sz="2" w:space="0"/>
              <w:bottom w:val="single" w:color="auto" w:sz="2" w:space="0"/>
              <w:right w:val="single" w:color="auto" w:sz="2" w:space="0"/>
            </w:tcBorders>
            <w:vAlign w:val="center"/>
          </w:tcPr>
          <w:p w14:paraId="03F890DA">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西藏金淦企业管理咨询有限公司</w:t>
            </w:r>
          </w:p>
        </w:tc>
        <w:tc>
          <w:tcPr>
            <w:tcW w:w="2927" w:type="pct"/>
            <w:gridSpan w:val="5"/>
            <w:tcBorders>
              <w:top w:val="single" w:color="auto" w:sz="2" w:space="0"/>
              <w:left w:val="single" w:color="auto" w:sz="2" w:space="0"/>
              <w:bottom w:val="single" w:color="auto" w:sz="2" w:space="0"/>
              <w:right w:val="single" w:color="auto" w:sz="2" w:space="0"/>
            </w:tcBorders>
            <w:vAlign w:val="center"/>
          </w:tcPr>
          <w:p w14:paraId="71D99F88">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44CA2848">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732" w:type="pct"/>
            <w:tcBorders>
              <w:top w:val="single" w:color="auto" w:sz="2" w:space="0"/>
              <w:left w:val="single" w:color="auto" w:sz="2" w:space="0"/>
              <w:bottom w:val="single" w:color="auto" w:sz="2" w:space="0"/>
              <w:right w:val="single" w:color="auto" w:sz="2" w:space="0"/>
            </w:tcBorders>
            <w:vAlign w:val="center"/>
          </w:tcPr>
          <w:p w14:paraId="1A782002">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w:t>
            </w:r>
          </w:p>
        </w:tc>
      </w:tr>
      <w:tr w14:paraId="07D16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tcBorders>
              <w:top w:val="single" w:color="auto" w:sz="2" w:space="0"/>
              <w:left w:val="single" w:color="auto" w:sz="2" w:space="0"/>
              <w:bottom w:val="single" w:color="auto" w:sz="2" w:space="0"/>
              <w:right w:val="single" w:color="auto" w:sz="2" w:space="0"/>
            </w:tcBorders>
            <w:vAlign w:val="center"/>
          </w:tcPr>
          <w:p w14:paraId="38E92C95">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广东知光生物科技有限公司</w:t>
            </w:r>
          </w:p>
        </w:tc>
        <w:tc>
          <w:tcPr>
            <w:tcW w:w="2927" w:type="pct"/>
            <w:gridSpan w:val="5"/>
            <w:tcBorders>
              <w:top w:val="single" w:color="auto" w:sz="2" w:space="0"/>
              <w:left w:val="single" w:color="auto" w:sz="2" w:space="0"/>
              <w:bottom w:val="single" w:color="auto" w:sz="2" w:space="0"/>
              <w:right w:val="single" w:color="auto" w:sz="2" w:space="0"/>
            </w:tcBorders>
            <w:vAlign w:val="center"/>
          </w:tcPr>
          <w:p w14:paraId="64602F23">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7,310,000</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58FD37D7">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732" w:type="pct"/>
            <w:tcBorders>
              <w:top w:val="single" w:color="auto" w:sz="2" w:space="0"/>
              <w:left w:val="single" w:color="auto" w:sz="2" w:space="0"/>
              <w:bottom w:val="single" w:color="auto" w:sz="2" w:space="0"/>
              <w:right w:val="single" w:color="auto" w:sz="2" w:space="0"/>
            </w:tcBorders>
            <w:vAlign w:val="center"/>
          </w:tcPr>
          <w:p w14:paraId="0554230D">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7,310,000</w:t>
            </w:r>
          </w:p>
        </w:tc>
      </w:tr>
      <w:tr w14:paraId="62361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tcBorders>
              <w:top w:val="single" w:color="auto" w:sz="2" w:space="0"/>
              <w:left w:val="single" w:color="auto" w:sz="2" w:space="0"/>
              <w:bottom w:val="single" w:color="auto" w:sz="2" w:space="0"/>
              <w:right w:val="single" w:color="auto" w:sz="2" w:space="0"/>
            </w:tcBorders>
            <w:vAlign w:val="center"/>
          </w:tcPr>
          <w:p w14:paraId="081366A2">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蒋仕波</w:t>
            </w:r>
          </w:p>
        </w:tc>
        <w:tc>
          <w:tcPr>
            <w:tcW w:w="2927" w:type="pct"/>
            <w:gridSpan w:val="5"/>
            <w:tcBorders>
              <w:top w:val="single" w:color="auto" w:sz="2" w:space="0"/>
              <w:left w:val="single" w:color="auto" w:sz="2" w:space="0"/>
              <w:bottom w:val="single" w:color="auto" w:sz="2" w:space="0"/>
              <w:right w:val="single" w:color="auto" w:sz="2" w:space="0"/>
            </w:tcBorders>
            <w:vAlign w:val="center"/>
          </w:tcPr>
          <w:p w14:paraId="6B54F824">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4,958,440</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35C06C1F">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732" w:type="pct"/>
            <w:tcBorders>
              <w:top w:val="single" w:color="auto" w:sz="2" w:space="0"/>
              <w:left w:val="single" w:color="auto" w:sz="2" w:space="0"/>
              <w:bottom w:val="single" w:color="auto" w:sz="2" w:space="0"/>
              <w:right w:val="single" w:color="auto" w:sz="2" w:space="0"/>
            </w:tcBorders>
            <w:vAlign w:val="center"/>
          </w:tcPr>
          <w:p w14:paraId="3200C298">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4,958,440</w:t>
            </w:r>
          </w:p>
        </w:tc>
      </w:tr>
      <w:tr w14:paraId="26877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tcBorders>
              <w:top w:val="single" w:color="auto" w:sz="2" w:space="0"/>
              <w:left w:val="single" w:color="auto" w:sz="2" w:space="0"/>
              <w:bottom w:val="single" w:color="auto" w:sz="2" w:space="0"/>
              <w:right w:val="single" w:color="auto" w:sz="2" w:space="0"/>
            </w:tcBorders>
            <w:vAlign w:val="center"/>
          </w:tcPr>
          <w:p w14:paraId="5071035B">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兴宝国际信托有限责任公司－华融·汇盈32号证券投资单一资金信托</w:t>
            </w:r>
          </w:p>
        </w:tc>
        <w:tc>
          <w:tcPr>
            <w:tcW w:w="2927" w:type="pct"/>
            <w:gridSpan w:val="5"/>
            <w:tcBorders>
              <w:top w:val="single" w:color="auto" w:sz="2" w:space="0"/>
              <w:left w:val="single" w:color="auto" w:sz="2" w:space="0"/>
              <w:bottom w:val="single" w:color="auto" w:sz="2" w:space="0"/>
              <w:right w:val="single" w:color="auto" w:sz="2" w:space="0"/>
            </w:tcBorders>
            <w:vAlign w:val="center"/>
          </w:tcPr>
          <w:p w14:paraId="1A9A8763">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4,080,000</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3548A5D3">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732" w:type="pct"/>
            <w:tcBorders>
              <w:top w:val="single" w:color="auto" w:sz="2" w:space="0"/>
              <w:left w:val="single" w:color="auto" w:sz="2" w:space="0"/>
              <w:bottom w:val="single" w:color="auto" w:sz="2" w:space="0"/>
              <w:right w:val="single" w:color="auto" w:sz="2" w:space="0"/>
            </w:tcBorders>
            <w:vAlign w:val="center"/>
          </w:tcPr>
          <w:p w14:paraId="3F0E66B8">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4,080,000</w:t>
            </w:r>
          </w:p>
        </w:tc>
      </w:tr>
      <w:tr w14:paraId="7667E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tcBorders>
              <w:top w:val="single" w:color="auto" w:sz="2" w:space="0"/>
              <w:left w:val="single" w:color="auto" w:sz="2" w:space="0"/>
              <w:bottom w:val="single" w:color="auto" w:sz="2" w:space="0"/>
              <w:right w:val="single" w:color="auto" w:sz="2" w:space="0"/>
            </w:tcBorders>
            <w:vAlign w:val="center"/>
          </w:tcPr>
          <w:p w14:paraId="36DC18DA">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万美琴</w:t>
            </w:r>
          </w:p>
        </w:tc>
        <w:tc>
          <w:tcPr>
            <w:tcW w:w="2927" w:type="pct"/>
            <w:gridSpan w:val="5"/>
            <w:tcBorders>
              <w:top w:val="single" w:color="auto" w:sz="2" w:space="0"/>
              <w:left w:val="single" w:color="auto" w:sz="2" w:space="0"/>
              <w:bottom w:val="single" w:color="auto" w:sz="2" w:space="0"/>
              <w:right w:val="single" w:color="auto" w:sz="2" w:space="0"/>
            </w:tcBorders>
            <w:vAlign w:val="center"/>
          </w:tcPr>
          <w:p w14:paraId="34B2238F">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2,702,000</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310AFFEA">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732" w:type="pct"/>
            <w:tcBorders>
              <w:top w:val="single" w:color="auto" w:sz="2" w:space="0"/>
              <w:left w:val="single" w:color="auto" w:sz="2" w:space="0"/>
              <w:bottom w:val="single" w:color="auto" w:sz="2" w:space="0"/>
              <w:right w:val="single" w:color="auto" w:sz="2" w:space="0"/>
            </w:tcBorders>
            <w:vAlign w:val="center"/>
          </w:tcPr>
          <w:p w14:paraId="0E087B1E">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2,702,000</w:t>
            </w:r>
          </w:p>
        </w:tc>
      </w:tr>
      <w:tr w14:paraId="6CAED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tcBorders>
              <w:top w:val="single" w:color="auto" w:sz="2" w:space="0"/>
              <w:left w:val="single" w:color="auto" w:sz="2" w:space="0"/>
              <w:bottom w:val="single" w:color="auto" w:sz="2" w:space="0"/>
              <w:right w:val="single" w:color="auto" w:sz="2" w:space="0"/>
            </w:tcBorders>
            <w:vAlign w:val="center"/>
          </w:tcPr>
          <w:p w14:paraId="0C68B897">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王若亭</w:t>
            </w:r>
          </w:p>
        </w:tc>
        <w:tc>
          <w:tcPr>
            <w:tcW w:w="2927" w:type="pct"/>
            <w:gridSpan w:val="5"/>
            <w:tcBorders>
              <w:top w:val="single" w:color="auto" w:sz="2" w:space="0"/>
              <w:left w:val="single" w:color="auto" w:sz="2" w:space="0"/>
              <w:bottom w:val="single" w:color="auto" w:sz="2" w:space="0"/>
              <w:right w:val="single" w:color="auto" w:sz="2" w:space="0"/>
            </w:tcBorders>
            <w:vAlign w:val="center"/>
          </w:tcPr>
          <w:p w14:paraId="287E3639">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1,537,500</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0CF2F97C">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732" w:type="pct"/>
            <w:tcBorders>
              <w:top w:val="single" w:color="auto" w:sz="2" w:space="0"/>
              <w:left w:val="single" w:color="auto" w:sz="2" w:space="0"/>
              <w:bottom w:val="single" w:color="auto" w:sz="2" w:space="0"/>
              <w:right w:val="single" w:color="auto" w:sz="2" w:space="0"/>
            </w:tcBorders>
            <w:vAlign w:val="center"/>
          </w:tcPr>
          <w:p w14:paraId="6059B62E">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1,537,500</w:t>
            </w:r>
          </w:p>
        </w:tc>
      </w:tr>
      <w:tr w14:paraId="228C2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tcBorders>
              <w:top w:val="single" w:color="auto" w:sz="2" w:space="0"/>
              <w:left w:val="single" w:color="auto" w:sz="2" w:space="0"/>
              <w:bottom w:val="single" w:color="auto" w:sz="2" w:space="0"/>
              <w:right w:val="single" w:color="auto" w:sz="2" w:space="0"/>
            </w:tcBorders>
            <w:vAlign w:val="center"/>
          </w:tcPr>
          <w:p w14:paraId="0B3BBFCE">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吉洋洋</w:t>
            </w:r>
          </w:p>
        </w:tc>
        <w:tc>
          <w:tcPr>
            <w:tcW w:w="2927" w:type="pct"/>
            <w:gridSpan w:val="5"/>
            <w:tcBorders>
              <w:top w:val="single" w:color="auto" w:sz="2" w:space="0"/>
              <w:left w:val="single" w:color="auto" w:sz="2" w:space="0"/>
              <w:bottom w:val="single" w:color="auto" w:sz="2" w:space="0"/>
              <w:right w:val="single" w:color="auto" w:sz="2" w:space="0"/>
            </w:tcBorders>
            <w:vAlign w:val="center"/>
          </w:tcPr>
          <w:p w14:paraId="0E39EB6D">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1,413,400</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5F0960CE">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732" w:type="pct"/>
            <w:tcBorders>
              <w:top w:val="single" w:color="auto" w:sz="2" w:space="0"/>
              <w:left w:val="single" w:color="auto" w:sz="2" w:space="0"/>
              <w:bottom w:val="single" w:color="auto" w:sz="2" w:space="0"/>
              <w:right w:val="single" w:color="auto" w:sz="2" w:space="0"/>
            </w:tcBorders>
            <w:vAlign w:val="center"/>
          </w:tcPr>
          <w:p w14:paraId="05D39F1F">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1,413,400</w:t>
            </w:r>
          </w:p>
        </w:tc>
      </w:tr>
      <w:tr w14:paraId="0CEFE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tcBorders>
              <w:top w:val="single" w:color="auto" w:sz="2" w:space="0"/>
              <w:left w:val="single" w:color="auto" w:sz="2" w:space="0"/>
              <w:bottom w:val="single" w:color="auto" w:sz="2" w:space="0"/>
              <w:right w:val="single" w:color="auto" w:sz="2" w:space="0"/>
            </w:tcBorders>
            <w:vAlign w:val="center"/>
          </w:tcPr>
          <w:p w14:paraId="7669B84D">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苗文成</w:t>
            </w:r>
          </w:p>
        </w:tc>
        <w:tc>
          <w:tcPr>
            <w:tcW w:w="2927" w:type="pct"/>
            <w:gridSpan w:val="5"/>
            <w:tcBorders>
              <w:top w:val="single" w:color="auto" w:sz="2" w:space="0"/>
              <w:left w:val="single" w:color="auto" w:sz="2" w:space="0"/>
              <w:bottom w:val="single" w:color="auto" w:sz="2" w:space="0"/>
              <w:right w:val="single" w:color="auto" w:sz="2" w:space="0"/>
            </w:tcBorders>
            <w:vAlign w:val="center"/>
          </w:tcPr>
          <w:p w14:paraId="50D0506B">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1,346,600</w:t>
            </w:r>
          </w:p>
        </w:tc>
        <w:tc>
          <w:tcPr>
            <w:tcW w:w="493" w:type="pct"/>
            <w:gridSpan w:val="2"/>
            <w:tcBorders>
              <w:top w:val="single" w:color="auto" w:sz="2" w:space="0"/>
              <w:left w:val="single" w:color="auto" w:sz="2" w:space="0"/>
              <w:bottom w:val="single" w:color="auto" w:sz="2" w:space="0"/>
              <w:right w:val="single" w:color="auto" w:sz="2" w:space="0"/>
            </w:tcBorders>
            <w:vAlign w:val="center"/>
          </w:tcPr>
          <w:p w14:paraId="62A9E8D1">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732" w:type="pct"/>
            <w:tcBorders>
              <w:top w:val="single" w:color="auto" w:sz="2" w:space="0"/>
              <w:left w:val="single" w:color="auto" w:sz="2" w:space="0"/>
              <w:bottom w:val="single" w:color="auto" w:sz="2" w:space="0"/>
              <w:right w:val="single" w:color="auto" w:sz="2" w:space="0"/>
            </w:tcBorders>
            <w:vAlign w:val="center"/>
          </w:tcPr>
          <w:p w14:paraId="2B5592DD">
            <w:pPr>
              <w:snapToGrid w:val="0"/>
              <w:spacing w:after="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1,346,600</w:t>
            </w:r>
          </w:p>
        </w:tc>
      </w:tr>
      <w:tr w14:paraId="5BE8C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9C5CE63">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前10名无限售流通股股东之间，以及前10名无限售流通股股东和前10名股东之间关联关系或一致行动的说明</w:t>
            </w:r>
          </w:p>
        </w:tc>
        <w:tc>
          <w:tcPr>
            <w:tcW w:w="4153" w:type="pct"/>
            <w:gridSpan w:val="8"/>
            <w:tcBorders>
              <w:top w:val="single" w:color="auto" w:sz="2" w:space="0"/>
              <w:left w:val="single" w:color="auto" w:sz="2" w:space="0"/>
              <w:bottom w:val="single" w:color="auto" w:sz="2" w:space="0"/>
              <w:right w:val="single" w:color="auto" w:sz="2" w:space="0"/>
            </w:tcBorders>
            <w:vAlign w:val="center"/>
          </w:tcPr>
          <w:p w14:paraId="648BA293">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张永明、林玲夫妇是公司的实际控制人，其通过北京世纪天富创业投资中心（有限合伙）、北京天佑瑞元医药科技有限公司、西藏金淦企业管理咨询有限公司、广东知光生物科技有限公司间接持有公司股份；除此之外公司未知其他股东间是否存在关联关系，也未知其他股东是否属于上市公司持股变动信息披露管理办法中规定的一致行动人。</w:t>
            </w:r>
          </w:p>
        </w:tc>
      </w:tr>
      <w:tr w14:paraId="3B157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6" w:type="pct"/>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D7A87A2">
            <w:pPr>
              <w:snapToGrid w:val="0"/>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参与融资融券业务股东情况说明（如有）（参见注5）</w:t>
            </w:r>
          </w:p>
        </w:tc>
        <w:tc>
          <w:tcPr>
            <w:tcW w:w="4153" w:type="pct"/>
            <w:gridSpan w:val="8"/>
            <w:tcBorders>
              <w:top w:val="single" w:color="auto" w:sz="2" w:space="0"/>
              <w:left w:val="single" w:color="auto" w:sz="2" w:space="0"/>
              <w:bottom w:val="single" w:color="auto" w:sz="2" w:space="0"/>
              <w:right w:val="single" w:color="auto" w:sz="2" w:space="0"/>
            </w:tcBorders>
            <w:vAlign w:val="center"/>
          </w:tcPr>
          <w:p w14:paraId="30B2167D">
            <w:pPr>
              <w:snapToGrid w:val="0"/>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股东北京世纪天富创业投资中心（有限合伙）除通过普通证券账户持有20,650,000股外，还通过东兴证券股份有限公司客户信用交易担保证券账户持有15,366,266股，合计持有36,016,266股；公司股东吉洋洋除通过普通证券账户持有52,600股外，还通过西部证券股份有限公司客户信用交易担保证券账户持有1,360,800股，合计持有1,657,499股；公司股东王若亭通过广发证券股份有限公司客户信用交易担保证券账户持有1,537,500股。</w:t>
            </w:r>
          </w:p>
        </w:tc>
      </w:tr>
    </w:tbl>
    <w:p w14:paraId="5D9EC64A">
      <w:pPr>
        <w:spacing w:before="100" w:after="100" w:line="240" w:lineRule="exact"/>
        <w:jc w:val="left"/>
        <w:rPr>
          <w:rFonts w:ascii="宋体" w:hAnsi="宋体" w:eastAsia="宋体" w:cs="宋体"/>
          <w:sz w:val="18"/>
          <w:szCs w:val="18"/>
        </w:rPr>
      </w:pPr>
      <w:r>
        <w:rPr>
          <w:rFonts w:ascii="宋体" w:hAnsi="宋体" w:eastAsia="宋体" w:cs="宋体"/>
          <w:sz w:val="18"/>
          <w:szCs w:val="18"/>
        </w:rPr>
        <w:t>持股</w:t>
      </w:r>
      <w:r>
        <w:rPr>
          <w:rFonts w:hint="default" w:ascii="Times New Roman" w:hAnsi="Times New Roman" w:eastAsia="宋体" w:cs="Times New Roman"/>
          <w:sz w:val="18"/>
          <w:szCs w:val="18"/>
        </w:rPr>
        <w:t>5%</w:t>
      </w:r>
      <w:r>
        <w:rPr>
          <w:rFonts w:ascii="宋体" w:hAnsi="宋体" w:eastAsia="宋体" w:cs="宋体"/>
          <w:sz w:val="18"/>
          <w:szCs w:val="18"/>
        </w:rPr>
        <w:t>以上股东、前</w:t>
      </w:r>
      <w:r>
        <w:rPr>
          <w:rFonts w:hint="default" w:ascii="Times New Roman" w:hAnsi="Times New Roman" w:eastAsia="宋体" w:cs="Times New Roman"/>
          <w:sz w:val="18"/>
          <w:szCs w:val="18"/>
        </w:rPr>
        <w:t>10</w:t>
      </w:r>
      <w:r>
        <w:rPr>
          <w:rFonts w:ascii="宋体" w:hAnsi="宋体" w:eastAsia="宋体" w:cs="宋体"/>
          <w:sz w:val="18"/>
          <w:szCs w:val="18"/>
        </w:rPr>
        <w:t>名股东及前</w:t>
      </w:r>
      <w:r>
        <w:rPr>
          <w:rFonts w:hint="default" w:ascii="Times New Roman" w:hAnsi="Times New Roman" w:eastAsia="宋体" w:cs="Times New Roman"/>
          <w:sz w:val="18"/>
          <w:szCs w:val="18"/>
        </w:rPr>
        <w:t>10</w:t>
      </w:r>
      <w:r>
        <w:rPr>
          <w:rFonts w:ascii="宋体" w:hAnsi="宋体" w:eastAsia="宋体" w:cs="宋体"/>
          <w:sz w:val="18"/>
          <w:szCs w:val="18"/>
        </w:rPr>
        <w:t>名无限售流通股股东参与转融通业务出借股份情况</w:t>
      </w:r>
    </w:p>
    <w:p w14:paraId="4AED1F49">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6BD7E4F">
      <w:pPr>
        <w:spacing w:before="100" w:after="100" w:line="240" w:lineRule="exact"/>
        <w:jc w:val="left"/>
        <w:rPr>
          <w:rFonts w:ascii="宋体" w:hAnsi="宋体" w:eastAsia="宋体" w:cs="宋体"/>
          <w:sz w:val="18"/>
          <w:szCs w:val="18"/>
        </w:rPr>
      </w:pPr>
      <w:r>
        <w:rPr>
          <w:rFonts w:ascii="宋体" w:hAnsi="宋体" w:eastAsia="宋体" w:cs="宋体"/>
          <w:sz w:val="18"/>
          <w:szCs w:val="18"/>
        </w:rPr>
        <w:t>前</w:t>
      </w:r>
      <w:r>
        <w:rPr>
          <w:rFonts w:hint="default" w:ascii="Times New Roman" w:hAnsi="Times New Roman" w:eastAsia="宋体" w:cs="Times New Roman"/>
          <w:sz w:val="18"/>
          <w:szCs w:val="18"/>
        </w:rPr>
        <w:t>10</w:t>
      </w:r>
      <w:r>
        <w:rPr>
          <w:rFonts w:ascii="宋体" w:hAnsi="宋体" w:eastAsia="宋体" w:cs="宋体"/>
          <w:sz w:val="18"/>
          <w:szCs w:val="18"/>
        </w:rPr>
        <w:t>名股东及前</w:t>
      </w:r>
      <w:r>
        <w:rPr>
          <w:rFonts w:hint="default" w:ascii="Times New Roman" w:hAnsi="Times New Roman" w:eastAsia="宋体" w:cs="Times New Roman"/>
          <w:sz w:val="18"/>
          <w:szCs w:val="18"/>
        </w:rPr>
        <w:t>10</w:t>
      </w:r>
      <w:r>
        <w:rPr>
          <w:rFonts w:ascii="宋体" w:hAnsi="宋体" w:eastAsia="宋体" w:cs="宋体"/>
          <w:sz w:val="18"/>
          <w:szCs w:val="18"/>
        </w:rPr>
        <w:t>名无限售流通股股东因转融通出借/归还原因导致较上期发生变化</w:t>
      </w:r>
    </w:p>
    <w:p w14:paraId="06886A0B">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EE307EA">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公司是否具有表决权差异安排</w:t>
      </w:r>
    </w:p>
    <w:p w14:paraId="6B5A7E98">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AF5389B">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w:t>
      </w:r>
      <w:r>
        <w:rPr>
          <w:rFonts w:hint="default" w:ascii="Times New Roman" w:hAnsi="Times New Roman" w:eastAsia="宋体" w:cs="Times New Roman"/>
          <w:sz w:val="18"/>
          <w:szCs w:val="18"/>
        </w:rPr>
        <w:t>10</w:t>
      </w:r>
      <w:r>
        <w:rPr>
          <w:rFonts w:ascii="宋体" w:hAnsi="宋体" w:eastAsia="宋体" w:cs="宋体"/>
          <w:sz w:val="18"/>
          <w:szCs w:val="18"/>
        </w:rPr>
        <w:t>名普通股股东、前</w:t>
      </w:r>
      <w:r>
        <w:rPr>
          <w:rFonts w:hint="default" w:ascii="Times New Roman" w:hAnsi="Times New Roman" w:eastAsia="宋体" w:cs="Times New Roman"/>
          <w:sz w:val="18"/>
          <w:szCs w:val="18"/>
        </w:rPr>
        <w:t>10</w:t>
      </w:r>
      <w:r>
        <w:rPr>
          <w:rFonts w:ascii="宋体" w:hAnsi="宋体" w:eastAsia="宋体" w:cs="宋体"/>
          <w:sz w:val="18"/>
          <w:szCs w:val="18"/>
        </w:rPr>
        <w:t>名无限售条件普通股股东在报告期内是否进行约定购回交易</w:t>
      </w:r>
    </w:p>
    <w:p w14:paraId="3705EE5E">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28F30C3B">
      <w:pPr>
        <w:spacing w:before="40" w:after="40" w:line="240" w:lineRule="exact"/>
        <w:jc w:val="left"/>
        <w:rPr>
          <w:rFonts w:ascii="宋体" w:hAnsi="宋体" w:eastAsia="宋体" w:cs="宋体"/>
          <w:sz w:val="18"/>
          <w:szCs w:val="18"/>
        </w:rPr>
      </w:pPr>
      <w:r>
        <w:rPr>
          <w:rFonts w:ascii="宋体" w:hAnsi="宋体" w:eastAsia="宋体" w:cs="宋体"/>
          <w:sz w:val="18"/>
          <w:szCs w:val="18"/>
        </w:rPr>
        <w:t>公司前</w:t>
      </w:r>
      <w:r>
        <w:rPr>
          <w:rFonts w:hint="default" w:ascii="Times New Roman" w:hAnsi="Times New Roman" w:eastAsia="宋体" w:cs="Times New Roman"/>
          <w:sz w:val="18"/>
          <w:szCs w:val="18"/>
        </w:rPr>
        <w:t>10</w:t>
      </w:r>
      <w:r>
        <w:rPr>
          <w:rFonts w:ascii="宋体" w:hAnsi="宋体" w:eastAsia="宋体" w:cs="宋体"/>
          <w:sz w:val="18"/>
          <w:szCs w:val="18"/>
        </w:rPr>
        <w:t>名普通股股东、前</w:t>
      </w:r>
      <w:r>
        <w:rPr>
          <w:rFonts w:hint="default" w:ascii="Times New Roman" w:hAnsi="Times New Roman" w:eastAsia="宋体" w:cs="Times New Roman"/>
          <w:sz w:val="18"/>
          <w:szCs w:val="18"/>
        </w:rPr>
        <w:t>10</w:t>
      </w:r>
      <w:r>
        <w:rPr>
          <w:rFonts w:ascii="宋体" w:hAnsi="宋体" w:eastAsia="宋体" w:cs="宋体"/>
          <w:sz w:val="18"/>
          <w:szCs w:val="18"/>
        </w:rPr>
        <w:t>名无限售条件普通股股东在报告期内未进行约定购回交易。</w:t>
      </w:r>
    </w:p>
    <w:p w14:paraId="3BEE834F">
      <w:pPr>
        <w:pStyle w:val="3"/>
        <w:keepNext/>
        <w:keepLines/>
        <w:spacing w:before="300" w:after="300" w:line="280" w:lineRule="exact"/>
        <w:jc w:val="left"/>
        <w:outlineLvl w:val="2"/>
        <w:rPr>
          <w:rFonts w:ascii="宋体" w:hAnsi="宋体" w:eastAsia="宋体" w:cs="宋体"/>
          <w:b/>
          <w:bCs/>
          <w:sz w:val="21"/>
          <w:szCs w:val="21"/>
        </w:rPr>
      </w:pPr>
      <w:bookmarkStart w:id="202" w:name="_Toc989022"/>
      <w:r>
        <w:rPr>
          <w:rFonts w:hint="default" w:ascii="Times New Roman" w:hAnsi="Times New Roman" w:eastAsia="宋体" w:cs="Times New Roman"/>
          <w:b/>
          <w:bCs/>
          <w:sz w:val="21"/>
          <w:szCs w:val="21"/>
        </w:rPr>
        <w:t>2</w:t>
      </w:r>
      <w:r>
        <w:rPr>
          <w:rFonts w:ascii="宋体" w:hAnsi="宋体" w:eastAsia="宋体" w:cs="宋体"/>
          <w:b/>
          <w:bCs/>
          <w:sz w:val="21"/>
          <w:szCs w:val="21"/>
        </w:rPr>
        <w:t>、公司控股股东情况</w:t>
      </w:r>
      <w:bookmarkEnd w:id="202"/>
    </w:p>
    <w:p w14:paraId="5F6C04D3">
      <w:pPr>
        <w:spacing w:before="40" w:after="40" w:line="240" w:lineRule="exact"/>
        <w:jc w:val="left"/>
        <w:rPr>
          <w:rFonts w:ascii="宋体" w:hAnsi="宋体" w:eastAsia="宋体" w:cs="宋体"/>
          <w:sz w:val="18"/>
          <w:szCs w:val="18"/>
        </w:rPr>
      </w:pPr>
      <w:r>
        <w:rPr>
          <w:rFonts w:ascii="宋体" w:hAnsi="宋体" w:eastAsia="宋体" w:cs="宋体"/>
          <w:sz w:val="18"/>
          <w:szCs w:val="18"/>
        </w:rPr>
        <w:t>控股股东性质：自然人控股</w:t>
      </w:r>
    </w:p>
    <w:p w14:paraId="2FBBB732">
      <w:pPr>
        <w:spacing w:before="40" w:after="40" w:line="240" w:lineRule="exact"/>
        <w:jc w:val="left"/>
        <w:rPr>
          <w:rFonts w:ascii="宋体" w:hAnsi="宋体" w:eastAsia="宋体" w:cs="宋体"/>
          <w:sz w:val="18"/>
          <w:szCs w:val="18"/>
        </w:rPr>
      </w:pPr>
      <w:r>
        <w:rPr>
          <w:rFonts w:ascii="宋体" w:hAnsi="宋体" w:eastAsia="宋体" w:cs="宋体"/>
          <w:sz w:val="18"/>
          <w:szCs w:val="18"/>
        </w:rPr>
        <w:t>控股股东类型：法人</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013D9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64E3067">
            <w:pPr>
              <w:spacing w:before="40" w:after="40" w:line="240" w:lineRule="exact"/>
              <w:jc w:val="center"/>
              <w:rPr>
                <w:rFonts w:ascii="宋体" w:hAnsi="宋体" w:eastAsia="宋体" w:cs="宋体"/>
                <w:sz w:val="18"/>
                <w:szCs w:val="18"/>
              </w:rPr>
            </w:pPr>
            <w:r>
              <w:rPr>
                <w:rFonts w:ascii="宋体" w:hAnsi="宋体" w:eastAsia="宋体" w:cs="宋体"/>
                <w:sz w:val="18"/>
                <w:szCs w:val="18"/>
              </w:rPr>
              <w:t>控股股东名称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3752777">
            <w:pPr>
              <w:spacing w:before="40" w:after="40" w:line="240" w:lineRule="exact"/>
              <w:jc w:val="center"/>
              <w:rPr>
                <w:rFonts w:ascii="宋体" w:hAnsi="宋体" w:eastAsia="宋体" w:cs="宋体"/>
                <w:sz w:val="18"/>
                <w:szCs w:val="18"/>
              </w:rPr>
            </w:pPr>
            <w:r>
              <w:rPr>
                <w:rFonts w:ascii="宋体" w:hAnsi="宋体" w:eastAsia="宋体" w:cs="宋体"/>
                <w:sz w:val="18"/>
                <w:szCs w:val="18"/>
              </w:rPr>
              <w:t>法定代表人/单位负责人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57FD2E8">
            <w:pPr>
              <w:spacing w:before="40" w:after="40" w:line="240" w:lineRule="exact"/>
              <w:jc w:val="center"/>
              <w:rPr>
                <w:rFonts w:ascii="宋体" w:hAnsi="宋体" w:eastAsia="宋体" w:cs="宋体"/>
                <w:sz w:val="18"/>
                <w:szCs w:val="18"/>
              </w:rPr>
            </w:pPr>
            <w:r>
              <w:rPr>
                <w:rFonts w:ascii="宋体" w:hAnsi="宋体" w:eastAsia="宋体" w:cs="宋体"/>
                <w:sz w:val="18"/>
                <w:szCs w:val="18"/>
              </w:rPr>
              <w:t>成立日期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DA88FDF">
            <w:pPr>
              <w:spacing w:before="40" w:after="40" w:line="240" w:lineRule="exact"/>
              <w:jc w:val="center"/>
              <w:rPr>
                <w:rFonts w:ascii="宋体" w:hAnsi="宋体" w:eastAsia="宋体" w:cs="宋体"/>
                <w:sz w:val="18"/>
                <w:szCs w:val="18"/>
              </w:rPr>
            </w:pPr>
            <w:r>
              <w:rPr>
                <w:rFonts w:ascii="宋体" w:hAnsi="宋体" w:eastAsia="宋体" w:cs="宋体"/>
                <w:sz w:val="18"/>
                <w:szCs w:val="18"/>
              </w:rPr>
              <w:t>组织机构代码</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7CE7266">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主要经营业务</w:t>
            </w:r>
          </w:p>
        </w:tc>
      </w:tr>
      <w:tr w14:paraId="19B8B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833DB2C">
            <w:pPr>
              <w:spacing w:before="0" w:after="0" w:line="240" w:lineRule="exact"/>
              <w:jc w:val="left"/>
              <w:rPr>
                <w:rFonts w:ascii="宋体" w:hAnsi="宋体" w:eastAsia="宋体" w:cs="宋体"/>
                <w:sz w:val="18"/>
                <w:szCs w:val="18"/>
              </w:rPr>
            </w:pPr>
            <w:r>
              <w:rPr>
                <w:rFonts w:ascii="宋体" w:hAnsi="宋体" w:eastAsia="宋体" w:cs="宋体"/>
                <w:sz w:val="18"/>
                <w:szCs w:val="18"/>
              </w:rPr>
              <w:t>北京世纪天富创业投资中心（有限合伙）</w:t>
            </w:r>
          </w:p>
        </w:tc>
        <w:tc>
          <w:tcPr>
            <w:tcW w:w="1928" w:type="dxa"/>
            <w:tcBorders>
              <w:top w:val="single" w:color="auto" w:sz="2" w:space="0"/>
              <w:left w:val="single" w:color="auto" w:sz="2" w:space="0"/>
              <w:bottom w:val="single" w:color="auto" w:sz="2" w:space="0"/>
              <w:right w:val="single" w:color="auto" w:sz="2" w:space="0"/>
            </w:tcBorders>
            <w:vAlign w:val="center"/>
          </w:tcPr>
          <w:p w14:paraId="49CDB41E">
            <w:pPr>
              <w:spacing w:before="0" w:after="0" w:line="240" w:lineRule="exact"/>
              <w:jc w:val="left"/>
              <w:rPr>
                <w:rFonts w:ascii="宋体" w:hAnsi="宋体" w:eastAsia="宋体" w:cs="宋体"/>
                <w:sz w:val="18"/>
                <w:szCs w:val="18"/>
              </w:rPr>
            </w:pPr>
            <w:r>
              <w:rPr>
                <w:rFonts w:ascii="宋体" w:hAnsi="宋体" w:eastAsia="宋体" w:cs="宋体"/>
                <w:sz w:val="18"/>
                <w:szCs w:val="18"/>
              </w:rPr>
              <w:t>张永伟</w:t>
            </w:r>
          </w:p>
        </w:tc>
        <w:tc>
          <w:tcPr>
            <w:tcW w:w="1928" w:type="dxa"/>
            <w:tcBorders>
              <w:top w:val="single" w:color="auto" w:sz="2" w:space="0"/>
              <w:left w:val="single" w:color="auto" w:sz="2" w:space="0"/>
              <w:bottom w:val="single" w:color="auto" w:sz="2" w:space="0"/>
              <w:right w:val="single" w:color="auto" w:sz="2" w:space="0"/>
            </w:tcBorders>
            <w:vAlign w:val="center"/>
          </w:tcPr>
          <w:p w14:paraId="59D08DA1">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2010</w:t>
            </w:r>
            <w:r>
              <w:rPr>
                <w:rFonts w:ascii="宋体" w:hAnsi="宋体" w:eastAsia="宋体" w:cs="宋体"/>
                <w:sz w:val="18"/>
                <w:szCs w:val="18"/>
              </w:rPr>
              <w:t>年</w:t>
            </w:r>
            <w:r>
              <w:rPr>
                <w:rFonts w:hint="default" w:ascii="Times New Roman" w:hAnsi="Times New Roman" w:eastAsia="宋体" w:cs="Times New Roman"/>
                <w:sz w:val="18"/>
                <w:szCs w:val="18"/>
              </w:rPr>
              <w:t>05</w:t>
            </w:r>
            <w:r>
              <w:rPr>
                <w:rFonts w:ascii="宋体" w:hAnsi="宋体" w:eastAsia="宋体" w:cs="宋体"/>
                <w:sz w:val="18"/>
                <w:szCs w:val="18"/>
              </w:rPr>
              <w:t>月</w:t>
            </w:r>
            <w:r>
              <w:rPr>
                <w:rFonts w:hint="default" w:ascii="Times New Roman" w:hAnsi="Times New Roman" w:eastAsia="宋体" w:cs="Times New Roman"/>
                <w:sz w:val="18"/>
                <w:szCs w:val="18"/>
              </w:rPr>
              <w:t>19</w:t>
            </w:r>
            <w:r>
              <w:rPr>
                <w:rFonts w:ascii="宋体" w:hAnsi="宋体" w:eastAsia="宋体" w:cs="宋体"/>
                <w:sz w:val="18"/>
                <w:szCs w:val="18"/>
              </w:rPr>
              <w:t>日</w:t>
            </w:r>
          </w:p>
        </w:tc>
        <w:tc>
          <w:tcPr>
            <w:tcW w:w="1928" w:type="dxa"/>
            <w:tcBorders>
              <w:top w:val="single" w:color="auto" w:sz="2" w:space="0"/>
              <w:left w:val="single" w:color="auto" w:sz="2" w:space="0"/>
              <w:bottom w:val="single" w:color="auto" w:sz="2" w:space="0"/>
              <w:right w:val="single" w:color="auto" w:sz="2" w:space="0"/>
            </w:tcBorders>
            <w:vAlign w:val="center"/>
          </w:tcPr>
          <w:p w14:paraId="155908B4">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911101025568797867</w:t>
            </w:r>
          </w:p>
        </w:tc>
        <w:tc>
          <w:tcPr>
            <w:tcW w:w="1928" w:type="dxa"/>
            <w:tcBorders>
              <w:top w:val="single" w:color="auto" w:sz="2" w:space="0"/>
              <w:left w:val="single" w:color="auto" w:sz="2" w:space="0"/>
              <w:bottom w:val="single" w:color="auto" w:sz="2" w:space="0"/>
              <w:right w:val="single" w:color="auto" w:sz="2" w:space="0"/>
            </w:tcBorders>
            <w:vAlign w:val="center"/>
          </w:tcPr>
          <w:p w14:paraId="5EF23744">
            <w:pPr>
              <w:spacing w:before="0" w:after="0" w:line="240" w:lineRule="exact"/>
              <w:jc w:val="left"/>
              <w:rPr>
                <w:rFonts w:ascii="宋体" w:hAnsi="宋体" w:eastAsia="宋体" w:cs="宋体"/>
                <w:sz w:val="18"/>
                <w:szCs w:val="18"/>
              </w:rPr>
            </w:pPr>
            <w:r>
              <w:rPr>
                <w:rFonts w:ascii="宋体" w:hAnsi="宋体" w:eastAsia="宋体" w:cs="宋体"/>
                <w:sz w:val="18"/>
                <w:szCs w:val="18"/>
              </w:rPr>
              <w:t>项目投资；投资管理。</w:t>
            </w:r>
          </w:p>
        </w:tc>
      </w:tr>
      <w:tr w14:paraId="1D955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21711F8">
            <w:pPr>
              <w:spacing w:before="40" w:after="40" w:line="240" w:lineRule="exact"/>
              <w:jc w:val="left"/>
              <w:rPr>
                <w:rFonts w:ascii="宋体" w:hAnsi="宋体" w:eastAsia="宋体" w:cs="宋体"/>
                <w:sz w:val="18"/>
                <w:szCs w:val="18"/>
              </w:rPr>
            </w:pPr>
            <w:r>
              <w:rPr>
                <w:rFonts w:ascii="宋体" w:hAnsi="宋体" w:eastAsia="宋体" w:cs="宋体"/>
                <w:sz w:val="18"/>
                <w:szCs w:val="18"/>
              </w:rPr>
              <w:t>控股股东报告期内控股和参股的其他境内外上市公司的股权情况</w:t>
            </w:r>
          </w:p>
        </w:tc>
        <w:tc>
          <w:tcPr>
            <w:tcW w:w="7711" w:type="dxa"/>
            <w:gridSpan w:val="4"/>
            <w:tcBorders>
              <w:top w:val="single" w:color="auto" w:sz="2" w:space="0"/>
              <w:left w:val="single" w:color="auto" w:sz="2" w:space="0"/>
              <w:bottom w:val="single" w:color="auto" w:sz="2" w:space="0"/>
              <w:right w:val="single" w:color="auto" w:sz="2" w:space="0"/>
            </w:tcBorders>
            <w:vAlign w:val="center"/>
          </w:tcPr>
          <w:p w14:paraId="60FDDC2B">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bl>
    <w:p w14:paraId="75B457B6">
      <w:pPr>
        <w:spacing w:before="100" w:after="100" w:line="240" w:lineRule="exact"/>
        <w:jc w:val="left"/>
        <w:rPr>
          <w:rFonts w:ascii="宋体" w:hAnsi="宋体" w:eastAsia="宋体" w:cs="宋体"/>
          <w:sz w:val="18"/>
          <w:szCs w:val="18"/>
        </w:rPr>
      </w:pPr>
      <w:r>
        <w:rPr>
          <w:rFonts w:ascii="宋体" w:hAnsi="宋体" w:eastAsia="宋体" w:cs="宋体"/>
          <w:sz w:val="18"/>
          <w:szCs w:val="18"/>
        </w:rPr>
        <w:t>控股股东报告期内变更</w:t>
      </w:r>
    </w:p>
    <w:p w14:paraId="232A5E42">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039A991">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公司报告期控股股东未发生变更。</w:t>
      </w:r>
    </w:p>
    <w:p w14:paraId="269B88FA">
      <w:pPr>
        <w:pStyle w:val="3"/>
        <w:keepNext/>
        <w:keepLines/>
        <w:spacing w:before="300" w:after="300" w:line="280" w:lineRule="exact"/>
        <w:jc w:val="left"/>
        <w:outlineLvl w:val="2"/>
        <w:rPr>
          <w:rFonts w:ascii="宋体" w:hAnsi="宋体" w:eastAsia="宋体" w:cs="宋体"/>
          <w:b/>
          <w:bCs/>
          <w:sz w:val="21"/>
          <w:szCs w:val="21"/>
        </w:rPr>
      </w:pPr>
      <w:bookmarkStart w:id="203" w:name="_Toc989023"/>
      <w:r>
        <w:rPr>
          <w:rFonts w:hint="default" w:ascii="Times New Roman" w:hAnsi="Times New Roman" w:eastAsia="宋体" w:cs="Times New Roman"/>
          <w:b/>
          <w:bCs/>
          <w:sz w:val="21"/>
          <w:szCs w:val="21"/>
        </w:rPr>
        <w:t>3</w:t>
      </w:r>
      <w:r>
        <w:rPr>
          <w:rFonts w:ascii="宋体" w:hAnsi="宋体" w:eastAsia="宋体" w:cs="宋体"/>
          <w:b/>
          <w:bCs/>
          <w:sz w:val="21"/>
          <w:szCs w:val="21"/>
        </w:rPr>
        <w:t>、公司实际控制人及其一致行动人</w:t>
      </w:r>
      <w:bookmarkEnd w:id="203"/>
    </w:p>
    <w:p w14:paraId="393708E0">
      <w:pPr>
        <w:spacing w:before="40" w:after="40" w:line="240" w:lineRule="exact"/>
        <w:jc w:val="left"/>
        <w:rPr>
          <w:rFonts w:ascii="宋体" w:hAnsi="宋体" w:eastAsia="宋体" w:cs="宋体"/>
          <w:sz w:val="18"/>
          <w:szCs w:val="18"/>
        </w:rPr>
      </w:pPr>
      <w:r>
        <w:rPr>
          <w:rFonts w:ascii="宋体" w:hAnsi="宋体" w:eastAsia="宋体" w:cs="宋体"/>
          <w:sz w:val="18"/>
          <w:szCs w:val="18"/>
        </w:rPr>
        <w:t>实际控制人性质：境内自然人</w:t>
      </w:r>
    </w:p>
    <w:p w14:paraId="25418E54">
      <w:pPr>
        <w:spacing w:before="40" w:after="40" w:line="240" w:lineRule="exact"/>
        <w:jc w:val="left"/>
        <w:rPr>
          <w:rFonts w:ascii="宋体" w:hAnsi="宋体" w:eastAsia="宋体" w:cs="宋体"/>
          <w:sz w:val="18"/>
          <w:szCs w:val="18"/>
        </w:rPr>
      </w:pPr>
      <w:r>
        <w:rPr>
          <w:rFonts w:ascii="宋体" w:hAnsi="宋体" w:eastAsia="宋体" w:cs="宋体"/>
          <w:sz w:val="18"/>
          <w:szCs w:val="18"/>
        </w:rPr>
        <w:t>实际控制人类型：自然人</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2B8C6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6175280">
            <w:pPr>
              <w:spacing w:before="40" w:after="40" w:line="240" w:lineRule="exact"/>
              <w:jc w:val="center"/>
              <w:rPr>
                <w:rFonts w:ascii="宋体" w:hAnsi="宋体" w:eastAsia="宋体" w:cs="宋体"/>
                <w:sz w:val="18"/>
                <w:szCs w:val="18"/>
              </w:rPr>
            </w:pPr>
            <w:r>
              <w:rPr>
                <w:rFonts w:ascii="宋体" w:hAnsi="宋体" w:eastAsia="宋体" w:cs="宋体"/>
                <w:sz w:val="18"/>
                <w:szCs w:val="18"/>
              </w:rPr>
              <w:t>实际控制人姓名</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FEC17B0">
            <w:pPr>
              <w:spacing w:before="40" w:after="40" w:line="240" w:lineRule="exact"/>
              <w:jc w:val="center"/>
              <w:rPr>
                <w:rFonts w:ascii="宋体" w:hAnsi="宋体" w:eastAsia="宋体" w:cs="宋体"/>
                <w:sz w:val="18"/>
                <w:szCs w:val="18"/>
              </w:rPr>
            </w:pPr>
            <w:r>
              <w:rPr>
                <w:rFonts w:ascii="宋体" w:hAnsi="宋体" w:eastAsia="宋体" w:cs="宋体"/>
                <w:sz w:val="18"/>
                <w:szCs w:val="18"/>
              </w:rPr>
              <w:t>与实际控制人关系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C1A1998">
            <w:pPr>
              <w:spacing w:before="40" w:after="40" w:line="240" w:lineRule="exact"/>
              <w:jc w:val="center"/>
              <w:rPr>
                <w:rFonts w:ascii="宋体" w:hAnsi="宋体" w:eastAsia="宋体" w:cs="宋体"/>
                <w:sz w:val="18"/>
                <w:szCs w:val="18"/>
              </w:rPr>
            </w:pPr>
            <w:r>
              <w:rPr>
                <w:rFonts w:ascii="宋体" w:hAnsi="宋体" w:eastAsia="宋体" w:cs="宋体"/>
                <w:sz w:val="18"/>
                <w:szCs w:val="18"/>
              </w:rPr>
              <w:t>国籍</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60C2AEB">
            <w:pPr>
              <w:spacing w:before="40" w:after="40" w:line="240" w:lineRule="exact"/>
              <w:jc w:val="center"/>
              <w:rPr>
                <w:rFonts w:ascii="宋体" w:hAnsi="宋体" w:eastAsia="宋体" w:cs="宋体"/>
                <w:sz w:val="18"/>
                <w:szCs w:val="18"/>
              </w:rPr>
            </w:pPr>
            <w:r>
              <w:rPr>
                <w:rFonts w:ascii="宋体" w:hAnsi="宋体" w:eastAsia="宋体" w:cs="宋体"/>
                <w:sz w:val="18"/>
                <w:szCs w:val="18"/>
              </w:rPr>
              <w:t>是否取得其他国家或地区居留权</w:t>
            </w:r>
          </w:p>
        </w:tc>
      </w:tr>
      <w:tr w14:paraId="14708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5" w:hRule="atLeast"/>
        </w:trPr>
        <w:tc>
          <w:tcPr>
            <w:tcW w:w="2410" w:type="dxa"/>
            <w:tcBorders>
              <w:top w:val="single" w:color="auto" w:sz="2" w:space="0"/>
              <w:left w:val="single" w:color="auto" w:sz="2" w:space="0"/>
              <w:bottom w:val="single" w:color="auto" w:sz="2" w:space="0"/>
              <w:right w:val="single" w:color="auto" w:sz="2" w:space="0"/>
            </w:tcBorders>
            <w:vAlign w:val="center"/>
          </w:tcPr>
          <w:p w14:paraId="0064E24C">
            <w:pPr>
              <w:spacing w:before="0" w:after="0" w:line="240" w:lineRule="exact"/>
              <w:jc w:val="center"/>
              <w:rPr>
                <w:rFonts w:ascii="宋体" w:hAnsi="宋体" w:eastAsia="宋体" w:cs="宋体"/>
                <w:sz w:val="18"/>
                <w:szCs w:val="18"/>
              </w:rPr>
            </w:pPr>
            <w:r>
              <w:rPr>
                <w:rFonts w:ascii="宋体" w:hAnsi="宋体" w:eastAsia="宋体" w:cs="宋体"/>
                <w:sz w:val="18"/>
                <w:szCs w:val="18"/>
              </w:rPr>
              <w:t>张永明</w:t>
            </w:r>
          </w:p>
        </w:tc>
        <w:tc>
          <w:tcPr>
            <w:tcW w:w="2410" w:type="dxa"/>
            <w:tcBorders>
              <w:top w:val="single" w:color="auto" w:sz="2" w:space="0"/>
              <w:left w:val="single" w:color="auto" w:sz="2" w:space="0"/>
              <w:bottom w:val="single" w:color="auto" w:sz="2" w:space="0"/>
              <w:right w:val="single" w:color="auto" w:sz="2" w:space="0"/>
            </w:tcBorders>
            <w:vAlign w:val="center"/>
          </w:tcPr>
          <w:p w14:paraId="18EE1382">
            <w:pPr>
              <w:spacing w:before="0" w:after="0" w:line="240" w:lineRule="exact"/>
              <w:jc w:val="left"/>
              <w:rPr>
                <w:rFonts w:ascii="宋体" w:hAnsi="宋体" w:eastAsia="宋体" w:cs="宋体"/>
                <w:sz w:val="18"/>
                <w:szCs w:val="18"/>
              </w:rPr>
            </w:pPr>
            <w:r>
              <w:rPr>
                <w:rFonts w:ascii="宋体" w:hAnsi="宋体" w:eastAsia="宋体" w:cs="宋体"/>
                <w:sz w:val="18"/>
                <w:szCs w:val="18"/>
              </w:rPr>
              <w:t>本人</w:t>
            </w:r>
          </w:p>
        </w:tc>
        <w:tc>
          <w:tcPr>
            <w:tcW w:w="2410" w:type="dxa"/>
            <w:tcBorders>
              <w:top w:val="single" w:color="auto" w:sz="2" w:space="0"/>
              <w:left w:val="single" w:color="auto" w:sz="2" w:space="0"/>
              <w:bottom w:val="single" w:color="auto" w:sz="2" w:space="0"/>
              <w:right w:val="single" w:color="auto" w:sz="2" w:space="0"/>
            </w:tcBorders>
            <w:vAlign w:val="center"/>
          </w:tcPr>
          <w:p w14:paraId="2A633E31">
            <w:pPr>
              <w:spacing w:before="0" w:after="0" w:line="240" w:lineRule="exact"/>
              <w:jc w:val="center"/>
              <w:rPr>
                <w:rFonts w:ascii="宋体" w:hAnsi="宋体" w:eastAsia="宋体" w:cs="宋体"/>
                <w:sz w:val="18"/>
                <w:szCs w:val="18"/>
              </w:rPr>
            </w:pPr>
            <w:r>
              <w:rPr>
                <w:rFonts w:ascii="宋体" w:hAnsi="宋体" w:eastAsia="宋体" w:cs="宋体"/>
                <w:sz w:val="18"/>
                <w:szCs w:val="18"/>
              </w:rPr>
              <w:t>中国</w:t>
            </w:r>
          </w:p>
        </w:tc>
        <w:tc>
          <w:tcPr>
            <w:tcW w:w="2410" w:type="dxa"/>
            <w:tcBorders>
              <w:top w:val="single" w:color="auto" w:sz="2" w:space="0"/>
              <w:left w:val="single" w:color="auto" w:sz="2" w:space="0"/>
              <w:bottom w:val="single" w:color="auto" w:sz="2" w:space="0"/>
              <w:right w:val="single" w:color="auto" w:sz="2" w:space="0"/>
            </w:tcBorders>
            <w:vAlign w:val="center"/>
          </w:tcPr>
          <w:p w14:paraId="3FB6F531">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14:paraId="1EA6F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0B54B94">
            <w:pPr>
              <w:spacing w:before="0" w:after="0" w:line="240" w:lineRule="exact"/>
              <w:jc w:val="center"/>
              <w:rPr>
                <w:rFonts w:ascii="宋体" w:hAnsi="宋体" w:eastAsia="宋体" w:cs="宋体"/>
                <w:sz w:val="18"/>
                <w:szCs w:val="18"/>
              </w:rPr>
            </w:pPr>
            <w:r>
              <w:rPr>
                <w:rFonts w:ascii="宋体" w:hAnsi="宋体" w:eastAsia="宋体" w:cs="宋体"/>
                <w:sz w:val="18"/>
                <w:szCs w:val="18"/>
              </w:rPr>
              <w:t>林玲</w:t>
            </w:r>
          </w:p>
        </w:tc>
        <w:tc>
          <w:tcPr>
            <w:tcW w:w="2410" w:type="dxa"/>
            <w:tcBorders>
              <w:top w:val="single" w:color="auto" w:sz="2" w:space="0"/>
              <w:left w:val="single" w:color="auto" w:sz="2" w:space="0"/>
              <w:bottom w:val="single" w:color="auto" w:sz="2" w:space="0"/>
              <w:right w:val="single" w:color="auto" w:sz="2" w:space="0"/>
            </w:tcBorders>
            <w:vAlign w:val="center"/>
          </w:tcPr>
          <w:p w14:paraId="33812D0E">
            <w:pPr>
              <w:spacing w:before="0" w:after="0" w:line="240" w:lineRule="exact"/>
              <w:jc w:val="left"/>
              <w:rPr>
                <w:rFonts w:ascii="宋体" w:hAnsi="宋体" w:eastAsia="宋体" w:cs="宋体"/>
                <w:sz w:val="18"/>
                <w:szCs w:val="18"/>
              </w:rPr>
            </w:pPr>
            <w:r>
              <w:rPr>
                <w:rFonts w:ascii="宋体" w:hAnsi="宋体" w:eastAsia="宋体" w:cs="宋体"/>
                <w:sz w:val="18"/>
                <w:szCs w:val="18"/>
              </w:rPr>
              <w:t>一致行动（含协议、亲属、同一控制）</w:t>
            </w:r>
          </w:p>
        </w:tc>
        <w:tc>
          <w:tcPr>
            <w:tcW w:w="2410" w:type="dxa"/>
            <w:tcBorders>
              <w:top w:val="single" w:color="auto" w:sz="2" w:space="0"/>
              <w:left w:val="single" w:color="auto" w:sz="2" w:space="0"/>
              <w:bottom w:val="single" w:color="auto" w:sz="2" w:space="0"/>
              <w:right w:val="single" w:color="auto" w:sz="2" w:space="0"/>
            </w:tcBorders>
            <w:vAlign w:val="center"/>
          </w:tcPr>
          <w:p w14:paraId="1EE0298E">
            <w:pPr>
              <w:spacing w:before="0" w:after="0" w:line="240" w:lineRule="exact"/>
              <w:jc w:val="center"/>
              <w:rPr>
                <w:rFonts w:ascii="宋体" w:hAnsi="宋体" w:eastAsia="宋体" w:cs="宋体"/>
                <w:sz w:val="18"/>
                <w:szCs w:val="18"/>
              </w:rPr>
            </w:pPr>
            <w:r>
              <w:rPr>
                <w:rFonts w:ascii="宋体" w:hAnsi="宋体" w:eastAsia="宋体" w:cs="宋体"/>
                <w:sz w:val="18"/>
                <w:szCs w:val="18"/>
              </w:rPr>
              <w:t>中国</w:t>
            </w:r>
          </w:p>
        </w:tc>
        <w:tc>
          <w:tcPr>
            <w:tcW w:w="2410" w:type="dxa"/>
            <w:tcBorders>
              <w:top w:val="single" w:color="auto" w:sz="2" w:space="0"/>
              <w:left w:val="single" w:color="auto" w:sz="2" w:space="0"/>
              <w:bottom w:val="single" w:color="auto" w:sz="2" w:space="0"/>
              <w:right w:val="single" w:color="auto" w:sz="2" w:space="0"/>
            </w:tcBorders>
            <w:vAlign w:val="center"/>
          </w:tcPr>
          <w:p w14:paraId="3D318FB4">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14:paraId="5AA22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23496C7">
            <w:pPr>
              <w:spacing w:before="40" w:after="40" w:line="240" w:lineRule="exact"/>
              <w:jc w:val="left"/>
              <w:rPr>
                <w:rFonts w:ascii="宋体" w:hAnsi="宋体" w:eastAsia="宋体" w:cs="宋体"/>
                <w:sz w:val="18"/>
                <w:szCs w:val="18"/>
              </w:rPr>
            </w:pPr>
            <w:r>
              <w:rPr>
                <w:rFonts w:ascii="宋体" w:hAnsi="宋体" w:eastAsia="宋体" w:cs="宋体"/>
                <w:sz w:val="18"/>
                <w:szCs w:val="18"/>
              </w:rPr>
              <w:t>主要职业及职务</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5F81B51F">
            <w:pPr>
              <w:spacing w:before="0" w:after="0" w:line="240" w:lineRule="exact"/>
              <w:jc w:val="left"/>
              <w:rPr>
                <w:rFonts w:ascii="宋体" w:hAnsi="宋体" w:eastAsia="宋体" w:cs="宋体"/>
                <w:sz w:val="18"/>
                <w:szCs w:val="18"/>
              </w:rPr>
            </w:pPr>
            <w:r>
              <w:rPr>
                <w:rFonts w:ascii="宋体" w:hAnsi="宋体" w:eastAsia="宋体" w:cs="宋体"/>
                <w:sz w:val="18"/>
                <w:szCs w:val="18"/>
              </w:rPr>
              <w:t>张永明先生：冠昊生物科技股份有限公司法定代表人、董事长；控股股东一致行动人西藏金淦企业管理咨询有限公司执行董事、北京天佑瑞元医药科技有限公司执行董事。</w:t>
            </w:r>
          </w:p>
        </w:tc>
      </w:tr>
      <w:tr w14:paraId="3717A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79946C2">
            <w:pPr>
              <w:spacing w:before="40" w:after="40" w:line="240" w:lineRule="exact"/>
              <w:jc w:val="left"/>
              <w:rPr>
                <w:rFonts w:ascii="宋体" w:hAnsi="宋体" w:eastAsia="宋体" w:cs="宋体"/>
                <w:sz w:val="18"/>
                <w:szCs w:val="18"/>
              </w:rPr>
            </w:pPr>
            <w:r>
              <w:rPr>
                <w:rFonts w:ascii="宋体" w:hAnsi="宋体" w:eastAsia="宋体" w:cs="宋体"/>
                <w:sz w:val="18"/>
                <w:szCs w:val="18"/>
              </w:rPr>
              <w:t>过去</w:t>
            </w:r>
            <w:r>
              <w:rPr>
                <w:rFonts w:hint="default" w:ascii="Times New Roman" w:hAnsi="Times New Roman" w:eastAsia="宋体" w:cs="Times New Roman"/>
                <w:sz w:val="18"/>
                <w:szCs w:val="18"/>
              </w:rPr>
              <w:t>10</w:t>
            </w:r>
            <w:r>
              <w:rPr>
                <w:rFonts w:ascii="宋体" w:hAnsi="宋体" w:eastAsia="宋体" w:cs="宋体"/>
                <w:sz w:val="18"/>
                <w:szCs w:val="18"/>
              </w:rPr>
              <w:t>年曾控股的境内外上市公司情况</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60ED29F8">
            <w:pPr>
              <w:spacing w:before="0" w:after="0" w:line="240" w:lineRule="exact"/>
              <w:jc w:val="left"/>
              <w:rPr>
                <w:rFonts w:ascii="宋体" w:hAnsi="宋体" w:eastAsia="宋体" w:cs="宋体"/>
                <w:sz w:val="18"/>
                <w:szCs w:val="18"/>
              </w:rPr>
            </w:pPr>
            <w:r>
              <w:rPr>
                <w:rFonts w:ascii="宋体" w:hAnsi="宋体" w:eastAsia="宋体" w:cs="宋体"/>
                <w:sz w:val="18"/>
                <w:szCs w:val="18"/>
              </w:rPr>
              <w:t>张永明先生曾是深交所主板上市公司奥特佳新能源科技股份有限公司（证券代码：</w:t>
            </w:r>
            <w:r>
              <w:rPr>
                <w:rFonts w:hint="default" w:ascii="Times New Roman" w:hAnsi="Times New Roman" w:eastAsia="宋体" w:cs="Times New Roman"/>
                <w:sz w:val="18"/>
                <w:szCs w:val="18"/>
              </w:rPr>
              <w:t>002239</w:t>
            </w:r>
            <w:r>
              <w:rPr>
                <w:rFonts w:ascii="宋体" w:hAnsi="宋体" w:eastAsia="宋体" w:cs="宋体"/>
                <w:sz w:val="18"/>
                <w:szCs w:val="18"/>
              </w:rPr>
              <w:t>）的实际控制人。</w:t>
            </w:r>
          </w:p>
        </w:tc>
      </w:tr>
    </w:tbl>
    <w:p w14:paraId="025FF8E4">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实际控制人报告期内变更</w:t>
      </w:r>
    </w:p>
    <w:p w14:paraId="6AD3BF54">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2023872">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公司报告期实际控制人未发生变更。</w:t>
      </w:r>
    </w:p>
    <w:p w14:paraId="751D88DD">
      <w:pPr>
        <w:spacing w:before="100" w:after="100" w:line="240" w:lineRule="exact"/>
        <w:jc w:val="left"/>
        <w:rPr>
          <w:rFonts w:ascii="宋体" w:hAnsi="宋体" w:eastAsia="宋体" w:cs="宋体"/>
          <w:sz w:val="18"/>
          <w:szCs w:val="18"/>
        </w:rPr>
      </w:pPr>
      <w:r>
        <w:rPr>
          <w:rFonts w:ascii="宋体" w:hAnsi="宋体" w:eastAsia="宋体" w:cs="宋体"/>
          <w:sz w:val="18"/>
          <w:szCs w:val="18"/>
        </w:rPr>
        <w:t>公司与实际控制人之间的产权及控制关系的方框图</w:t>
      </w:r>
    </w:p>
    <w:p w14:paraId="03CC6885">
      <w:pPr>
        <w:spacing w:before="40" w:after="40" w:line="0" w:lineRule="exact"/>
        <w:jc w:val="center"/>
        <w:rPr>
          <w:rFonts w:ascii="Times New Roman" w:hAnsi="Times New Roman" w:eastAsia="宋体" w:cs="Times New Roman"/>
        </w:rPr>
      </w:pPr>
      <w:r>
        <w:rPr>
          <w:rFonts w:ascii="Times New Roman" w:hAnsi="Times New Roman" w:eastAsia="宋体" w:cs="Times New Roman"/>
        </w:rPr>
        <w:drawing>
          <wp:inline distT="0" distB="0" distL="0" distR="0">
            <wp:extent cx="4065905" cy="2153920"/>
            <wp:effectExtent l="0" t="0" r="1079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stretch>
                      <a:fillRect/>
                    </a:stretch>
                  </pic:blipFill>
                  <pic:spPr>
                    <a:xfrm>
                      <a:off x="0" y="0"/>
                      <a:ext cx="4065905" cy="2153920"/>
                    </a:xfrm>
                    <a:prstGeom prst="rect">
                      <a:avLst/>
                    </a:prstGeom>
                  </pic:spPr>
                </pic:pic>
              </a:graphicData>
            </a:graphic>
          </wp:inline>
        </w:drawing>
      </w:r>
    </w:p>
    <w:p w14:paraId="066F83CA">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实际控制人通过信托或其他资产管理方式控制公司</w:t>
      </w:r>
    </w:p>
    <w:p w14:paraId="5D19FA68">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06B125A">
      <w:pPr>
        <w:pStyle w:val="3"/>
        <w:keepNext/>
        <w:keepLines/>
        <w:spacing w:before="300" w:after="300" w:line="280" w:lineRule="exact"/>
        <w:jc w:val="left"/>
        <w:outlineLvl w:val="2"/>
        <w:rPr>
          <w:rFonts w:ascii="宋体" w:hAnsi="宋体" w:eastAsia="宋体" w:cs="宋体"/>
          <w:b/>
          <w:bCs/>
          <w:sz w:val="21"/>
          <w:szCs w:val="21"/>
        </w:rPr>
      </w:pPr>
      <w:bookmarkStart w:id="204" w:name="_Toc989024"/>
      <w:r>
        <w:rPr>
          <w:rFonts w:hint="default" w:ascii="Times New Roman" w:hAnsi="Times New Roman" w:eastAsia="宋体" w:cs="Times New Roman"/>
          <w:b/>
          <w:bCs/>
          <w:sz w:val="21"/>
          <w:szCs w:val="21"/>
        </w:rPr>
        <w:t>4</w:t>
      </w:r>
      <w:r>
        <w:rPr>
          <w:rFonts w:ascii="宋体" w:hAnsi="宋体" w:eastAsia="宋体" w:cs="宋体"/>
          <w:b/>
          <w:bCs/>
          <w:sz w:val="21"/>
          <w:szCs w:val="21"/>
        </w:rPr>
        <w:t>、公司控股股东或第一大股东及其一致行动人累计质押股份数量占其所持公司股份数量比例达到</w:t>
      </w:r>
      <w:r>
        <w:rPr>
          <w:rFonts w:hint="default" w:ascii="Times New Roman" w:hAnsi="Times New Roman" w:eastAsia="宋体" w:cs="Times New Roman"/>
          <w:b/>
          <w:bCs/>
          <w:sz w:val="21"/>
          <w:szCs w:val="21"/>
        </w:rPr>
        <w:t>80%</w:t>
      </w:r>
      <w:bookmarkEnd w:id="204"/>
    </w:p>
    <w:p w14:paraId="646D18F8">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3336685">
      <w:pPr>
        <w:pStyle w:val="3"/>
        <w:keepNext/>
        <w:keepLines/>
        <w:spacing w:before="300" w:after="300" w:line="280" w:lineRule="exact"/>
        <w:jc w:val="left"/>
        <w:outlineLvl w:val="2"/>
        <w:rPr>
          <w:rFonts w:ascii="宋体" w:hAnsi="宋体" w:eastAsia="宋体" w:cs="宋体"/>
          <w:b/>
          <w:bCs/>
          <w:sz w:val="21"/>
          <w:szCs w:val="21"/>
        </w:rPr>
      </w:pPr>
      <w:bookmarkStart w:id="205" w:name="_Toc989025"/>
      <w:r>
        <w:rPr>
          <w:rFonts w:hint="default" w:ascii="Times New Roman" w:hAnsi="Times New Roman" w:eastAsia="宋体" w:cs="Times New Roman"/>
          <w:b/>
          <w:bCs/>
          <w:sz w:val="21"/>
          <w:szCs w:val="21"/>
        </w:rPr>
        <w:t>5</w:t>
      </w:r>
      <w:r>
        <w:rPr>
          <w:rFonts w:ascii="宋体" w:hAnsi="宋体" w:eastAsia="宋体" w:cs="宋体"/>
          <w:b/>
          <w:bCs/>
          <w:sz w:val="21"/>
          <w:szCs w:val="21"/>
        </w:rPr>
        <w:t>、其他持股在</w:t>
      </w:r>
      <w:r>
        <w:rPr>
          <w:rFonts w:hint="default" w:ascii="Times New Roman" w:hAnsi="Times New Roman" w:eastAsia="宋体" w:cs="Times New Roman"/>
          <w:b/>
          <w:bCs/>
          <w:sz w:val="21"/>
          <w:szCs w:val="21"/>
        </w:rPr>
        <w:t>10%</w:t>
      </w:r>
      <w:r>
        <w:rPr>
          <w:rFonts w:ascii="宋体" w:hAnsi="宋体" w:eastAsia="宋体" w:cs="宋体"/>
          <w:b/>
          <w:bCs/>
          <w:sz w:val="21"/>
          <w:szCs w:val="21"/>
        </w:rPr>
        <w:t>以上的法人股东</w:t>
      </w:r>
      <w:bookmarkEnd w:id="205"/>
    </w:p>
    <w:p w14:paraId="4D433F06">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2B71326">
      <w:pPr>
        <w:pStyle w:val="3"/>
        <w:keepNext/>
        <w:keepLines/>
        <w:spacing w:before="300" w:after="300" w:line="280" w:lineRule="exact"/>
        <w:jc w:val="left"/>
        <w:outlineLvl w:val="2"/>
        <w:rPr>
          <w:rFonts w:ascii="宋体" w:hAnsi="宋体" w:eastAsia="宋体" w:cs="宋体"/>
          <w:b/>
          <w:bCs/>
          <w:sz w:val="21"/>
          <w:szCs w:val="21"/>
        </w:rPr>
      </w:pPr>
      <w:bookmarkStart w:id="206" w:name="_Toc989026"/>
      <w:r>
        <w:rPr>
          <w:rFonts w:hint="default" w:ascii="Times New Roman" w:hAnsi="Times New Roman" w:eastAsia="宋体" w:cs="Times New Roman"/>
          <w:b/>
          <w:bCs/>
          <w:sz w:val="21"/>
          <w:szCs w:val="21"/>
        </w:rPr>
        <w:t>6</w:t>
      </w:r>
      <w:r>
        <w:rPr>
          <w:rFonts w:ascii="宋体" w:hAnsi="宋体" w:eastAsia="宋体" w:cs="宋体"/>
          <w:b/>
          <w:bCs/>
          <w:sz w:val="21"/>
          <w:szCs w:val="21"/>
        </w:rPr>
        <w:t>、控股股东、实际控制人、重组方及其他承诺主体股份限制减持情况</w:t>
      </w:r>
      <w:bookmarkEnd w:id="206"/>
    </w:p>
    <w:p w14:paraId="179CB745">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A0E4673">
      <w:pPr>
        <w:pStyle w:val="2"/>
        <w:keepNext/>
        <w:keepLines/>
        <w:spacing w:before="300" w:after="300" w:line="320" w:lineRule="exact"/>
        <w:jc w:val="left"/>
        <w:outlineLvl w:val="1"/>
        <w:rPr>
          <w:rFonts w:ascii="宋体" w:hAnsi="宋体" w:eastAsia="宋体" w:cs="宋体"/>
          <w:b/>
          <w:bCs/>
          <w:sz w:val="24"/>
          <w:szCs w:val="24"/>
        </w:rPr>
      </w:pPr>
      <w:bookmarkStart w:id="207" w:name="_Toc20158"/>
      <w:bookmarkStart w:id="208" w:name="_Toc989027"/>
      <w:r>
        <w:rPr>
          <w:rFonts w:ascii="宋体" w:hAnsi="宋体" w:eastAsia="宋体" w:cs="宋体"/>
          <w:b/>
          <w:bCs/>
          <w:sz w:val="24"/>
          <w:szCs w:val="24"/>
        </w:rPr>
        <w:t>四、股份回购在报告期的具体实施情况</w:t>
      </w:r>
      <w:bookmarkEnd w:id="207"/>
      <w:bookmarkEnd w:id="208"/>
    </w:p>
    <w:p w14:paraId="67106F00">
      <w:pPr>
        <w:spacing w:before="100" w:after="100" w:line="240" w:lineRule="exact"/>
        <w:jc w:val="left"/>
        <w:rPr>
          <w:rFonts w:ascii="宋体" w:hAnsi="宋体" w:eastAsia="宋体" w:cs="宋体"/>
          <w:sz w:val="18"/>
          <w:szCs w:val="18"/>
        </w:rPr>
      </w:pPr>
      <w:r>
        <w:rPr>
          <w:rFonts w:ascii="宋体" w:hAnsi="宋体" w:eastAsia="宋体" w:cs="宋体"/>
          <w:sz w:val="18"/>
          <w:szCs w:val="18"/>
        </w:rPr>
        <w:t>股份回购的实施进展情况</w:t>
      </w:r>
    </w:p>
    <w:p w14:paraId="48BAD135">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D375D92">
      <w:pPr>
        <w:spacing w:before="100" w:after="100" w:line="240" w:lineRule="exact"/>
        <w:jc w:val="left"/>
        <w:rPr>
          <w:rFonts w:ascii="宋体" w:hAnsi="宋体" w:eastAsia="宋体" w:cs="宋体"/>
          <w:sz w:val="18"/>
          <w:szCs w:val="18"/>
        </w:rPr>
      </w:pPr>
      <w:r>
        <w:rPr>
          <w:rFonts w:ascii="宋体" w:hAnsi="宋体" w:eastAsia="宋体" w:cs="宋体"/>
          <w:sz w:val="18"/>
          <w:szCs w:val="18"/>
        </w:rPr>
        <w:t>采用集中竞价交易方式减持回购股份的实施进展情况</w:t>
      </w:r>
    </w:p>
    <w:p w14:paraId="321CA728">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8E265DD">
      <w:pPr>
        <w:pStyle w:val="2"/>
        <w:keepNext/>
        <w:keepLines/>
        <w:spacing w:before="300" w:after="300" w:line="320" w:lineRule="exact"/>
        <w:jc w:val="left"/>
        <w:outlineLvl w:val="1"/>
        <w:rPr>
          <w:rFonts w:ascii="宋体" w:hAnsi="宋体" w:eastAsia="宋体" w:cs="宋体"/>
          <w:b/>
          <w:bCs/>
          <w:sz w:val="24"/>
          <w:szCs w:val="24"/>
        </w:rPr>
      </w:pPr>
      <w:bookmarkStart w:id="209" w:name="_Toc5733"/>
      <w:bookmarkStart w:id="210" w:name="_Toc989028"/>
      <w:r>
        <w:rPr>
          <w:rFonts w:ascii="宋体" w:hAnsi="宋体" w:eastAsia="宋体" w:cs="宋体"/>
          <w:b/>
          <w:bCs/>
          <w:sz w:val="24"/>
          <w:szCs w:val="24"/>
        </w:rPr>
        <w:t>五、优先股相关情况</w:t>
      </w:r>
      <w:bookmarkEnd w:id="209"/>
      <w:bookmarkEnd w:id="210"/>
    </w:p>
    <w:p w14:paraId="1A066AA8">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FCA56AC">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报告期公司不存在优先股。</w:t>
      </w:r>
    </w:p>
    <w:p w14:paraId="43660D85">
      <w:r>
        <w:br w:type="page"/>
      </w:r>
    </w:p>
    <w:p w14:paraId="4CAFC21B">
      <w:pPr>
        <w:pStyle w:val="11"/>
        <w:keepNext/>
        <w:keepLines/>
        <w:spacing w:before="340" w:after="330" w:line="773" w:lineRule="exact"/>
        <w:jc w:val="center"/>
        <w:outlineLvl w:val="0"/>
        <w:rPr>
          <w:rFonts w:ascii="宋体" w:hAnsi="宋体" w:eastAsia="宋体" w:cs="宋体"/>
          <w:b/>
          <w:bCs/>
          <w:sz w:val="32"/>
          <w:szCs w:val="32"/>
        </w:rPr>
      </w:pPr>
      <w:bookmarkStart w:id="211" w:name="_Toc22716"/>
      <w:r>
        <w:rPr>
          <w:rFonts w:ascii="宋体" w:hAnsi="宋体" w:eastAsia="宋体" w:cs="宋体"/>
          <w:b/>
          <w:bCs/>
          <w:sz w:val="32"/>
          <w:szCs w:val="32"/>
        </w:rPr>
        <w:t>第七节 债券相关情况</w:t>
      </w:r>
      <w:bookmarkEnd w:id="4"/>
      <w:bookmarkEnd w:id="211"/>
    </w:p>
    <w:p w14:paraId="1D42F5B9">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BFE7D0B">
      <w:r>
        <w:br w:type="page"/>
      </w:r>
    </w:p>
    <w:p w14:paraId="36F57096">
      <w:pPr>
        <w:pStyle w:val="11"/>
        <w:keepNext/>
        <w:keepLines/>
        <w:spacing w:before="340" w:after="330" w:line="773" w:lineRule="exact"/>
        <w:jc w:val="center"/>
        <w:outlineLvl w:val="0"/>
        <w:rPr>
          <w:rFonts w:ascii="宋体" w:hAnsi="宋体" w:eastAsia="宋体" w:cs="宋体"/>
          <w:b/>
          <w:bCs/>
          <w:sz w:val="32"/>
          <w:szCs w:val="32"/>
        </w:rPr>
      </w:pPr>
      <w:bookmarkStart w:id="212" w:name="_Toc7426"/>
      <w:bookmarkStart w:id="213" w:name="_Toc989030"/>
      <w:r>
        <w:rPr>
          <w:rFonts w:ascii="宋体" w:hAnsi="宋体" w:eastAsia="宋体" w:cs="宋体"/>
          <w:b/>
          <w:bCs/>
          <w:sz w:val="32"/>
          <w:szCs w:val="32"/>
        </w:rPr>
        <w:t>第八节 财务报告</w:t>
      </w:r>
      <w:bookmarkEnd w:id="212"/>
      <w:bookmarkEnd w:id="213"/>
    </w:p>
    <w:p w14:paraId="30B3A387">
      <w:pPr>
        <w:pStyle w:val="2"/>
        <w:keepNext/>
        <w:keepLines/>
        <w:spacing w:before="300" w:after="300" w:line="320" w:lineRule="exact"/>
        <w:jc w:val="left"/>
        <w:outlineLvl w:val="1"/>
        <w:rPr>
          <w:rFonts w:ascii="宋体" w:hAnsi="宋体" w:eastAsia="宋体" w:cs="宋体"/>
          <w:b/>
          <w:bCs/>
          <w:sz w:val="24"/>
          <w:szCs w:val="24"/>
        </w:rPr>
      </w:pPr>
      <w:bookmarkStart w:id="214" w:name="_Toc26813"/>
      <w:bookmarkStart w:id="215" w:name="_Toc989031"/>
      <w:r>
        <w:rPr>
          <w:rFonts w:ascii="宋体" w:hAnsi="宋体" w:eastAsia="宋体" w:cs="宋体"/>
          <w:b/>
          <w:bCs/>
          <w:sz w:val="24"/>
          <w:szCs w:val="24"/>
        </w:rPr>
        <w:t>一、审计报告</w:t>
      </w:r>
      <w:bookmarkEnd w:id="214"/>
      <w:bookmarkEnd w:id="215"/>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38908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2861E3F">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审计意见类型</w:t>
            </w:r>
          </w:p>
        </w:tc>
        <w:tc>
          <w:tcPr>
            <w:tcW w:w="4820" w:type="dxa"/>
            <w:tcBorders>
              <w:top w:val="single" w:color="auto" w:sz="2" w:space="0"/>
              <w:left w:val="single" w:color="auto" w:sz="2" w:space="0"/>
              <w:bottom w:val="single" w:color="auto" w:sz="2" w:space="0"/>
              <w:right w:val="single" w:color="auto" w:sz="2" w:space="0"/>
            </w:tcBorders>
            <w:vAlign w:val="center"/>
          </w:tcPr>
          <w:p w14:paraId="14C6C2B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标准的无保留意见</w:t>
            </w:r>
          </w:p>
        </w:tc>
      </w:tr>
      <w:tr w14:paraId="6E7B7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0E5D16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审计报告签署日期</w:t>
            </w:r>
          </w:p>
        </w:tc>
        <w:tc>
          <w:tcPr>
            <w:tcW w:w="4820" w:type="dxa"/>
            <w:tcBorders>
              <w:top w:val="single" w:color="auto" w:sz="2" w:space="0"/>
              <w:left w:val="single" w:color="auto" w:sz="2" w:space="0"/>
              <w:bottom w:val="single" w:color="auto" w:sz="2" w:space="0"/>
              <w:right w:val="single" w:color="auto" w:sz="2" w:space="0"/>
            </w:tcBorders>
            <w:vAlign w:val="center"/>
          </w:tcPr>
          <w:p w14:paraId="60798D5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2026年03月25日</w:t>
            </w:r>
          </w:p>
        </w:tc>
      </w:tr>
      <w:tr w14:paraId="431C3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D4BAEF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审计机构名称</w:t>
            </w:r>
          </w:p>
        </w:tc>
        <w:tc>
          <w:tcPr>
            <w:tcW w:w="4820" w:type="dxa"/>
            <w:tcBorders>
              <w:top w:val="single" w:color="auto" w:sz="2" w:space="0"/>
              <w:left w:val="single" w:color="auto" w:sz="2" w:space="0"/>
              <w:bottom w:val="single" w:color="auto" w:sz="2" w:space="0"/>
              <w:right w:val="single" w:color="auto" w:sz="2" w:space="0"/>
            </w:tcBorders>
            <w:vAlign w:val="center"/>
          </w:tcPr>
          <w:p w14:paraId="59ABAF3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大信会计师事务所（特殊普通合伙）</w:t>
            </w:r>
          </w:p>
        </w:tc>
      </w:tr>
      <w:tr w14:paraId="63FFA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A64813C">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审计报告文号</w:t>
            </w:r>
          </w:p>
        </w:tc>
        <w:tc>
          <w:tcPr>
            <w:tcW w:w="4820" w:type="dxa"/>
            <w:tcBorders>
              <w:top w:val="single" w:color="auto" w:sz="2" w:space="0"/>
              <w:left w:val="single" w:color="auto" w:sz="2" w:space="0"/>
              <w:bottom w:val="single" w:color="auto" w:sz="2" w:space="0"/>
              <w:right w:val="single" w:color="auto" w:sz="2" w:space="0"/>
            </w:tcBorders>
            <w:vAlign w:val="center"/>
          </w:tcPr>
          <w:p w14:paraId="0837317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大信审字[2026]第29-00006号</w:t>
            </w:r>
          </w:p>
        </w:tc>
      </w:tr>
      <w:tr w14:paraId="22D59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1CEA74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注册会计师姓名</w:t>
            </w:r>
          </w:p>
        </w:tc>
        <w:tc>
          <w:tcPr>
            <w:tcW w:w="4820" w:type="dxa"/>
            <w:tcBorders>
              <w:top w:val="single" w:color="auto" w:sz="2" w:space="0"/>
              <w:left w:val="single" w:color="auto" w:sz="2" w:space="0"/>
              <w:bottom w:val="single" w:color="auto" w:sz="2" w:space="0"/>
              <w:right w:val="single" w:color="auto" w:sz="2" w:space="0"/>
            </w:tcBorders>
            <w:vAlign w:val="center"/>
          </w:tcPr>
          <w:p w14:paraId="2DBBAA9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黎程、黄颖</w:t>
            </w:r>
          </w:p>
        </w:tc>
      </w:tr>
    </w:tbl>
    <w:p w14:paraId="73D913F4">
      <w:pPr>
        <w:spacing w:before="100" w:after="100" w:line="240" w:lineRule="exact"/>
        <w:jc w:val="center"/>
        <w:rPr>
          <w:rFonts w:ascii="宋体" w:hAnsi="宋体" w:eastAsia="宋体" w:cs="宋体"/>
          <w:sz w:val="18"/>
          <w:szCs w:val="18"/>
        </w:rPr>
      </w:pPr>
      <w:r>
        <w:rPr>
          <w:rFonts w:ascii="宋体" w:hAnsi="宋体" w:eastAsia="宋体" w:cs="宋体"/>
          <w:sz w:val="18"/>
          <w:szCs w:val="18"/>
        </w:rPr>
        <w:t>审计报告正文</w:t>
      </w:r>
    </w:p>
    <w:p w14:paraId="214EAE3E">
      <w:pPr>
        <w:pStyle w:val="6"/>
        <w:keepNext w:val="0"/>
        <w:keepLines w:val="0"/>
        <w:widowControl/>
        <w:suppressLineNumbers w:val="0"/>
        <w:spacing w:line="460" w:lineRule="atLeast"/>
        <w:ind w:left="845" w:hanging="420"/>
        <w:jc w:val="center"/>
        <w:rPr>
          <w:rFonts w:hint="eastAsia" w:ascii="宋体" w:hAnsi="宋体" w:eastAsia="宋体" w:cs="宋体"/>
          <w:sz w:val="24"/>
          <w:szCs w:val="24"/>
        </w:rPr>
      </w:pPr>
      <w:r>
        <w:rPr>
          <w:rFonts w:ascii="黑体" w:hAnsi="宋体" w:eastAsia="黑体" w:cs="黑体"/>
          <w:sz w:val="36"/>
          <w:szCs w:val="36"/>
        </w:rPr>
        <w:t>审计报告</w:t>
      </w:r>
    </w:p>
    <w:p w14:paraId="4954644E">
      <w:pPr>
        <w:pStyle w:val="6"/>
        <w:keepNext w:val="0"/>
        <w:keepLines w:val="0"/>
        <w:widowControl/>
        <w:suppressLineNumbers w:val="0"/>
        <w:spacing w:line="460" w:lineRule="atLeast"/>
        <w:ind w:left="845" w:hanging="420"/>
        <w:jc w:val="right"/>
        <w:rPr>
          <w:rFonts w:hint="eastAsia" w:ascii="宋体" w:hAnsi="宋体" w:eastAsia="宋体" w:cs="宋体"/>
          <w:sz w:val="24"/>
          <w:szCs w:val="24"/>
        </w:rPr>
      </w:pPr>
      <w:r>
        <w:rPr>
          <w:rFonts w:hint="default" w:ascii="Times New Roman" w:hAnsi="Times New Roman" w:eastAsia="宋体" w:cs="Times New Roman"/>
          <w:sz w:val="21"/>
          <w:szCs w:val="21"/>
        </w:rPr>
        <w:t>大信审字[2026]第29-00006号</w:t>
      </w:r>
    </w:p>
    <w:p w14:paraId="35BA040E">
      <w:pPr>
        <w:pStyle w:val="6"/>
        <w:keepNext w:val="0"/>
        <w:keepLines w:val="0"/>
        <w:widowControl/>
        <w:suppressLineNumbers w:val="0"/>
        <w:spacing w:line="460" w:lineRule="atLeast"/>
        <w:ind w:left="0" w:firstLine="0"/>
        <w:jc w:val="left"/>
        <w:rPr>
          <w:rFonts w:hint="eastAsia" w:ascii="宋体" w:hAnsi="宋体" w:eastAsia="宋体" w:cs="宋体"/>
          <w:sz w:val="24"/>
          <w:szCs w:val="24"/>
        </w:rPr>
      </w:pPr>
      <w:r>
        <w:rPr>
          <w:rStyle w:val="9"/>
          <w:rFonts w:hint="eastAsia" w:ascii="宋体" w:hAnsi="宋体" w:eastAsia="宋体" w:cs="宋体"/>
          <w:sz w:val="24"/>
          <w:szCs w:val="24"/>
        </w:rPr>
        <w:t>冠昊生物科技股份有限公司全体股东：</w:t>
      </w:r>
    </w:p>
    <w:p w14:paraId="04C3A5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一、审计意见</w:t>
      </w:r>
    </w:p>
    <w:p w14:paraId="454470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我们审计了冠昊生物科技股份有限公司（以下简称“贵公司”或“冠昊生物”）的财务报表，包括</w:t>
      </w:r>
      <w:r>
        <w:rPr>
          <w:rFonts w:hint="default" w:ascii="Times New Roman" w:hAnsi="Times New Roman" w:eastAsia="宋体" w:cs="Times New Roman"/>
          <w:sz w:val="21"/>
          <w:szCs w:val="21"/>
        </w:rPr>
        <w:t>2025</w:t>
      </w:r>
      <w:r>
        <w:rPr>
          <w:rFonts w:hint="eastAsia" w:ascii="宋体" w:hAnsi="宋体" w:eastAsia="宋体" w:cs="宋体"/>
          <w:sz w:val="21"/>
          <w:szCs w:val="21"/>
        </w:rPr>
        <w:t>年</w:t>
      </w:r>
      <w:r>
        <w:rPr>
          <w:rFonts w:hint="default" w:ascii="Times New Roman" w:hAnsi="Times New Roman" w:eastAsia="宋体" w:cs="Times New Roman"/>
          <w:sz w:val="21"/>
          <w:szCs w:val="21"/>
        </w:rPr>
        <w:t>12</w:t>
      </w:r>
      <w:r>
        <w:rPr>
          <w:rFonts w:hint="eastAsia" w:ascii="宋体" w:hAnsi="宋体" w:eastAsia="宋体" w:cs="宋体"/>
          <w:sz w:val="21"/>
          <w:szCs w:val="21"/>
        </w:rPr>
        <w:t>月</w:t>
      </w:r>
      <w:r>
        <w:rPr>
          <w:rFonts w:hint="default" w:ascii="Times New Roman" w:hAnsi="Times New Roman" w:eastAsia="宋体" w:cs="Times New Roman"/>
          <w:sz w:val="21"/>
          <w:szCs w:val="21"/>
        </w:rPr>
        <w:t>31</w:t>
      </w:r>
      <w:r>
        <w:rPr>
          <w:rFonts w:hint="eastAsia" w:ascii="宋体" w:hAnsi="宋体" w:eastAsia="宋体" w:cs="宋体"/>
          <w:sz w:val="21"/>
          <w:szCs w:val="21"/>
        </w:rPr>
        <w:t>日的合并及母公司资产负债表，</w:t>
      </w:r>
      <w:r>
        <w:rPr>
          <w:rFonts w:hint="default" w:ascii="Times New Roman" w:hAnsi="Times New Roman" w:eastAsia="宋体" w:cs="Times New Roman"/>
          <w:sz w:val="21"/>
          <w:szCs w:val="21"/>
        </w:rPr>
        <w:t>2025</w:t>
      </w:r>
      <w:r>
        <w:rPr>
          <w:rFonts w:hint="eastAsia" w:ascii="宋体" w:hAnsi="宋体" w:eastAsia="宋体" w:cs="宋体"/>
          <w:sz w:val="21"/>
          <w:szCs w:val="21"/>
        </w:rPr>
        <w:t>年度的合并及母公司利润表、合并及母公司现金流量表、合并及母公司股东权益变动表以及财务报表附注。</w:t>
      </w:r>
    </w:p>
    <w:p w14:paraId="3542172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我们认为，后附的财务报表在所有重大方面按照企业会计准则的规定编制，公允反映了冠昊生物</w:t>
      </w:r>
      <w:r>
        <w:rPr>
          <w:rFonts w:hint="default" w:ascii="Times New Roman" w:hAnsi="Times New Roman" w:eastAsia="宋体" w:cs="Times New Roman"/>
          <w:sz w:val="21"/>
          <w:szCs w:val="21"/>
        </w:rPr>
        <w:t>2025</w:t>
      </w:r>
      <w:r>
        <w:rPr>
          <w:rFonts w:hint="eastAsia" w:ascii="宋体" w:hAnsi="宋体" w:eastAsia="宋体" w:cs="宋体"/>
          <w:sz w:val="21"/>
          <w:szCs w:val="21"/>
        </w:rPr>
        <w:t>年</w:t>
      </w:r>
      <w:r>
        <w:rPr>
          <w:rFonts w:hint="default" w:ascii="Times New Roman" w:hAnsi="Times New Roman" w:eastAsia="宋体" w:cs="Times New Roman"/>
          <w:sz w:val="21"/>
          <w:szCs w:val="21"/>
        </w:rPr>
        <w:t>12</w:t>
      </w:r>
      <w:r>
        <w:rPr>
          <w:rFonts w:hint="eastAsia" w:ascii="宋体" w:hAnsi="宋体" w:eastAsia="宋体" w:cs="宋体"/>
          <w:sz w:val="21"/>
          <w:szCs w:val="21"/>
        </w:rPr>
        <w:t>月</w:t>
      </w:r>
      <w:r>
        <w:rPr>
          <w:rFonts w:hint="default" w:ascii="Times New Roman" w:hAnsi="Times New Roman" w:eastAsia="宋体" w:cs="Times New Roman"/>
          <w:sz w:val="21"/>
          <w:szCs w:val="21"/>
        </w:rPr>
        <w:t>31</w:t>
      </w:r>
      <w:r>
        <w:rPr>
          <w:rFonts w:hint="eastAsia" w:ascii="宋体" w:hAnsi="宋体" w:eastAsia="宋体" w:cs="宋体"/>
          <w:sz w:val="21"/>
          <w:szCs w:val="21"/>
        </w:rPr>
        <w:t>日的合并及母公司财务状况以及</w:t>
      </w:r>
      <w:r>
        <w:rPr>
          <w:rFonts w:hint="default" w:ascii="Times New Roman" w:hAnsi="Times New Roman" w:eastAsia="宋体" w:cs="Times New Roman"/>
          <w:sz w:val="21"/>
          <w:szCs w:val="21"/>
        </w:rPr>
        <w:t>2025</w:t>
      </w:r>
      <w:r>
        <w:rPr>
          <w:rFonts w:hint="eastAsia" w:ascii="宋体" w:hAnsi="宋体" w:eastAsia="宋体" w:cs="宋体"/>
          <w:sz w:val="21"/>
          <w:szCs w:val="21"/>
        </w:rPr>
        <w:t>年度的合并及母公司经营成果和合并及母公司现金流量。</w:t>
      </w:r>
    </w:p>
    <w:p w14:paraId="52B437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二、形成审计意见的基础</w:t>
      </w:r>
    </w:p>
    <w:p w14:paraId="4D1821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贵公司，并履行了职业道德方面的其他责任。我们在审计中遵守了适用于公众利益实体财务报表审计的独立性要求。</w:t>
      </w:r>
    </w:p>
    <w:p w14:paraId="4F85CF3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我们相信，我们获取的审计证据是充分、适当的，为发表审计意见提供了基础。</w:t>
      </w:r>
    </w:p>
    <w:p w14:paraId="2A4FD0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三、关键审计事项</w:t>
      </w:r>
    </w:p>
    <w:p w14:paraId="700384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关键审计事项是我们根据职业判断，认为对本期财务报表审计最为重要的事项。这些事项的应对以对财务报表整体进行审计并形成审计意见为背景，我们不对这些事项单独发表意见。</w:t>
      </w:r>
    </w:p>
    <w:p w14:paraId="070D36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left"/>
        <w:textAlignment w:val="auto"/>
        <w:rPr>
          <w:rFonts w:hint="eastAsia" w:ascii="宋体" w:hAnsi="宋体" w:eastAsia="宋体" w:cs="宋体"/>
          <w:sz w:val="24"/>
          <w:szCs w:val="24"/>
        </w:rPr>
      </w:pPr>
      <w:r>
        <w:rPr>
          <w:rFonts w:hint="eastAsia" w:ascii="宋体" w:hAnsi="宋体" w:eastAsia="宋体" w:cs="宋体"/>
          <w:sz w:val="21"/>
          <w:szCs w:val="21"/>
        </w:rPr>
        <w:t>（一）收入确认</w:t>
      </w:r>
    </w:p>
    <w:p w14:paraId="373011D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left"/>
        <w:textAlignment w:val="auto"/>
        <w:rPr>
          <w:rFonts w:hint="eastAsia" w:ascii="宋体" w:hAnsi="宋体" w:eastAsia="宋体" w:cs="宋体"/>
          <w:sz w:val="24"/>
          <w:szCs w:val="24"/>
        </w:rPr>
      </w:pPr>
      <w:r>
        <w:rPr>
          <w:rFonts w:hint="default" w:ascii="Times New Roman" w:hAnsi="Times New Roman" w:eastAsia="宋体" w:cs="Times New Roman"/>
          <w:sz w:val="21"/>
          <w:szCs w:val="21"/>
        </w:rPr>
        <w:t>1</w:t>
      </w:r>
      <w:r>
        <w:rPr>
          <w:rFonts w:hint="eastAsia" w:ascii="宋体" w:hAnsi="宋体" w:eastAsia="宋体" w:cs="宋体"/>
          <w:sz w:val="21"/>
          <w:szCs w:val="21"/>
        </w:rPr>
        <w:t>.事项描述</w:t>
      </w:r>
    </w:p>
    <w:p w14:paraId="452F902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冠昊生物</w:t>
      </w:r>
      <w:r>
        <w:rPr>
          <w:rFonts w:hint="default" w:ascii="Times New Roman" w:hAnsi="Times New Roman" w:eastAsia="宋体" w:cs="Times New Roman"/>
          <w:sz w:val="21"/>
          <w:szCs w:val="21"/>
        </w:rPr>
        <w:t>2025</w:t>
      </w:r>
      <w:r>
        <w:rPr>
          <w:rFonts w:hint="eastAsia" w:ascii="宋体" w:hAnsi="宋体" w:eastAsia="宋体" w:cs="宋体"/>
          <w:sz w:val="21"/>
          <w:szCs w:val="21"/>
        </w:rPr>
        <w:t>年度营业收</w:t>
      </w:r>
      <w:r>
        <w:rPr>
          <w:rFonts w:hint="default" w:ascii="Times New Roman" w:hAnsi="Times New Roman" w:eastAsia="宋体" w:cs="Times New Roman"/>
          <w:sz w:val="21"/>
          <w:szCs w:val="21"/>
        </w:rPr>
        <w:t>入387,749,767.90元</w:t>
      </w:r>
      <w:r>
        <w:rPr>
          <w:rFonts w:hint="eastAsia" w:ascii="宋体" w:hAnsi="宋体" w:eastAsia="宋体" w:cs="宋体"/>
          <w:sz w:val="21"/>
          <w:szCs w:val="21"/>
        </w:rPr>
        <w:t>，主要收入来源于医疗器械收入 、药品收入及细胞技术服务。营业收入作为冠昊生物的关键绩效指标之一，存在可能被管理层操控以实现目标或预期的固有风险，因此，我们将营业收入的真实性和截止准确性认定为关键审计事项。</w:t>
      </w:r>
    </w:p>
    <w:p w14:paraId="328890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收入确认的会计政策详见“三、重要会计政策及会计估计”之（二十五）。</w:t>
      </w:r>
    </w:p>
    <w:p w14:paraId="3959E3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收入的构成详见“五、合并财务报表重要项目注释”之（三十七）。</w:t>
      </w:r>
    </w:p>
    <w:p w14:paraId="0486D1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default" w:ascii="Times New Roman" w:hAnsi="Times New Roman" w:eastAsia="宋体" w:cs="Times New Roman"/>
          <w:sz w:val="21"/>
          <w:szCs w:val="21"/>
        </w:rPr>
        <w:t>2</w:t>
      </w:r>
      <w:r>
        <w:rPr>
          <w:rFonts w:hint="eastAsia" w:ascii="宋体" w:hAnsi="宋体" w:eastAsia="宋体" w:cs="宋体"/>
          <w:sz w:val="21"/>
          <w:szCs w:val="21"/>
        </w:rPr>
        <w:t>.审计应对</w:t>
      </w:r>
    </w:p>
    <w:p w14:paraId="103C41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）了解、评价并测试与收入确认相关的关键内部控制的设计和运行的有效性；</w:t>
      </w:r>
    </w:p>
    <w:p w14:paraId="5285C7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）执行其他实质性分析程序，包括对营业收入结构、成本和毛利率执行分析程序，识别重大或异常波动，并查明变动原因；</w:t>
      </w:r>
    </w:p>
    <w:p w14:paraId="7CC67FB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3</w:t>
      </w:r>
      <w:r>
        <w:rPr>
          <w:rFonts w:hint="eastAsia" w:ascii="宋体" w:hAnsi="宋体" w:eastAsia="宋体" w:cs="宋体"/>
          <w:sz w:val="21"/>
          <w:szCs w:val="21"/>
        </w:rPr>
        <w:t>）检查代表性销售合同或订单，识别与商品控制权转移相关的关键条款与条件，评价贵公司收入确认时点是否符合企业会计准则的要求；对部分未签订合同的业务，我们结合行业交易惯例及业务实质，核查实际耗用结算资料、检验报告等资料进行判断收入确认时点；</w:t>
      </w:r>
    </w:p>
    <w:p w14:paraId="016B70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4</w:t>
      </w:r>
      <w:r>
        <w:rPr>
          <w:rFonts w:hint="eastAsia" w:ascii="宋体" w:hAnsi="宋体" w:eastAsia="宋体" w:cs="宋体"/>
          <w:sz w:val="21"/>
          <w:szCs w:val="21"/>
        </w:rPr>
        <w:t>）选取样本，检查合同或销售订单、出库单、物流单据、签收记录、销售发票、收款记录等支持性证据；</w:t>
      </w:r>
    </w:p>
    <w:p w14:paraId="21F5D43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5</w:t>
      </w:r>
      <w:r>
        <w:rPr>
          <w:rFonts w:hint="eastAsia" w:ascii="宋体" w:hAnsi="宋体" w:eastAsia="宋体" w:cs="宋体"/>
          <w:sz w:val="21"/>
          <w:szCs w:val="21"/>
        </w:rPr>
        <w:t>）选取样本，对交易发生额、应收账款余额实施函证程序；</w:t>
      </w:r>
    </w:p>
    <w:p w14:paraId="6BF141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7</w:t>
      </w:r>
      <w:r>
        <w:rPr>
          <w:rFonts w:hint="eastAsia" w:ascii="宋体" w:hAnsi="宋体" w:eastAsia="宋体" w:cs="宋体"/>
          <w:sz w:val="21"/>
          <w:szCs w:val="21"/>
        </w:rPr>
        <w:t>）获取产品退换货的记录并进行检查，确认是否存在影响收入确认的重大异常退换货情况；</w:t>
      </w:r>
    </w:p>
    <w:p w14:paraId="517C69C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8</w:t>
      </w:r>
      <w:r>
        <w:rPr>
          <w:rFonts w:hint="eastAsia" w:ascii="宋体" w:hAnsi="宋体" w:eastAsia="宋体" w:cs="宋体"/>
          <w:sz w:val="21"/>
          <w:szCs w:val="21"/>
        </w:rPr>
        <w:t>）结合期末存货监盘程序和检查期后发货情况等，实施截止性测试。</w:t>
      </w:r>
    </w:p>
    <w:p w14:paraId="4CEDCD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（二）应收账款减值</w:t>
      </w:r>
    </w:p>
    <w:p w14:paraId="729CE2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default" w:ascii="Times New Roman" w:hAnsi="Times New Roman" w:eastAsia="宋体" w:cs="Times New Roman"/>
          <w:sz w:val="21"/>
          <w:szCs w:val="21"/>
        </w:rPr>
        <w:t>1</w:t>
      </w:r>
      <w:r>
        <w:rPr>
          <w:rFonts w:hint="eastAsia" w:ascii="宋体" w:hAnsi="宋体" w:eastAsia="宋体" w:cs="宋体"/>
          <w:sz w:val="21"/>
          <w:szCs w:val="21"/>
        </w:rPr>
        <w:t>.事项描述</w:t>
      </w:r>
    </w:p>
    <w:p w14:paraId="46CFF4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截</w:t>
      </w:r>
      <w:r>
        <w:rPr>
          <w:rFonts w:hint="eastAsia" w:ascii="宋体" w:hAnsi="宋体" w:cs="宋体"/>
          <w:sz w:val="21"/>
          <w:szCs w:val="21"/>
          <w:lang w:val="en-US" w:eastAsia="zh-CN"/>
        </w:rPr>
        <w:t>止</w:t>
      </w:r>
      <w:r>
        <w:rPr>
          <w:rFonts w:hint="default" w:ascii="Times New Roman" w:hAnsi="Times New Roman" w:eastAsia="宋体" w:cs="Times New Roman"/>
          <w:sz w:val="21"/>
          <w:szCs w:val="21"/>
        </w:rPr>
        <w:t>2025</w:t>
      </w:r>
      <w:r>
        <w:rPr>
          <w:rFonts w:hint="eastAsia" w:ascii="宋体" w:hAnsi="宋体" w:eastAsia="宋体" w:cs="宋体"/>
          <w:sz w:val="21"/>
          <w:szCs w:val="21"/>
        </w:rPr>
        <w:t>年</w:t>
      </w:r>
      <w:r>
        <w:rPr>
          <w:rFonts w:hint="default" w:ascii="Times New Roman" w:hAnsi="Times New Roman" w:eastAsia="宋体" w:cs="Times New Roman"/>
          <w:sz w:val="21"/>
          <w:szCs w:val="21"/>
        </w:rPr>
        <w:t>12</w:t>
      </w:r>
      <w:r>
        <w:rPr>
          <w:rFonts w:hint="eastAsia" w:ascii="宋体" w:hAnsi="宋体" w:eastAsia="宋体" w:cs="宋体"/>
          <w:sz w:val="21"/>
          <w:szCs w:val="21"/>
        </w:rPr>
        <w:t>月</w:t>
      </w:r>
      <w:r>
        <w:rPr>
          <w:rFonts w:hint="default" w:ascii="Times New Roman" w:hAnsi="Times New Roman" w:eastAsia="宋体" w:cs="Times New Roman"/>
          <w:sz w:val="21"/>
          <w:szCs w:val="21"/>
        </w:rPr>
        <w:t>31</w:t>
      </w:r>
      <w:r>
        <w:rPr>
          <w:rFonts w:hint="eastAsia" w:ascii="宋体" w:hAnsi="宋体" w:eastAsia="宋体" w:cs="宋体"/>
          <w:sz w:val="21"/>
          <w:szCs w:val="21"/>
        </w:rPr>
        <w:t>日，冠昊生物应收账款余额</w:t>
      </w:r>
      <w:r>
        <w:rPr>
          <w:rFonts w:hint="default" w:ascii="Times New Roman" w:hAnsi="Times New Roman" w:eastAsia="宋体" w:cs="Times New Roman"/>
          <w:sz w:val="21"/>
          <w:szCs w:val="21"/>
        </w:rPr>
        <w:t>96</w:t>
      </w:r>
      <w:r>
        <w:rPr>
          <w:rFonts w:hint="eastAsia" w:ascii="Times New Roman" w:hAnsi="Times New Roman" w:eastAsia="宋体" w:cs="Times New Roman"/>
          <w:sz w:val="21"/>
          <w:szCs w:val="21"/>
        </w:rPr>
        <w:t>,</w:t>
      </w:r>
      <w:r>
        <w:rPr>
          <w:rFonts w:hint="default" w:ascii="Times New Roman" w:hAnsi="Times New Roman" w:eastAsia="宋体" w:cs="Times New Roman"/>
          <w:sz w:val="21"/>
          <w:szCs w:val="21"/>
        </w:rPr>
        <w:t>221</w:t>
      </w:r>
      <w:r>
        <w:rPr>
          <w:rFonts w:hint="eastAsia" w:ascii="Times New Roman" w:hAnsi="Times New Roman" w:eastAsia="宋体" w:cs="Times New Roman"/>
          <w:sz w:val="21"/>
          <w:szCs w:val="21"/>
        </w:rPr>
        <w:t>,</w:t>
      </w:r>
      <w:r>
        <w:rPr>
          <w:rFonts w:hint="default" w:ascii="Times New Roman" w:hAnsi="Times New Roman" w:eastAsia="宋体" w:cs="Times New Roman"/>
          <w:sz w:val="21"/>
          <w:szCs w:val="21"/>
        </w:rPr>
        <w:t>668</w:t>
      </w:r>
      <w:r>
        <w:rPr>
          <w:rFonts w:hint="eastAsia" w:ascii="Times New Roman" w:hAnsi="Times New Roman" w:eastAsia="宋体" w:cs="Times New Roman"/>
          <w:sz w:val="21"/>
          <w:szCs w:val="21"/>
        </w:rPr>
        <w:t>.</w:t>
      </w:r>
      <w:r>
        <w:rPr>
          <w:rFonts w:hint="default" w:ascii="Times New Roman" w:hAnsi="Times New Roman" w:eastAsia="宋体" w:cs="Times New Roman"/>
          <w:sz w:val="21"/>
          <w:szCs w:val="21"/>
        </w:rPr>
        <w:t>91</w:t>
      </w:r>
      <w:r>
        <w:rPr>
          <w:rFonts w:hint="eastAsia" w:ascii="Times New Roman" w:hAnsi="Times New Roman" w:eastAsia="宋体" w:cs="Times New Roman"/>
          <w:sz w:val="21"/>
          <w:szCs w:val="21"/>
        </w:rPr>
        <w:t>元</w:t>
      </w:r>
      <w:r>
        <w:rPr>
          <w:rFonts w:hint="eastAsia" w:ascii="宋体" w:hAnsi="宋体" w:eastAsia="宋体" w:cs="宋体"/>
          <w:sz w:val="21"/>
          <w:szCs w:val="21"/>
        </w:rPr>
        <w:t>，坏账准备</w:t>
      </w:r>
      <w:r>
        <w:rPr>
          <w:rFonts w:hint="eastAsia" w:ascii="Times New Roman" w:hAnsi="Times New Roman" w:eastAsia="宋体" w:cs="Times New Roman"/>
          <w:sz w:val="21"/>
          <w:szCs w:val="21"/>
        </w:rPr>
        <w:t>金额</w:t>
      </w:r>
      <w:r>
        <w:rPr>
          <w:rFonts w:hint="default" w:ascii="Times New Roman" w:hAnsi="Times New Roman" w:eastAsia="宋体" w:cs="Times New Roman"/>
          <w:sz w:val="21"/>
          <w:szCs w:val="21"/>
        </w:rPr>
        <w:t>43</w:t>
      </w:r>
      <w:r>
        <w:rPr>
          <w:rFonts w:hint="eastAsia" w:ascii="Times New Roman" w:hAnsi="Times New Roman" w:eastAsia="宋体" w:cs="Times New Roman"/>
          <w:sz w:val="21"/>
          <w:szCs w:val="21"/>
        </w:rPr>
        <w:t>,</w:t>
      </w:r>
      <w:r>
        <w:rPr>
          <w:rFonts w:hint="default" w:ascii="Times New Roman" w:hAnsi="Times New Roman" w:eastAsia="宋体" w:cs="Times New Roman"/>
          <w:sz w:val="21"/>
          <w:szCs w:val="21"/>
        </w:rPr>
        <w:t>769</w:t>
      </w:r>
      <w:r>
        <w:rPr>
          <w:rFonts w:hint="eastAsia" w:ascii="Times New Roman" w:hAnsi="Times New Roman" w:eastAsia="宋体" w:cs="Times New Roman"/>
          <w:sz w:val="21"/>
          <w:szCs w:val="21"/>
        </w:rPr>
        <w:t>,</w:t>
      </w:r>
      <w:r>
        <w:rPr>
          <w:rFonts w:hint="default" w:ascii="Times New Roman" w:hAnsi="Times New Roman" w:eastAsia="宋体" w:cs="Times New Roman"/>
          <w:sz w:val="21"/>
          <w:szCs w:val="21"/>
        </w:rPr>
        <w:t>165</w:t>
      </w:r>
      <w:r>
        <w:rPr>
          <w:rFonts w:hint="eastAsia" w:ascii="Times New Roman" w:hAnsi="Times New Roman" w:eastAsia="宋体" w:cs="Times New Roman"/>
          <w:sz w:val="21"/>
          <w:szCs w:val="21"/>
        </w:rPr>
        <w:t>.</w:t>
      </w:r>
      <w:r>
        <w:rPr>
          <w:rFonts w:hint="default" w:ascii="Times New Roman" w:hAnsi="Times New Roman" w:eastAsia="宋体" w:cs="Times New Roman"/>
          <w:sz w:val="21"/>
          <w:szCs w:val="21"/>
        </w:rPr>
        <w:t>25</w:t>
      </w:r>
      <w:r>
        <w:rPr>
          <w:rFonts w:hint="eastAsia" w:ascii="宋体" w:hAnsi="宋体" w:eastAsia="宋体" w:cs="宋体"/>
          <w:sz w:val="21"/>
          <w:szCs w:val="21"/>
        </w:rPr>
        <w:t>元。由于应收账款不能按期收回或无法收回而发生坏账对财务报表影响较为重大，且坏账准备的计提还涉及管理层的重大估计和判断。因此，我们将应收账款的坏账准备认定为关键审计事项。</w:t>
      </w:r>
    </w:p>
    <w:p w14:paraId="5A3FF4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应收账款相关会计政策详见“三、重要会计政策及会计估计”之（十二）。</w:t>
      </w:r>
    </w:p>
    <w:p w14:paraId="76BD25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应收账款情况详见“五、合并财务报表重要项目注释”之（二）。</w:t>
      </w:r>
    </w:p>
    <w:p w14:paraId="57B24DD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default" w:ascii="Times New Roman" w:hAnsi="Times New Roman" w:eastAsia="宋体" w:cs="Times New Roman"/>
          <w:sz w:val="21"/>
          <w:szCs w:val="21"/>
        </w:rPr>
        <w:t>2</w:t>
      </w:r>
      <w:r>
        <w:rPr>
          <w:rFonts w:hint="eastAsia" w:ascii="宋体" w:hAnsi="宋体" w:eastAsia="宋体" w:cs="宋体"/>
          <w:sz w:val="21"/>
          <w:szCs w:val="21"/>
        </w:rPr>
        <w:t>.审计应对</w:t>
      </w:r>
    </w:p>
    <w:p w14:paraId="69940C6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）了解、评价并测试与应收账款管理相关的关键内部控制的设计和运行的有效性；</w:t>
      </w:r>
    </w:p>
    <w:p w14:paraId="631DEF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）分析确认应收账款坏账准备会计估计的合理性，包括确定应收账款组合的依据、预期信用损失率和单项评估的应收账款进行减值测试的判断等；</w:t>
      </w:r>
    </w:p>
    <w:p w14:paraId="5D9AEC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3</w:t>
      </w:r>
      <w:r>
        <w:rPr>
          <w:rFonts w:hint="eastAsia" w:ascii="宋体" w:hAnsi="宋体" w:eastAsia="宋体" w:cs="宋体"/>
          <w:sz w:val="21"/>
          <w:szCs w:val="21"/>
        </w:rPr>
        <w:t>）获取并检查应收账款明细表和账龄分析表、坏账准备计提表并结合应收账款函证及期后回款检查，确认应收账款坏账准备计提的合理性；</w:t>
      </w:r>
    </w:p>
    <w:p w14:paraId="59229D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4</w:t>
      </w:r>
      <w:r>
        <w:rPr>
          <w:rFonts w:hint="eastAsia" w:ascii="宋体" w:hAnsi="宋体" w:eastAsia="宋体" w:cs="宋体"/>
          <w:sz w:val="21"/>
          <w:szCs w:val="21"/>
        </w:rPr>
        <w:t>）对长期挂账的应收账款进行核查，了解应收账款形成原因，计算分析其风险敞口，核查确认应收账款坏账计提充分性；</w:t>
      </w:r>
    </w:p>
    <w:p w14:paraId="765015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5</w:t>
      </w:r>
      <w:r>
        <w:rPr>
          <w:rFonts w:hint="eastAsia" w:ascii="宋体" w:hAnsi="宋体" w:eastAsia="宋体" w:cs="宋体"/>
          <w:sz w:val="21"/>
          <w:szCs w:val="21"/>
        </w:rPr>
        <w:t>）对应收账款实施函证，并结合期后检查等程序确认资产负债表日应收账款金额的真实性和准确性。</w:t>
      </w:r>
    </w:p>
    <w:p w14:paraId="0239AC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四、其他信息</w:t>
      </w:r>
    </w:p>
    <w:p w14:paraId="3EEAF8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贵公司管理层（以下简称管理层）对其他信息负责。其他信息包括冠昊生物</w:t>
      </w:r>
      <w:r>
        <w:rPr>
          <w:rFonts w:hint="default" w:ascii="Times New Roman" w:hAnsi="Times New Roman" w:eastAsia="宋体" w:cs="Times New Roman"/>
          <w:sz w:val="21"/>
          <w:szCs w:val="21"/>
        </w:rPr>
        <w:t>2025</w:t>
      </w:r>
      <w:r>
        <w:rPr>
          <w:rFonts w:hint="eastAsia" w:ascii="宋体" w:hAnsi="宋体" w:eastAsia="宋体" w:cs="宋体"/>
          <w:sz w:val="21"/>
          <w:szCs w:val="21"/>
        </w:rPr>
        <w:t>年年度报告中涵盖的信息，但不包括财务报表和我们的审计报告。</w:t>
      </w:r>
    </w:p>
    <w:p w14:paraId="3E4C2A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我们对财务报表发表的审计意见并不涵盖其他信息，我们也不对其他信息发表任何形式的鉴证结论。</w:t>
      </w:r>
    </w:p>
    <w:p w14:paraId="01BFD1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结合我们对财务报表的审计，我们的责任是阅读其他信息，在此过程中，考虑其他信息是否与财务报表或我们在审计过程中了解到的情况存在重大不一致或者似乎存在重大错报。</w:t>
      </w:r>
    </w:p>
    <w:p w14:paraId="49E4D2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基于我们已执行的工作，如果我们确定其他信息存在重大错报，我们应当报告该事实。在这方面，我们无任何事项需要报告。</w:t>
      </w:r>
    </w:p>
    <w:p w14:paraId="3EC0D5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80"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五、管理层和治理层对财务报表的责任</w:t>
      </w:r>
    </w:p>
    <w:p w14:paraId="157225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管理层负责按照企业会计准则的规定编制财务报表，使其实现公允反映，并设计、执行和维护必要的内部控制，以使财务报表不存在由于舞弊或错误导致的重大错报。</w:t>
      </w:r>
    </w:p>
    <w:p w14:paraId="171CFF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在编制财务报表时，管理层负责评估冠昊生物的持续经营能力，披露与持续经营相关的事项（如适用），并运用持续经营假设，除非管理层计划清算冠昊生物、终止运营或别无其他现实的选择。</w:t>
      </w:r>
    </w:p>
    <w:p w14:paraId="15D4FF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治理层负责监督冠昊生物的财务报告过程。</w:t>
      </w:r>
    </w:p>
    <w:p w14:paraId="664D60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80"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六、注册会计师对财务报表审计的责任</w:t>
      </w:r>
    </w:p>
    <w:p w14:paraId="21C51B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736112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在按照审计准则执行审计工作的过程中，我们运用职业判断，并保持职业怀疑。同时，我们也执行以下工作：</w:t>
      </w:r>
    </w:p>
    <w:p w14:paraId="2F31BF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4AF8E9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（二）了解与审计相关的内部控制，以设计恰当的审计程序。</w:t>
      </w:r>
    </w:p>
    <w:p w14:paraId="5163062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（三）评价管理层选用会计政策的恰当性和作出会计估计及相关披露的合理性。</w:t>
      </w:r>
    </w:p>
    <w:p w14:paraId="7F4E84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四）对管理层使用持续经营假设的恰当性得出结论。同时，根据获取的审计证据，就可能导致对冠昊生物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冠昊生物不能持续经营。</w:t>
      </w:r>
    </w:p>
    <w:p w14:paraId="6D1FC7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（五）评价财务报表的总体列报、结构和内容，并评价财务报表是否公允反映相关交易和事项。</w:t>
      </w:r>
    </w:p>
    <w:p w14:paraId="5D62A41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（六）就冠昊生物中实体或业务活动的财务信息获取充分、恰当的审计证据，以对财务报表发表审计意见。我们负责指导、监督和执行集团审计，并对审计意见承担全部责任。</w:t>
      </w:r>
    </w:p>
    <w:p w14:paraId="2056CA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我们与治理层就计划的审计范围、时间安排和重大审计发现等事项进行沟通，包括沟通我们在审计中识别出的值得关注的内部控制缺陷。</w:t>
      </w:r>
    </w:p>
    <w:p w14:paraId="38195A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4"/>
          <w:szCs w:val="24"/>
        </w:rPr>
      </w:pPr>
      <w:r>
        <w:rPr>
          <w:rFonts w:hint="eastAsia" w:ascii="宋体" w:hAnsi="宋体" w:eastAsia="宋体" w:cs="宋体"/>
          <w:sz w:val="21"/>
          <w:szCs w:val="21"/>
        </w:rPr>
        <w:t>我们还就已遵守与独立性相关的职业道德要求向治理层提供声明，并与治理层沟通可能被合理认为影响我们独立性的所有关系和其他事项，以及相关的防范措施(如适用)。</w:t>
      </w:r>
    </w:p>
    <w:p w14:paraId="02D64A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14:paraId="122929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1"/>
          <w:szCs w:val="21"/>
        </w:rPr>
      </w:pPr>
    </w:p>
    <w:p w14:paraId="7C22A7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1"/>
          <w:szCs w:val="21"/>
        </w:rPr>
      </w:pPr>
    </w:p>
    <w:p w14:paraId="0EB58C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420" w:firstLineChars="200"/>
        <w:jc w:val="both"/>
        <w:textAlignment w:val="auto"/>
        <w:rPr>
          <w:rFonts w:hint="eastAsia" w:ascii="宋体" w:hAnsi="宋体" w:eastAsia="宋体" w:cs="宋体"/>
          <w:sz w:val="21"/>
          <w:szCs w:val="21"/>
        </w:rPr>
      </w:pPr>
    </w:p>
    <w:p w14:paraId="69688AB7">
      <w:pPr>
        <w:pStyle w:val="6"/>
        <w:keepNext w:val="0"/>
        <w:keepLines w:val="0"/>
        <w:pageBreakBefore w:val="0"/>
        <w:widowControl/>
        <w:suppressLineNumbers w:val="0"/>
        <w:kinsoku/>
        <w:overflowPunct/>
        <w:topLinePunct w:val="0"/>
        <w:autoSpaceDN/>
        <w:bidi w:val="0"/>
        <w:adjustRightInd/>
        <w:spacing w:line="240" w:lineRule="auto"/>
        <w:ind w:left="0" w:firstLine="424"/>
        <w:jc w:val="left"/>
        <w:rPr>
          <w:rFonts w:hint="eastAsia" w:ascii="宋体" w:hAnsi="宋体" w:eastAsia="宋体" w:cs="宋体"/>
          <w:sz w:val="24"/>
          <w:szCs w:val="24"/>
        </w:rPr>
      </w:pPr>
      <w:r>
        <w:rPr>
          <w:rFonts w:hint="eastAsia" w:ascii="宋体" w:hAnsi="宋体" w:eastAsia="宋体" w:cs="宋体"/>
          <w:sz w:val="18"/>
          <w:szCs w:val="18"/>
        </w:rPr>
        <w:t>大信会计师事务所（特殊普通合伙）</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中国注册会计师：黎程</w:t>
      </w:r>
    </w:p>
    <w:p w14:paraId="227ABE80">
      <w:pPr>
        <w:pStyle w:val="6"/>
        <w:keepNext w:val="0"/>
        <w:keepLines w:val="0"/>
        <w:pageBreakBefore w:val="0"/>
        <w:widowControl/>
        <w:suppressLineNumbers w:val="0"/>
        <w:kinsoku/>
        <w:overflowPunct/>
        <w:topLinePunct w:val="0"/>
        <w:autoSpaceDN/>
        <w:bidi w:val="0"/>
        <w:adjustRightInd/>
        <w:spacing w:line="240" w:lineRule="auto"/>
        <w:ind w:firstLine="5400" w:firstLineChars="3000"/>
        <w:jc w:val="left"/>
        <w:rPr>
          <w:rFonts w:hint="eastAsia" w:ascii="宋体" w:hAnsi="宋体" w:eastAsia="宋体" w:cs="宋体"/>
          <w:sz w:val="24"/>
          <w:szCs w:val="24"/>
        </w:rPr>
      </w:pPr>
      <w:r>
        <w:rPr>
          <w:rFonts w:hint="eastAsia" w:ascii="宋体" w:hAnsi="宋体" w:eastAsia="宋体" w:cs="宋体"/>
          <w:sz w:val="18"/>
          <w:szCs w:val="18"/>
        </w:rPr>
        <w:t>（项目合伙人）</w:t>
      </w:r>
    </w:p>
    <w:p w14:paraId="04292232">
      <w:pPr>
        <w:pStyle w:val="6"/>
        <w:keepNext w:val="0"/>
        <w:keepLines w:val="0"/>
        <w:pageBreakBefore w:val="0"/>
        <w:widowControl/>
        <w:suppressLineNumbers w:val="0"/>
        <w:kinsoku/>
        <w:overflowPunct/>
        <w:topLinePunct w:val="0"/>
        <w:autoSpaceDN/>
        <w:bidi w:val="0"/>
        <w:adjustRightInd/>
        <w:spacing w:line="240" w:lineRule="auto"/>
        <w:jc w:val="both"/>
        <w:rPr>
          <w:rFonts w:hint="eastAsia" w:ascii="宋体" w:hAnsi="宋体" w:eastAsia="宋体" w:cs="宋体"/>
          <w:sz w:val="24"/>
          <w:szCs w:val="24"/>
        </w:rPr>
      </w:pPr>
    </w:p>
    <w:p w14:paraId="67BCE250">
      <w:pPr>
        <w:pStyle w:val="6"/>
        <w:keepNext w:val="0"/>
        <w:keepLines w:val="0"/>
        <w:pageBreakBefore w:val="0"/>
        <w:widowControl/>
        <w:suppressLineNumbers w:val="0"/>
        <w:kinsoku/>
        <w:overflowPunct/>
        <w:topLinePunct w:val="0"/>
        <w:autoSpaceDN/>
        <w:bidi w:val="0"/>
        <w:adjustRightInd/>
        <w:spacing w:line="240" w:lineRule="auto"/>
        <w:ind w:left="842" w:firstLine="210"/>
        <w:jc w:val="both"/>
        <w:rPr>
          <w:rFonts w:hint="eastAsia" w:ascii="宋体" w:hAnsi="宋体" w:eastAsia="宋体" w:cs="宋体"/>
          <w:sz w:val="24"/>
          <w:szCs w:val="24"/>
        </w:rPr>
      </w:pPr>
      <w:r>
        <w:rPr>
          <w:rFonts w:hint="eastAsia" w:ascii="宋体" w:hAnsi="宋体" w:eastAsia="宋体" w:cs="宋体"/>
          <w:sz w:val="18"/>
          <w:szCs w:val="18"/>
        </w:rPr>
        <w:t>中国</w:t>
      </w:r>
      <w:r>
        <w:rPr>
          <w:rFonts w:hint="eastAsia" w:ascii="宋体" w:hAnsi="宋体" w:cs="宋体"/>
          <w:sz w:val="18"/>
          <w:szCs w:val="18"/>
          <w:lang w:val="en-US" w:eastAsia="zh-CN"/>
        </w:rPr>
        <w:t xml:space="preserve">  </w:t>
      </w:r>
      <w:r>
        <w:rPr>
          <w:rFonts w:hint="eastAsia" w:ascii="宋体" w:hAnsi="宋体" w:eastAsia="宋体" w:cs="宋体"/>
          <w:sz w:val="18"/>
          <w:szCs w:val="18"/>
        </w:rPr>
        <w:t>·</w:t>
      </w:r>
      <w:r>
        <w:rPr>
          <w:rFonts w:hint="eastAsia" w:ascii="宋体" w:hAnsi="宋体" w:cs="宋体"/>
          <w:sz w:val="18"/>
          <w:szCs w:val="18"/>
          <w:lang w:val="en-US" w:eastAsia="zh-CN"/>
        </w:rPr>
        <w:t xml:space="preserve">  </w:t>
      </w:r>
      <w:r>
        <w:rPr>
          <w:rFonts w:hint="eastAsia" w:ascii="宋体" w:hAnsi="宋体" w:eastAsia="宋体" w:cs="宋体"/>
          <w:sz w:val="18"/>
          <w:szCs w:val="18"/>
        </w:rPr>
        <w:t>北京</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中国注册会计师：黄颖</w:t>
      </w:r>
    </w:p>
    <w:p w14:paraId="2EE824A4">
      <w:pPr>
        <w:pStyle w:val="6"/>
        <w:keepNext w:val="0"/>
        <w:keepLines w:val="0"/>
        <w:widowControl/>
        <w:suppressLineNumbers w:val="0"/>
        <w:spacing w:line="460" w:lineRule="atLeast"/>
        <w:ind w:left="6514" w:leftChars="202" w:hanging="6090" w:hangingChars="2900"/>
        <w:jc w:val="right"/>
        <w:rPr>
          <w:rFonts w:hint="eastAsia" w:ascii="宋体" w:hAnsi="宋体" w:eastAsia="宋体" w:cs="宋体"/>
          <w:sz w:val="21"/>
          <w:szCs w:val="21"/>
        </w:rPr>
      </w:pPr>
      <w:r>
        <w:rPr>
          <w:rFonts w:hint="eastAsia" w:ascii="宋体" w:hAnsi="宋体" w:eastAsia="宋体" w:cs="宋体"/>
          <w:sz w:val="21"/>
          <w:szCs w:val="21"/>
        </w:rPr>
        <w:t>二〇二六年三月二十五日</w:t>
      </w:r>
    </w:p>
    <w:p w14:paraId="31C2E5A7">
      <w:pPr>
        <w:pStyle w:val="6"/>
        <w:keepNext w:val="0"/>
        <w:keepLines w:val="0"/>
        <w:widowControl/>
        <w:suppressLineNumbers w:val="0"/>
        <w:spacing w:line="460" w:lineRule="atLeast"/>
        <w:ind w:left="845" w:hanging="420"/>
        <w:jc w:val="both"/>
        <w:rPr>
          <w:rFonts w:hint="eastAsia" w:ascii="宋体" w:hAnsi="宋体" w:eastAsia="宋体" w:cs="宋体"/>
          <w:sz w:val="24"/>
          <w:szCs w:val="24"/>
        </w:rPr>
      </w:pPr>
      <w:r>
        <w:rPr>
          <w:rFonts w:hint="default" w:ascii="Arial Narrow" w:hAnsi="Arial Narrow" w:eastAsia="Arial Narrow" w:cs="Arial Narrow"/>
          <w:sz w:val="21"/>
          <w:szCs w:val="21"/>
        </w:rPr>
        <w:br w:type="page"/>
      </w:r>
    </w:p>
    <w:p w14:paraId="16303051">
      <w:pPr>
        <w:pStyle w:val="2"/>
        <w:keepNext/>
        <w:keepLines/>
        <w:spacing w:before="300" w:after="300" w:line="320" w:lineRule="exact"/>
        <w:jc w:val="left"/>
        <w:outlineLvl w:val="1"/>
        <w:rPr>
          <w:rFonts w:ascii="宋体" w:hAnsi="宋体" w:eastAsia="宋体" w:cs="宋体"/>
          <w:b/>
          <w:bCs/>
          <w:sz w:val="24"/>
          <w:szCs w:val="24"/>
        </w:rPr>
      </w:pPr>
      <w:bookmarkStart w:id="216" w:name="_Toc19608"/>
      <w:bookmarkStart w:id="217" w:name="_Toc989032"/>
      <w:r>
        <w:rPr>
          <w:rFonts w:ascii="宋体" w:hAnsi="宋体" w:eastAsia="宋体" w:cs="宋体"/>
          <w:b/>
          <w:bCs/>
          <w:sz w:val="24"/>
          <w:szCs w:val="24"/>
        </w:rPr>
        <w:t>二、财务报表</w:t>
      </w:r>
      <w:bookmarkEnd w:id="216"/>
      <w:bookmarkEnd w:id="217"/>
    </w:p>
    <w:p w14:paraId="08308F14">
      <w:pPr>
        <w:spacing w:before="40" w:after="40" w:line="240" w:lineRule="exact"/>
        <w:jc w:val="left"/>
        <w:rPr>
          <w:rFonts w:ascii="宋体" w:hAnsi="宋体" w:eastAsia="宋体" w:cs="宋体"/>
          <w:sz w:val="18"/>
          <w:szCs w:val="18"/>
        </w:rPr>
      </w:pPr>
      <w:r>
        <w:rPr>
          <w:rFonts w:ascii="宋体" w:hAnsi="宋体" w:eastAsia="宋体" w:cs="宋体"/>
          <w:sz w:val="18"/>
          <w:szCs w:val="18"/>
        </w:rPr>
        <w:t>财务附注中报表的单位为：元</w:t>
      </w:r>
    </w:p>
    <w:p w14:paraId="7FD17AAE">
      <w:pPr>
        <w:pStyle w:val="3"/>
        <w:keepNext/>
        <w:keepLines/>
        <w:spacing w:before="300" w:after="300" w:line="280" w:lineRule="exact"/>
        <w:jc w:val="left"/>
        <w:outlineLvl w:val="2"/>
        <w:rPr>
          <w:rFonts w:ascii="宋体" w:hAnsi="宋体" w:eastAsia="宋体" w:cs="宋体"/>
          <w:b/>
          <w:bCs/>
          <w:sz w:val="21"/>
          <w:szCs w:val="21"/>
        </w:rPr>
      </w:pPr>
      <w:bookmarkStart w:id="218" w:name="_Toc989033"/>
      <w:r>
        <w:rPr>
          <w:rFonts w:ascii="宋体" w:hAnsi="宋体" w:eastAsia="宋体" w:cs="宋体"/>
          <w:b/>
          <w:bCs/>
          <w:sz w:val="21"/>
          <w:szCs w:val="21"/>
        </w:rPr>
        <w:t>1、合并资产负债表</w:t>
      </w:r>
      <w:bookmarkEnd w:id="218"/>
    </w:p>
    <w:p w14:paraId="1C9309A4">
      <w:pPr>
        <w:spacing w:before="0" w:after="0" w:line="240" w:lineRule="exact"/>
        <w:jc w:val="left"/>
        <w:rPr>
          <w:rFonts w:ascii="宋体" w:hAnsi="宋体" w:eastAsia="宋体" w:cs="宋体"/>
          <w:sz w:val="18"/>
          <w:szCs w:val="18"/>
        </w:rPr>
      </w:pPr>
      <w:r>
        <w:rPr>
          <w:rFonts w:ascii="宋体" w:hAnsi="宋体" w:eastAsia="宋体" w:cs="宋体"/>
          <w:sz w:val="18"/>
          <w:szCs w:val="18"/>
        </w:rPr>
        <w:t>编制单位：冠昊生物科技股份有限公司</w:t>
      </w:r>
    </w:p>
    <w:p w14:paraId="3BF99BEE">
      <w:pPr>
        <w:spacing w:before="0" w:after="0" w:line="240" w:lineRule="exact"/>
        <w:jc w:val="center"/>
        <w:rPr>
          <w:rFonts w:ascii="宋体" w:hAnsi="宋体" w:eastAsia="宋体" w:cs="宋体"/>
          <w:sz w:val="18"/>
          <w:szCs w:val="18"/>
        </w:rPr>
      </w:pPr>
      <w:r>
        <w:rPr>
          <w:rFonts w:ascii="宋体" w:hAnsi="宋体" w:eastAsia="宋体" w:cs="宋体"/>
          <w:sz w:val="18"/>
          <w:szCs w:val="18"/>
        </w:rPr>
        <w:t>2025年12月31日</w:t>
      </w:r>
    </w:p>
    <w:p w14:paraId="7E8A0544">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3559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1273B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A2E2F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EF1C7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期初余额</w:t>
            </w:r>
          </w:p>
        </w:tc>
      </w:tr>
      <w:tr w14:paraId="48BAD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E076C3">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64D075">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67919B">
            <w:pPr>
              <w:rPr>
                <w:rFonts w:hint="default" w:ascii="Times New Roman" w:hAnsi="Times New Roman" w:cs="Times New Roman"/>
              </w:rPr>
            </w:pPr>
          </w:p>
        </w:tc>
      </w:tr>
      <w:tr w14:paraId="55FC4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344E54">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6ED682B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160,604,712.50</w:t>
            </w:r>
          </w:p>
        </w:tc>
        <w:tc>
          <w:tcPr>
            <w:tcW w:w="3213" w:type="dxa"/>
            <w:tcBorders>
              <w:top w:val="single" w:color="auto" w:sz="2" w:space="0"/>
              <w:left w:val="single" w:color="auto" w:sz="2" w:space="0"/>
              <w:bottom w:val="single" w:color="auto" w:sz="2" w:space="0"/>
              <w:right w:val="single" w:color="auto" w:sz="2" w:space="0"/>
            </w:tcBorders>
            <w:vAlign w:val="center"/>
          </w:tcPr>
          <w:p w14:paraId="773D249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106,780,152.15</w:t>
            </w:r>
          </w:p>
        </w:tc>
      </w:tr>
      <w:tr w14:paraId="45EA4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2D5190">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14:paraId="07A1A08E">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40CB249">
            <w:pPr>
              <w:spacing w:before="0" w:after="0" w:line="240" w:lineRule="exact"/>
              <w:jc w:val="right"/>
              <w:rPr>
                <w:rFonts w:hint="default" w:ascii="Times New Roman" w:hAnsi="Times New Roman" w:eastAsia="宋体" w:cs="Times New Roman"/>
                <w:sz w:val="18"/>
                <w:szCs w:val="18"/>
              </w:rPr>
            </w:pPr>
          </w:p>
        </w:tc>
      </w:tr>
      <w:tr w14:paraId="232F8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9EDC6D">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14:paraId="46B6E18E">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131B3AC">
            <w:pPr>
              <w:spacing w:before="0" w:after="0" w:line="240" w:lineRule="exact"/>
              <w:jc w:val="right"/>
              <w:rPr>
                <w:rFonts w:hint="default" w:ascii="Times New Roman" w:hAnsi="Times New Roman" w:eastAsia="宋体" w:cs="Times New Roman"/>
                <w:sz w:val="18"/>
                <w:szCs w:val="18"/>
              </w:rPr>
            </w:pPr>
          </w:p>
        </w:tc>
      </w:tr>
      <w:tr w14:paraId="39D47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093942">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4F61435A">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4E01643">
            <w:pPr>
              <w:spacing w:before="0" w:after="0" w:line="240" w:lineRule="exact"/>
              <w:jc w:val="right"/>
              <w:rPr>
                <w:rFonts w:hint="default" w:ascii="Times New Roman" w:hAnsi="Times New Roman" w:eastAsia="宋体" w:cs="Times New Roman"/>
                <w:sz w:val="18"/>
                <w:szCs w:val="18"/>
              </w:rPr>
            </w:pPr>
          </w:p>
        </w:tc>
      </w:tr>
      <w:tr w14:paraId="39DCF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F0F05B">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30C578EA">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F6C431E">
            <w:pPr>
              <w:spacing w:before="0" w:after="0" w:line="240" w:lineRule="exact"/>
              <w:jc w:val="right"/>
              <w:rPr>
                <w:rFonts w:hint="default" w:ascii="Times New Roman" w:hAnsi="Times New Roman" w:eastAsia="宋体" w:cs="Times New Roman"/>
                <w:sz w:val="18"/>
                <w:szCs w:val="18"/>
              </w:rPr>
            </w:pPr>
          </w:p>
        </w:tc>
      </w:tr>
      <w:tr w14:paraId="1447F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FC1F69">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14:paraId="508C8B82">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44DF4BA">
            <w:pPr>
              <w:spacing w:before="0" w:after="0" w:line="240" w:lineRule="exact"/>
              <w:jc w:val="right"/>
              <w:rPr>
                <w:rFonts w:hint="default" w:ascii="Times New Roman" w:hAnsi="Times New Roman" w:eastAsia="宋体" w:cs="Times New Roman"/>
                <w:sz w:val="18"/>
                <w:szCs w:val="18"/>
              </w:rPr>
            </w:pPr>
          </w:p>
        </w:tc>
      </w:tr>
      <w:tr w14:paraId="0BA17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FAE59E">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14:paraId="60DFBE2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52,452,503.66</w:t>
            </w:r>
          </w:p>
        </w:tc>
        <w:tc>
          <w:tcPr>
            <w:tcW w:w="3213" w:type="dxa"/>
            <w:tcBorders>
              <w:top w:val="single" w:color="auto" w:sz="2" w:space="0"/>
              <w:left w:val="single" w:color="auto" w:sz="2" w:space="0"/>
              <w:bottom w:val="single" w:color="auto" w:sz="2" w:space="0"/>
              <w:right w:val="single" w:color="auto" w:sz="2" w:space="0"/>
            </w:tcBorders>
            <w:vAlign w:val="center"/>
          </w:tcPr>
          <w:p w14:paraId="1C3EC68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59,545,736.88</w:t>
            </w:r>
          </w:p>
        </w:tc>
      </w:tr>
      <w:tr w14:paraId="6B052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DB9F40">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14:paraId="0E5188AC">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3C62568">
            <w:pPr>
              <w:spacing w:before="0" w:after="0" w:line="240" w:lineRule="exact"/>
              <w:jc w:val="right"/>
              <w:rPr>
                <w:rFonts w:hint="default" w:ascii="Times New Roman" w:hAnsi="Times New Roman" w:eastAsia="宋体" w:cs="Times New Roman"/>
                <w:sz w:val="18"/>
                <w:szCs w:val="18"/>
              </w:rPr>
            </w:pPr>
          </w:p>
        </w:tc>
      </w:tr>
      <w:tr w14:paraId="1F584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AE8C59">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14:paraId="68C2186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5,893,228.22</w:t>
            </w:r>
          </w:p>
        </w:tc>
        <w:tc>
          <w:tcPr>
            <w:tcW w:w="3213" w:type="dxa"/>
            <w:tcBorders>
              <w:top w:val="single" w:color="auto" w:sz="2" w:space="0"/>
              <w:left w:val="single" w:color="auto" w:sz="2" w:space="0"/>
              <w:bottom w:val="single" w:color="auto" w:sz="2" w:space="0"/>
              <w:right w:val="single" w:color="auto" w:sz="2" w:space="0"/>
            </w:tcBorders>
            <w:vAlign w:val="center"/>
          </w:tcPr>
          <w:p w14:paraId="6F76F7D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2,075,119.15</w:t>
            </w:r>
          </w:p>
        </w:tc>
      </w:tr>
      <w:tr w14:paraId="5507E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806EA2">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14:paraId="60291533">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CD13288">
            <w:pPr>
              <w:spacing w:before="0" w:after="0" w:line="240" w:lineRule="exact"/>
              <w:jc w:val="right"/>
              <w:rPr>
                <w:rFonts w:hint="default" w:ascii="Times New Roman" w:hAnsi="Times New Roman" w:eastAsia="宋体" w:cs="Times New Roman"/>
                <w:sz w:val="18"/>
                <w:szCs w:val="18"/>
              </w:rPr>
            </w:pPr>
          </w:p>
        </w:tc>
      </w:tr>
      <w:tr w14:paraId="5865A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B36E0B">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14:paraId="2F762B03">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169D5EF">
            <w:pPr>
              <w:spacing w:before="0" w:after="0" w:line="240" w:lineRule="exact"/>
              <w:jc w:val="right"/>
              <w:rPr>
                <w:rFonts w:hint="default" w:ascii="Times New Roman" w:hAnsi="Times New Roman" w:eastAsia="宋体" w:cs="Times New Roman"/>
                <w:sz w:val="18"/>
                <w:szCs w:val="18"/>
              </w:rPr>
            </w:pPr>
          </w:p>
        </w:tc>
      </w:tr>
      <w:tr w14:paraId="7C6D9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B24B31">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14:paraId="00C8D4D1">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203C20F">
            <w:pPr>
              <w:spacing w:before="0" w:after="0" w:line="240" w:lineRule="exact"/>
              <w:jc w:val="right"/>
              <w:rPr>
                <w:rFonts w:hint="default" w:ascii="Times New Roman" w:hAnsi="Times New Roman" w:eastAsia="宋体" w:cs="Times New Roman"/>
                <w:sz w:val="18"/>
                <w:szCs w:val="18"/>
              </w:rPr>
            </w:pPr>
          </w:p>
        </w:tc>
      </w:tr>
      <w:tr w14:paraId="11851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99B6EC">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14:paraId="46E5B3B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2,962,833.08</w:t>
            </w:r>
          </w:p>
        </w:tc>
        <w:tc>
          <w:tcPr>
            <w:tcW w:w="3213" w:type="dxa"/>
            <w:tcBorders>
              <w:top w:val="single" w:color="auto" w:sz="2" w:space="0"/>
              <w:left w:val="single" w:color="auto" w:sz="2" w:space="0"/>
              <w:bottom w:val="single" w:color="auto" w:sz="2" w:space="0"/>
              <w:right w:val="single" w:color="auto" w:sz="2" w:space="0"/>
            </w:tcBorders>
            <w:vAlign w:val="center"/>
          </w:tcPr>
          <w:p w14:paraId="5586FD3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2,205,177.66</w:t>
            </w:r>
          </w:p>
        </w:tc>
      </w:tr>
      <w:tr w14:paraId="4EE49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6F5B8F">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14:paraId="4D058EF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7769257">
            <w:pPr>
              <w:spacing w:before="0" w:after="0" w:line="240" w:lineRule="exact"/>
              <w:jc w:val="right"/>
              <w:rPr>
                <w:rFonts w:hint="default" w:ascii="Times New Roman" w:hAnsi="Times New Roman" w:eastAsia="宋体" w:cs="Times New Roman"/>
                <w:sz w:val="18"/>
                <w:szCs w:val="18"/>
              </w:rPr>
            </w:pPr>
          </w:p>
        </w:tc>
      </w:tr>
      <w:tr w14:paraId="43DD5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A08132">
            <w:pPr>
              <w:spacing w:before="40" w:after="4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14:paraId="7AEFAA67">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A8CE1F0">
            <w:pPr>
              <w:spacing w:before="0" w:after="0" w:line="240" w:lineRule="exact"/>
              <w:jc w:val="right"/>
              <w:rPr>
                <w:rFonts w:hint="default" w:ascii="Times New Roman" w:hAnsi="Times New Roman" w:eastAsia="宋体" w:cs="Times New Roman"/>
                <w:sz w:val="18"/>
                <w:szCs w:val="18"/>
              </w:rPr>
            </w:pPr>
          </w:p>
        </w:tc>
      </w:tr>
      <w:tr w14:paraId="45F0D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E45331">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1182057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28068F9">
            <w:pPr>
              <w:spacing w:before="0" w:after="0" w:line="240" w:lineRule="exact"/>
              <w:jc w:val="right"/>
              <w:rPr>
                <w:rFonts w:hint="default" w:ascii="Times New Roman" w:hAnsi="Times New Roman" w:eastAsia="宋体" w:cs="Times New Roman"/>
                <w:sz w:val="18"/>
                <w:szCs w:val="18"/>
              </w:rPr>
            </w:pPr>
          </w:p>
        </w:tc>
      </w:tr>
      <w:tr w14:paraId="4FC95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F6A7BE">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14:paraId="76C3FB4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77,707,882.85</w:t>
            </w:r>
          </w:p>
        </w:tc>
        <w:tc>
          <w:tcPr>
            <w:tcW w:w="3213" w:type="dxa"/>
            <w:tcBorders>
              <w:top w:val="single" w:color="auto" w:sz="2" w:space="0"/>
              <w:left w:val="single" w:color="auto" w:sz="2" w:space="0"/>
              <w:bottom w:val="single" w:color="auto" w:sz="2" w:space="0"/>
              <w:right w:val="single" w:color="auto" w:sz="2" w:space="0"/>
            </w:tcBorders>
            <w:vAlign w:val="center"/>
          </w:tcPr>
          <w:p w14:paraId="6FC87AE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78,459,032.60</w:t>
            </w:r>
          </w:p>
        </w:tc>
      </w:tr>
      <w:tr w14:paraId="2DBC9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91DC86">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448E9762">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99EE0E3">
            <w:pPr>
              <w:spacing w:before="0" w:after="0" w:line="240" w:lineRule="exact"/>
              <w:jc w:val="right"/>
              <w:rPr>
                <w:rFonts w:hint="default" w:ascii="Times New Roman" w:hAnsi="Times New Roman" w:eastAsia="宋体" w:cs="Times New Roman"/>
                <w:sz w:val="18"/>
                <w:szCs w:val="18"/>
              </w:rPr>
            </w:pPr>
          </w:p>
        </w:tc>
      </w:tr>
      <w:tr w14:paraId="76ABE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F8F6F4">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14:paraId="7A4D3C47">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3D331CE">
            <w:pPr>
              <w:spacing w:before="0" w:after="0" w:line="240" w:lineRule="exact"/>
              <w:jc w:val="right"/>
              <w:rPr>
                <w:rFonts w:hint="default" w:ascii="Times New Roman" w:hAnsi="Times New Roman" w:eastAsia="宋体" w:cs="Times New Roman"/>
                <w:sz w:val="18"/>
                <w:szCs w:val="18"/>
              </w:rPr>
            </w:pPr>
          </w:p>
        </w:tc>
      </w:tr>
      <w:tr w14:paraId="712A8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6D5F06">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14:paraId="744DCE52">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0201EBB">
            <w:pPr>
              <w:spacing w:before="0" w:after="0" w:line="240" w:lineRule="exact"/>
              <w:jc w:val="right"/>
              <w:rPr>
                <w:rFonts w:hint="default" w:ascii="Times New Roman" w:hAnsi="Times New Roman" w:eastAsia="宋体" w:cs="Times New Roman"/>
                <w:sz w:val="18"/>
                <w:szCs w:val="18"/>
              </w:rPr>
            </w:pPr>
          </w:p>
        </w:tc>
      </w:tr>
      <w:tr w14:paraId="4A715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4AB8CA">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496B26A5">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538A787">
            <w:pPr>
              <w:spacing w:before="0" w:after="0" w:line="240" w:lineRule="exact"/>
              <w:jc w:val="right"/>
              <w:rPr>
                <w:rFonts w:hint="default" w:ascii="Times New Roman" w:hAnsi="Times New Roman" w:eastAsia="宋体" w:cs="Times New Roman"/>
                <w:sz w:val="18"/>
                <w:szCs w:val="18"/>
              </w:rPr>
            </w:pPr>
          </w:p>
        </w:tc>
      </w:tr>
      <w:tr w14:paraId="2A3CE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4FA496">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32944FE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25,987,074.68</w:t>
            </w:r>
          </w:p>
        </w:tc>
        <w:tc>
          <w:tcPr>
            <w:tcW w:w="3213" w:type="dxa"/>
            <w:tcBorders>
              <w:top w:val="single" w:color="auto" w:sz="2" w:space="0"/>
              <w:left w:val="single" w:color="auto" w:sz="2" w:space="0"/>
              <w:bottom w:val="single" w:color="auto" w:sz="2" w:space="0"/>
              <w:right w:val="single" w:color="auto" w:sz="2" w:space="0"/>
            </w:tcBorders>
            <w:vAlign w:val="center"/>
          </w:tcPr>
          <w:p w14:paraId="19CC48B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16,724,518.68</w:t>
            </w:r>
          </w:p>
        </w:tc>
      </w:tr>
      <w:tr w14:paraId="5587B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C675B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09A4757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325,608,234.99</w:t>
            </w:r>
          </w:p>
        </w:tc>
        <w:tc>
          <w:tcPr>
            <w:tcW w:w="3213" w:type="dxa"/>
            <w:tcBorders>
              <w:top w:val="single" w:color="auto" w:sz="2" w:space="0"/>
              <w:left w:val="single" w:color="auto" w:sz="2" w:space="0"/>
              <w:bottom w:val="single" w:color="auto" w:sz="2" w:space="0"/>
              <w:right w:val="single" w:color="auto" w:sz="2" w:space="0"/>
            </w:tcBorders>
            <w:vAlign w:val="center"/>
          </w:tcPr>
          <w:p w14:paraId="6CC9BC4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265,789,737.12</w:t>
            </w:r>
          </w:p>
        </w:tc>
      </w:tr>
      <w:tr w14:paraId="7907C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94785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A70379">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FA9903">
            <w:pPr>
              <w:rPr>
                <w:rFonts w:hint="default" w:ascii="Times New Roman" w:hAnsi="Times New Roman" w:cs="Times New Roman"/>
              </w:rPr>
            </w:pPr>
          </w:p>
        </w:tc>
      </w:tr>
      <w:tr w14:paraId="0EFB3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025ADA">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14:paraId="5BE69CA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2E76A2C">
            <w:pPr>
              <w:spacing w:before="0" w:after="0" w:line="240" w:lineRule="exact"/>
              <w:jc w:val="right"/>
              <w:rPr>
                <w:rFonts w:hint="default" w:ascii="Times New Roman" w:hAnsi="Times New Roman" w:eastAsia="宋体" w:cs="Times New Roman"/>
                <w:sz w:val="18"/>
                <w:szCs w:val="18"/>
              </w:rPr>
            </w:pPr>
          </w:p>
        </w:tc>
      </w:tr>
      <w:tr w14:paraId="7C9A4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F991F1">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6C75E99B">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AB7C90F">
            <w:pPr>
              <w:spacing w:before="0" w:after="0" w:line="240" w:lineRule="exact"/>
              <w:jc w:val="right"/>
              <w:rPr>
                <w:rFonts w:hint="default" w:ascii="Times New Roman" w:hAnsi="Times New Roman" w:eastAsia="宋体" w:cs="Times New Roman"/>
                <w:sz w:val="18"/>
                <w:szCs w:val="18"/>
              </w:rPr>
            </w:pPr>
          </w:p>
        </w:tc>
      </w:tr>
      <w:tr w14:paraId="158BC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E8F7A9">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49FD18AC">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84DF1C6">
            <w:pPr>
              <w:spacing w:before="0" w:after="0" w:line="240" w:lineRule="exact"/>
              <w:jc w:val="right"/>
              <w:rPr>
                <w:rFonts w:hint="default" w:ascii="Times New Roman" w:hAnsi="Times New Roman" w:eastAsia="宋体" w:cs="Times New Roman"/>
                <w:sz w:val="18"/>
                <w:szCs w:val="18"/>
              </w:rPr>
            </w:pPr>
          </w:p>
        </w:tc>
      </w:tr>
      <w:tr w14:paraId="45C3E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78FC8F">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14:paraId="17182693">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6BAE898">
            <w:pPr>
              <w:spacing w:before="0" w:after="0" w:line="240" w:lineRule="exact"/>
              <w:jc w:val="right"/>
              <w:rPr>
                <w:rFonts w:hint="default" w:ascii="Times New Roman" w:hAnsi="Times New Roman" w:eastAsia="宋体" w:cs="Times New Roman"/>
                <w:sz w:val="18"/>
                <w:szCs w:val="18"/>
              </w:rPr>
            </w:pPr>
          </w:p>
        </w:tc>
      </w:tr>
      <w:tr w14:paraId="7295D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91546D">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14:paraId="42AF8C8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191,582.56</w:t>
            </w:r>
          </w:p>
        </w:tc>
        <w:tc>
          <w:tcPr>
            <w:tcW w:w="3213" w:type="dxa"/>
            <w:tcBorders>
              <w:top w:val="single" w:color="auto" w:sz="2" w:space="0"/>
              <w:left w:val="single" w:color="auto" w:sz="2" w:space="0"/>
              <w:bottom w:val="single" w:color="auto" w:sz="2" w:space="0"/>
              <w:right w:val="single" w:color="auto" w:sz="2" w:space="0"/>
            </w:tcBorders>
            <w:vAlign w:val="center"/>
          </w:tcPr>
          <w:p w14:paraId="2855E6F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4,489,812.53</w:t>
            </w:r>
          </w:p>
        </w:tc>
      </w:tr>
      <w:tr w14:paraId="73AA5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82C982">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14:paraId="093DCEC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15,000,000.00</w:t>
            </w:r>
          </w:p>
        </w:tc>
        <w:tc>
          <w:tcPr>
            <w:tcW w:w="3213" w:type="dxa"/>
            <w:tcBorders>
              <w:top w:val="single" w:color="auto" w:sz="2" w:space="0"/>
              <w:left w:val="single" w:color="auto" w:sz="2" w:space="0"/>
              <w:bottom w:val="single" w:color="auto" w:sz="2" w:space="0"/>
              <w:right w:val="single" w:color="auto" w:sz="2" w:space="0"/>
            </w:tcBorders>
            <w:vAlign w:val="center"/>
          </w:tcPr>
          <w:p w14:paraId="7175709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18,000,000.00</w:t>
            </w:r>
          </w:p>
        </w:tc>
      </w:tr>
      <w:tr w14:paraId="49332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FDC4C3">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7E165B0D">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3A4F382">
            <w:pPr>
              <w:spacing w:before="0" w:after="0" w:line="240" w:lineRule="exact"/>
              <w:jc w:val="right"/>
              <w:rPr>
                <w:rFonts w:hint="default" w:ascii="Times New Roman" w:hAnsi="Times New Roman" w:eastAsia="宋体" w:cs="Times New Roman"/>
                <w:sz w:val="18"/>
                <w:szCs w:val="18"/>
              </w:rPr>
            </w:pPr>
          </w:p>
        </w:tc>
      </w:tr>
      <w:tr w14:paraId="58C32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0D4937">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14:paraId="2F2C3A5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8,124,094.09</w:t>
            </w:r>
          </w:p>
        </w:tc>
        <w:tc>
          <w:tcPr>
            <w:tcW w:w="3213" w:type="dxa"/>
            <w:tcBorders>
              <w:top w:val="single" w:color="auto" w:sz="2" w:space="0"/>
              <w:left w:val="single" w:color="auto" w:sz="2" w:space="0"/>
              <w:bottom w:val="single" w:color="auto" w:sz="2" w:space="0"/>
              <w:right w:val="single" w:color="auto" w:sz="2" w:space="0"/>
            </w:tcBorders>
            <w:vAlign w:val="center"/>
          </w:tcPr>
          <w:p w14:paraId="1232A2A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8,569,230.25</w:t>
            </w:r>
          </w:p>
        </w:tc>
      </w:tr>
      <w:tr w14:paraId="63073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68B1F1">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2F6F76C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309,795,825.82</w:t>
            </w:r>
          </w:p>
        </w:tc>
        <w:tc>
          <w:tcPr>
            <w:tcW w:w="3213" w:type="dxa"/>
            <w:tcBorders>
              <w:top w:val="single" w:color="auto" w:sz="2" w:space="0"/>
              <w:left w:val="single" w:color="auto" w:sz="2" w:space="0"/>
              <w:bottom w:val="single" w:color="auto" w:sz="2" w:space="0"/>
              <w:right w:val="single" w:color="auto" w:sz="2" w:space="0"/>
            </w:tcBorders>
            <w:vAlign w:val="center"/>
          </w:tcPr>
          <w:p w14:paraId="778FAB5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319,541,816.39</w:t>
            </w:r>
          </w:p>
        </w:tc>
      </w:tr>
      <w:tr w14:paraId="2264B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8D8B7E">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14:paraId="67127A7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18,025,727.44</w:t>
            </w:r>
          </w:p>
        </w:tc>
        <w:tc>
          <w:tcPr>
            <w:tcW w:w="3213" w:type="dxa"/>
            <w:tcBorders>
              <w:top w:val="single" w:color="auto" w:sz="2" w:space="0"/>
              <w:left w:val="single" w:color="auto" w:sz="2" w:space="0"/>
              <w:bottom w:val="single" w:color="auto" w:sz="2" w:space="0"/>
              <w:right w:val="single" w:color="auto" w:sz="2" w:space="0"/>
            </w:tcBorders>
            <w:vAlign w:val="center"/>
          </w:tcPr>
          <w:p w14:paraId="37C8798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2,542,364.88</w:t>
            </w:r>
          </w:p>
        </w:tc>
      </w:tr>
      <w:tr w14:paraId="22B06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2A1490">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14:paraId="5CE8D710">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6928454">
            <w:pPr>
              <w:spacing w:before="0" w:after="0" w:line="240" w:lineRule="exact"/>
              <w:jc w:val="right"/>
              <w:rPr>
                <w:rFonts w:hint="default" w:ascii="Times New Roman" w:hAnsi="Times New Roman" w:eastAsia="宋体" w:cs="Times New Roman"/>
                <w:sz w:val="18"/>
                <w:szCs w:val="18"/>
              </w:rPr>
            </w:pPr>
          </w:p>
        </w:tc>
      </w:tr>
      <w:tr w14:paraId="69B80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E49D46">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14:paraId="46855CE7">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E935798">
            <w:pPr>
              <w:spacing w:before="0" w:after="0" w:line="240" w:lineRule="exact"/>
              <w:jc w:val="right"/>
              <w:rPr>
                <w:rFonts w:hint="default" w:ascii="Times New Roman" w:hAnsi="Times New Roman" w:eastAsia="宋体" w:cs="Times New Roman"/>
                <w:sz w:val="18"/>
                <w:szCs w:val="18"/>
              </w:rPr>
            </w:pPr>
          </w:p>
        </w:tc>
      </w:tr>
      <w:tr w14:paraId="74A7D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2FE352">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14:paraId="602276E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4,644,278.86</w:t>
            </w:r>
          </w:p>
        </w:tc>
        <w:tc>
          <w:tcPr>
            <w:tcW w:w="3213" w:type="dxa"/>
            <w:tcBorders>
              <w:top w:val="single" w:color="auto" w:sz="2" w:space="0"/>
              <w:left w:val="single" w:color="auto" w:sz="2" w:space="0"/>
              <w:bottom w:val="single" w:color="auto" w:sz="2" w:space="0"/>
              <w:right w:val="single" w:color="auto" w:sz="2" w:space="0"/>
            </w:tcBorders>
            <w:vAlign w:val="center"/>
          </w:tcPr>
          <w:p w14:paraId="146ECBB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10,383,342.13</w:t>
            </w:r>
          </w:p>
        </w:tc>
      </w:tr>
      <w:tr w14:paraId="3CBBC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DF1125">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14:paraId="638A5E9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71,813,935.51</w:t>
            </w:r>
          </w:p>
        </w:tc>
        <w:tc>
          <w:tcPr>
            <w:tcW w:w="3213" w:type="dxa"/>
            <w:tcBorders>
              <w:top w:val="single" w:color="auto" w:sz="2" w:space="0"/>
              <w:left w:val="single" w:color="auto" w:sz="2" w:space="0"/>
              <w:bottom w:val="single" w:color="auto" w:sz="2" w:space="0"/>
              <w:right w:val="single" w:color="auto" w:sz="2" w:space="0"/>
            </w:tcBorders>
            <w:vAlign w:val="center"/>
          </w:tcPr>
          <w:p w14:paraId="08B0C99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72,701,685.89</w:t>
            </w:r>
          </w:p>
        </w:tc>
      </w:tr>
      <w:tr w14:paraId="7A24E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22823E">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4C4C666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0EABD7F">
            <w:pPr>
              <w:spacing w:before="0" w:after="0" w:line="240" w:lineRule="exact"/>
              <w:jc w:val="right"/>
              <w:rPr>
                <w:rFonts w:hint="default" w:ascii="Times New Roman" w:hAnsi="Times New Roman" w:eastAsia="宋体" w:cs="Times New Roman"/>
                <w:sz w:val="18"/>
                <w:szCs w:val="18"/>
              </w:rPr>
            </w:pPr>
          </w:p>
        </w:tc>
      </w:tr>
      <w:tr w14:paraId="6B9B2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BB8D24">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14:paraId="49F1E1B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31,226,678.79</w:t>
            </w:r>
          </w:p>
        </w:tc>
        <w:tc>
          <w:tcPr>
            <w:tcW w:w="3213" w:type="dxa"/>
            <w:tcBorders>
              <w:top w:val="single" w:color="auto" w:sz="2" w:space="0"/>
              <w:left w:val="single" w:color="auto" w:sz="2" w:space="0"/>
              <w:bottom w:val="single" w:color="auto" w:sz="2" w:space="0"/>
              <w:right w:val="single" w:color="auto" w:sz="2" w:space="0"/>
            </w:tcBorders>
            <w:vAlign w:val="center"/>
          </w:tcPr>
          <w:p w14:paraId="0C8F475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26,619,457.50</w:t>
            </w:r>
          </w:p>
        </w:tc>
      </w:tr>
      <w:tr w14:paraId="69A01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FFE7A9">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555A791F">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454DD5B">
            <w:pPr>
              <w:spacing w:before="0" w:after="0" w:line="240" w:lineRule="exact"/>
              <w:jc w:val="right"/>
              <w:rPr>
                <w:rFonts w:hint="default" w:ascii="Times New Roman" w:hAnsi="Times New Roman" w:eastAsia="宋体" w:cs="Times New Roman"/>
                <w:sz w:val="18"/>
                <w:szCs w:val="18"/>
              </w:rPr>
            </w:pPr>
          </w:p>
        </w:tc>
      </w:tr>
      <w:tr w14:paraId="37B50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68871F">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14:paraId="68A567C1">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650A46C">
            <w:pPr>
              <w:spacing w:before="0" w:after="0" w:line="240" w:lineRule="exact"/>
              <w:jc w:val="right"/>
              <w:rPr>
                <w:rFonts w:hint="default" w:ascii="Times New Roman" w:hAnsi="Times New Roman" w:eastAsia="宋体" w:cs="Times New Roman"/>
                <w:sz w:val="18"/>
                <w:szCs w:val="18"/>
              </w:rPr>
            </w:pPr>
          </w:p>
        </w:tc>
      </w:tr>
      <w:tr w14:paraId="61EFD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504B06">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14:paraId="6308F7B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2,647,303.00</w:t>
            </w:r>
          </w:p>
        </w:tc>
        <w:tc>
          <w:tcPr>
            <w:tcW w:w="3213" w:type="dxa"/>
            <w:tcBorders>
              <w:top w:val="single" w:color="auto" w:sz="2" w:space="0"/>
              <w:left w:val="single" w:color="auto" w:sz="2" w:space="0"/>
              <w:bottom w:val="single" w:color="auto" w:sz="2" w:space="0"/>
              <w:right w:val="single" w:color="auto" w:sz="2" w:space="0"/>
            </w:tcBorders>
            <w:vAlign w:val="center"/>
          </w:tcPr>
          <w:p w14:paraId="57CE2AA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3,260,108.72</w:t>
            </w:r>
          </w:p>
        </w:tc>
      </w:tr>
      <w:tr w14:paraId="6FD9D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971E1A">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14:paraId="0F29207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17,659,283.93</w:t>
            </w:r>
          </w:p>
        </w:tc>
        <w:tc>
          <w:tcPr>
            <w:tcW w:w="3213" w:type="dxa"/>
            <w:tcBorders>
              <w:top w:val="single" w:color="auto" w:sz="2" w:space="0"/>
              <w:left w:val="single" w:color="auto" w:sz="2" w:space="0"/>
              <w:bottom w:val="single" w:color="auto" w:sz="2" w:space="0"/>
              <w:right w:val="single" w:color="auto" w:sz="2" w:space="0"/>
            </w:tcBorders>
            <w:vAlign w:val="center"/>
          </w:tcPr>
          <w:p w14:paraId="71C8B58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18,420,720.17</w:t>
            </w:r>
          </w:p>
        </w:tc>
      </w:tr>
      <w:tr w14:paraId="03C93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4493F1">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2A1953C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1,795,467.20</w:t>
            </w:r>
          </w:p>
        </w:tc>
        <w:tc>
          <w:tcPr>
            <w:tcW w:w="3213" w:type="dxa"/>
            <w:tcBorders>
              <w:top w:val="single" w:color="auto" w:sz="2" w:space="0"/>
              <w:left w:val="single" w:color="auto" w:sz="2" w:space="0"/>
              <w:bottom w:val="single" w:color="auto" w:sz="2" w:space="0"/>
              <w:right w:val="single" w:color="auto" w:sz="2" w:space="0"/>
            </w:tcBorders>
            <w:vAlign w:val="center"/>
          </w:tcPr>
          <w:p w14:paraId="042AF2E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4,081,555.83</w:t>
            </w:r>
          </w:p>
        </w:tc>
      </w:tr>
      <w:tr w14:paraId="16471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A003C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4E4675A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480,924,177.20</w:t>
            </w:r>
          </w:p>
        </w:tc>
        <w:tc>
          <w:tcPr>
            <w:tcW w:w="3213" w:type="dxa"/>
            <w:tcBorders>
              <w:top w:val="single" w:color="auto" w:sz="2" w:space="0"/>
              <w:left w:val="single" w:color="auto" w:sz="2" w:space="0"/>
              <w:bottom w:val="single" w:color="auto" w:sz="2" w:space="0"/>
              <w:right w:val="single" w:color="auto" w:sz="2" w:space="0"/>
            </w:tcBorders>
            <w:vAlign w:val="center"/>
          </w:tcPr>
          <w:p w14:paraId="5583F01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488,610,094.29</w:t>
            </w:r>
          </w:p>
        </w:tc>
      </w:tr>
      <w:tr w14:paraId="3B9A2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F1EE3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14:paraId="4B62A90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806,532,412.19</w:t>
            </w:r>
          </w:p>
        </w:tc>
        <w:tc>
          <w:tcPr>
            <w:tcW w:w="3213" w:type="dxa"/>
            <w:tcBorders>
              <w:top w:val="single" w:color="auto" w:sz="2" w:space="0"/>
              <w:left w:val="single" w:color="auto" w:sz="2" w:space="0"/>
              <w:bottom w:val="single" w:color="auto" w:sz="2" w:space="0"/>
              <w:right w:val="single" w:color="auto" w:sz="2" w:space="0"/>
            </w:tcBorders>
            <w:vAlign w:val="center"/>
          </w:tcPr>
          <w:p w14:paraId="278E04B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754,399,831.41</w:t>
            </w:r>
          </w:p>
        </w:tc>
      </w:tr>
      <w:tr w14:paraId="4629C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A57EA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5700CD">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A96F6F">
            <w:pPr>
              <w:rPr>
                <w:rFonts w:hint="default" w:ascii="Times New Roman" w:hAnsi="Times New Roman" w:cs="Times New Roman"/>
              </w:rPr>
            </w:pPr>
          </w:p>
        </w:tc>
      </w:tr>
      <w:tr w14:paraId="028C4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97FE5A">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14:paraId="60A1EED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15,000,390.65</w:t>
            </w:r>
          </w:p>
        </w:tc>
        <w:tc>
          <w:tcPr>
            <w:tcW w:w="3213" w:type="dxa"/>
            <w:tcBorders>
              <w:top w:val="single" w:color="auto" w:sz="2" w:space="0"/>
              <w:left w:val="single" w:color="auto" w:sz="2" w:space="0"/>
              <w:bottom w:val="single" w:color="auto" w:sz="2" w:space="0"/>
              <w:right w:val="single" w:color="auto" w:sz="2" w:space="0"/>
            </w:tcBorders>
            <w:vAlign w:val="center"/>
          </w:tcPr>
          <w:p w14:paraId="3D3A970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20,014,583.21</w:t>
            </w:r>
          </w:p>
        </w:tc>
      </w:tr>
      <w:tr w14:paraId="3328E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EBC8A8">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14:paraId="1CCD8E37">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3767744">
            <w:pPr>
              <w:spacing w:before="0" w:after="0" w:line="240" w:lineRule="exact"/>
              <w:jc w:val="right"/>
              <w:rPr>
                <w:rFonts w:hint="default" w:ascii="Times New Roman" w:hAnsi="Times New Roman" w:eastAsia="宋体" w:cs="Times New Roman"/>
                <w:sz w:val="18"/>
                <w:szCs w:val="18"/>
              </w:rPr>
            </w:pPr>
          </w:p>
        </w:tc>
      </w:tr>
      <w:tr w14:paraId="10C93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DE695F">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14:paraId="68890856">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9C5FE25">
            <w:pPr>
              <w:spacing w:before="0" w:after="0" w:line="240" w:lineRule="exact"/>
              <w:jc w:val="right"/>
              <w:rPr>
                <w:rFonts w:hint="default" w:ascii="Times New Roman" w:hAnsi="Times New Roman" w:eastAsia="宋体" w:cs="Times New Roman"/>
                <w:sz w:val="18"/>
                <w:szCs w:val="18"/>
              </w:rPr>
            </w:pPr>
          </w:p>
        </w:tc>
      </w:tr>
      <w:tr w14:paraId="37BA6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9EF07B">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2093EB4D">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79595D">
            <w:pPr>
              <w:spacing w:before="0" w:after="0" w:line="240" w:lineRule="exact"/>
              <w:jc w:val="right"/>
              <w:rPr>
                <w:rFonts w:hint="default" w:ascii="Times New Roman" w:hAnsi="Times New Roman" w:eastAsia="宋体" w:cs="Times New Roman"/>
                <w:sz w:val="18"/>
                <w:szCs w:val="18"/>
              </w:rPr>
            </w:pPr>
          </w:p>
        </w:tc>
      </w:tr>
      <w:tr w14:paraId="2AE11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5677C2">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6E39C56C">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12D6770">
            <w:pPr>
              <w:spacing w:before="0" w:after="0" w:line="240" w:lineRule="exact"/>
              <w:jc w:val="right"/>
              <w:rPr>
                <w:rFonts w:hint="default" w:ascii="Times New Roman" w:hAnsi="Times New Roman" w:eastAsia="宋体" w:cs="Times New Roman"/>
                <w:sz w:val="18"/>
                <w:szCs w:val="18"/>
              </w:rPr>
            </w:pPr>
          </w:p>
        </w:tc>
      </w:tr>
      <w:tr w14:paraId="7AEA4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AF9E45">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14:paraId="11B81B4C">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7ADD745">
            <w:pPr>
              <w:spacing w:before="0" w:after="0" w:line="240" w:lineRule="exact"/>
              <w:jc w:val="right"/>
              <w:rPr>
                <w:rFonts w:hint="default" w:ascii="Times New Roman" w:hAnsi="Times New Roman" w:eastAsia="宋体" w:cs="Times New Roman"/>
                <w:sz w:val="18"/>
                <w:szCs w:val="18"/>
              </w:rPr>
            </w:pPr>
          </w:p>
        </w:tc>
      </w:tr>
      <w:tr w14:paraId="14410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651703">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14:paraId="315B58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20,129,486.91</w:t>
            </w:r>
          </w:p>
        </w:tc>
        <w:tc>
          <w:tcPr>
            <w:tcW w:w="3213" w:type="dxa"/>
            <w:tcBorders>
              <w:top w:val="single" w:color="auto" w:sz="2" w:space="0"/>
              <w:left w:val="single" w:color="auto" w:sz="2" w:space="0"/>
              <w:bottom w:val="single" w:color="auto" w:sz="2" w:space="0"/>
              <w:right w:val="single" w:color="auto" w:sz="2" w:space="0"/>
            </w:tcBorders>
            <w:vAlign w:val="center"/>
          </w:tcPr>
          <w:p w14:paraId="015DBA6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35,649,866.21</w:t>
            </w:r>
          </w:p>
        </w:tc>
      </w:tr>
      <w:tr w14:paraId="6436E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79324B">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14:paraId="5741164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892,525.22</w:t>
            </w:r>
          </w:p>
        </w:tc>
        <w:tc>
          <w:tcPr>
            <w:tcW w:w="3213" w:type="dxa"/>
            <w:tcBorders>
              <w:top w:val="single" w:color="auto" w:sz="2" w:space="0"/>
              <w:left w:val="single" w:color="auto" w:sz="2" w:space="0"/>
              <w:bottom w:val="single" w:color="auto" w:sz="2" w:space="0"/>
              <w:right w:val="single" w:color="auto" w:sz="2" w:space="0"/>
            </w:tcBorders>
            <w:vAlign w:val="center"/>
          </w:tcPr>
          <w:p w14:paraId="36E024C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720,874.08</w:t>
            </w:r>
          </w:p>
        </w:tc>
      </w:tr>
      <w:tr w14:paraId="5F553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BAFEFA">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14:paraId="647457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31,711,176.43</w:t>
            </w:r>
          </w:p>
        </w:tc>
        <w:tc>
          <w:tcPr>
            <w:tcW w:w="3213" w:type="dxa"/>
            <w:tcBorders>
              <w:top w:val="single" w:color="auto" w:sz="2" w:space="0"/>
              <w:left w:val="single" w:color="auto" w:sz="2" w:space="0"/>
              <w:bottom w:val="single" w:color="auto" w:sz="2" w:space="0"/>
              <w:right w:val="single" w:color="auto" w:sz="2" w:space="0"/>
            </w:tcBorders>
            <w:vAlign w:val="center"/>
          </w:tcPr>
          <w:p w14:paraId="07ED7A2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28,762,770.74</w:t>
            </w:r>
          </w:p>
        </w:tc>
      </w:tr>
      <w:tr w14:paraId="27E5F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22A04A">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14:paraId="138F1A93">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8FE1B0A">
            <w:pPr>
              <w:spacing w:before="0" w:after="0" w:line="240" w:lineRule="exact"/>
              <w:jc w:val="right"/>
              <w:rPr>
                <w:rFonts w:hint="default" w:ascii="Times New Roman" w:hAnsi="Times New Roman" w:eastAsia="宋体" w:cs="Times New Roman"/>
                <w:sz w:val="18"/>
                <w:szCs w:val="18"/>
              </w:rPr>
            </w:pPr>
          </w:p>
        </w:tc>
      </w:tr>
      <w:tr w14:paraId="312A6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49DA5D">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14:paraId="11164D4E">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87F7BE9">
            <w:pPr>
              <w:spacing w:before="0" w:after="0" w:line="240" w:lineRule="exact"/>
              <w:jc w:val="right"/>
              <w:rPr>
                <w:rFonts w:hint="default" w:ascii="Times New Roman" w:hAnsi="Times New Roman" w:eastAsia="宋体" w:cs="Times New Roman"/>
                <w:sz w:val="18"/>
                <w:szCs w:val="18"/>
              </w:rPr>
            </w:pPr>
          </w:p>
        </w:tc>
      </w:tr>
      <w:tr w14:paraId="0191B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283214">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14:paraId="4C40FE33">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583AC31">
            <w:pPr>
              <w:spacing w:before="0" w:after="0" w:line="240" w:lineRule="exact"/>
              <w:jc w:val="right"/>
              <w:rPr>
                <w:rFonts w:hint="default" w:ascii="Times New Roman" w:hAnsi="Times New Roman" w:eastAsia="宋体" w:cs="Times New Roman"/>
                <w:sz w:val="18"/>
                <w:szCs w:val="18"/>
              </w:rPr>
            </w:pPr>
          </w:p>
        </w:tc>
      </w:tr>
      <w:tr w14:paraId="6A247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070CB8">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14:paraId="0BEE22CA">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520B4D7">
            <w:pPr>
              <w:spacing w:before="0" w:after="0" w:line="240" w:lineRule="exact"/>
              <w:jc w:val="right"/>
              <w:rPr>
                <w:rFonts w:hint="default" w:ascii="Times New Roman" w:hAnsi="Times New Roman" w:eastAsia="宋体" w:cs="Times New Roman"/>
                <w:sz w:val="18"/>
                <w:szCs w:val="18"/>
              </w:rPr>
            </w:pPr>
          </w:p>
        </w:tc>
      </w:tr>
      <w:tr w14:paraId="07798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5C1006">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0E37F37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20,301,964.15</w:t>
            </w:r>
          </w:p>
        </w:tc>
        <w:tc>
          <w:tcPr>
            <w:tcW w:w="3213" w:type="dxa"/>
            <w:tcBorders>
              <w:top w:val="single" w:color="auto" w:sz="2" w:space="0"/>
              <w:left w:val="single" w:color="auto" w:sz="2" w:space="0"/>
              <w:bottom w:val="single" w:color="auto" w:sz="2" w:space="0"/>
              <w:right w:val="single" w:color="auto" w:sz="2" w:space="0"/>
            </w:tcBorders>
            <w:vAlign w:val="center"/>
          </w:tcPr>
          <w:p w14:paraId="1ABDCAB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18,356,099.97</w:t>
            </w:r>
          </w:p>
        </w:tc>
      </w:tr>
      <w:tr w14:paraId="15E13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129B81">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14:paraId="37E05CC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8,988,598.68</w:t>
            </w:r>
          </w:p>
        </w:tc>
        <w:tc>
          <w:tcPr>
            <w:tcW w:w="3213" w:type="dxa"/>
            <w:tcBorders>
              <w:top w:val="single" w:color="auto" w:sz="2" w:space="0"/>
              <w:left w:val="single" w:color="auto" w:sz="2" w:space="0"/>
              <w:bottom w:val="single" w:color="auto" w:sz="2" w:space="0"/>
              <w:right w:val="single" w:color="auto" w:sz="2" w:space="0"/>
            </w:tcBorders>
            <w:vAlign w:val="center"/>
          </w:tcPr>
          <w:p w14:paraId="3C1A150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7,982,583.69</w:t>
            </w:r>
          </w:p>
        </w:tc>
      </w:tr>
      <w:tr w14:paraId="46A4A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104FA3">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14:paraId="1AF43CF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63,969,948.68</w:t>
            </w:r>
          </w:p>
        </w:tc>
        <w:tc>
          <w:tcPr>
            <w:tcW w:w="3213" w:type="dxa"/>
            <w:tcBorders>
              <w:top w:val="single" w:color="auto" w:sz="2" w:space="0"/>
              <w:left w:val="single" w:color="auto" w:sz="2" w:space="0"/>
              <w:bottom w:val="single" w:color="auto" w:sz="2" w:space="0"/>
              <w:right w:val="single" w:color="auto" w:sz="2" w:space="0"/>
            </w:tcBorders>
            <w:vAlign w:val="center"/>
          </w:tcPr>
          <w:p w14:paraId="584E091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58,625,557.85</w:t>
            </w:r>
          </w:p>
        </w:tc>
      </w:tr>
      <w:tr w14:paraId="7F2EB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B18A40">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14:paraId="42720D53">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8409E64">
            <w:pPr>
              <w:spacing w:before="0" w:after="0" w:line="240" w:lineRule="exact"/>
              <w:jc w:val="right"/>
              <w:rPr>
                <w:rFonts w:hint="default" w:ascii="Times New Roman" w:hAnsi="Times New Roman" w:eastAsia="宋体" w:cs="Times New Roman"/>
                <w:sz w:val="18"/>
                <w:szCs w:val="18"/>
              </w:rPr>
            </w:pPr>
          </w:p>
        </w:tc>
      </w:tr>
      <w:tr w14:paraId="4BB72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81D450">
            <w:pPr>
              <w:spacing w:before="40" w:after="4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14:paraId="1937133C">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80F06F1">
            <w:pPr>
              <w:spacing w:before="0" w:after="0" w:line="240" w:lineRule="exact"/>
              <w:jc w:val="right"/>
              <w:rPr>
                <w:rFonts w:hint="default" w:ascii="Times New Roman" w:hAnsi="Times New Roman" w:eastAsia="宋体" w:cs="Times New Roman"/>
                <w:sz w:val="18"/>
                <w:szCs w:val="18"/>
              </w:rPr>
            </w:pPr>
          </w:p>
        </w:tc>
      </w:tr>
      <w:tr w14:paraId="74094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2F9F67">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14:paraId="294C87F0">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443230B">
            <w:pPr>
              <w:spacing w:before="0" w:after="0" w:line="240" w:lineRule="exact"/>
              <w:jc w:val="right"/>
              <w:rPr>
                <w:rFonts w:hint="default" w:ascii="Times New Roman" w:hAnsi="Times New Roman" w:eastAsia="宋体" w:cs="Times New Roman"/>
                <w:sz w:val="18"/>
                <w:szCs w:val="18"/>
              </w:rPr>
            </w:pPr>
          </w:p>
        </w:tc>
      </w:tr>
      <w:tr w14:paraId="1B620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14B282">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14:paraId="1799E9F4">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4B87A02">
            <w:pPr>
              <w:spacing w:before="0" w:after="0" w:line="240" w:lineRule="exact"/>
              <w:jc w:val="right"/>
              <w:rPr>
                <w:rFonts w:hint="default" w:ascii="Times New Roman" w:hAnsi="Times New Roman" w:eastAsia="宋体" w:cs="Times New Roman"/>
                <w:sz w:val="18"/>
                <w:szCs w:val="18"/>
              </w:rPr>
            </w:pPr>
          </w:p>
        </w:tc>
      </w:tr>
      <w:tr w14:paraId="401AC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F2165F">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14:paraId="034CA6C4">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F5B6B51">
            <w:pPr>
              <w:spacing w:before="0" w:after="0" w:line="240" w:lineRule="exact"/>
              <w:jc w:val="right"/>
              <w:rPr>
                <w:rFonts w:hint="default" w:ascii="Times New Roman" w:hAnsi="Times New Roman" w:eastAsia="宋体" w:cs="Times New Roman"/>
                <w:sz w:val="18"/>
                <w:szCs w:val="18"/>
              </w:rPr>
            </w:pPr>
          </w:p>
        </w:tc>
      </w:tr>
      <w:tr w14:paraId="724B3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911CAE">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3FD3673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6,180,557.56</w:t>
            </w:r>
          </w:p>
        </w:tc>
        <w:tc>
          <w:tcPr>
            <w:tcW w:w="3213" w:type="dxa"/>
            <w:tcBorders>
              <w:top w:val="single" w:color="auto" w:sz="2" w:space="0"/>
              <w:left w:val="single" w:color="auto" w:sz="2" w:space="0"/>
              <w:bottom w:val="single" w:color="auto" w:sz="2" w:space="0"/>
              <w:right w:val="single" w:color="auto" w:sz="2" w:space="0"/>
            </w:tcBorders>
            <w:vAlign w:val="center"/>
          </w:tcPr>
          <w:p w14:paraId="475BBF9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5,720,129.93</w:t>
            </w:r>
          </w:p>
        </w:tc>
      </w:tr>
      <w:tr w14:paraId="3EA73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B18010">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53F275E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21,365,900.84</w:t>
            </w:r>
          </w:p>
        </w:tc>
        <w:tc>
          <w:tcPr>
            <w:tcW w:w="3213" w:type="dxa"/>
            <w:tcBorders>
              <w:top w:val="single" w:color="auto" w:sz="2" w:space="0"/>
              <w:left w:val="single" w:color="auto" w:sz="2" w:space="0"/>
              <w:bottom w:val="single" w:color="auto" w:sz="2" w:space="0"/>
              <w:right w:val="single" w:color="auto" w:sz="2" w:space="0"/>
            </w:tcBorders>
            <w:vAlign w:val="center"/>
          </w:tcPr>
          <w:p w14:paraId="044F204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2,158,496.09</w:t>
            </w:r>
          </w:p>
        </w:tc>
      </w:tr>
      <w:tr w14:paraId="40FA8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01E26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5BE469A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188,540,549.12</w:t>
            </w:r>
          </w:p>
        </w:tc>
        <w:tc>
          <w:tcPr>
            <w:tcW w:w="3213" w:type="dxa"/>
            <w:tcBorders>
              <w:top w:val="single" w:color="auto" w:sz="2" w:space="0"/>
              <w:left w:val="single" w:color="auto" w:sz="2" w:space="0"/>
              <w:bottom w:val="single" w:color="auto" w:sz="2" w:space="0"/>
              <w:right w:val="single" w:color="auto" w:sz="2" w:space="0"/>
            </w:tcBorders>
            <w:vAlign w:val="center"/>
          </w:tcPr>
          <w:p w14:paraId="71D8CD9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177,990,961.77</w:t>
            </w:r>
          </w:p>
        </w:tc>
      </w:tr>
      <w:tr w14:paraId="357CF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51090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8E0339">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BD5AD1">
            <w:pPr>
              <w:rPr>
                <w:rFonts w:hint="default" w:ascii="Times New Roman" w:hAnsi="Times New Roman" w:cs="Times New Roman"/>
              </w:rPr>
            </w:pPr>
          </w:p>
        </w:tc>
      </w:tr>
      <w:tr w14:paraId="580F7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AD833E">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14:paraId="0CE00897">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0C7CE72">
            <w:pPr>
              <w:spacing w:before="0" w:after="0" w:line="240" w:lineRule="exact"/>
              <w:jc w:val="right"/>
              <w:rPr>
                <w:rFonts w:hint="default" w:ascii="Times New Roman" w:hAnsi="Times New Roman" w:eastAsia="宋体" w:cs="Times New Roman"/>
                <w:sz w:val="18"/>
                <w:szCs w:val="18"/>
              </w:rPr>
            </w:pPr>
          </w:p>
        </w:tc>
      </w:tr>
      <w:tr w14:paraId="053E2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7EAF26">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14:paraId="22C966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103,893,230.00</w:t>
            </w:r>
          </w:p>
        </w:tc>
        <w:tc>
          <w:tcPr>
            <w:tcW w:w="3213" w:type="dxa"/>
            <w:tcBorders>
              <w:top w:val="single" w:color="auto" w:sz="2" w:space="0"/>
              <w:left w:val="single" w:color="auto" w:sz="2" w:space="0"/>
              <w:bottom w:val="single" w:color="auto" w:sz="2" w:space="0"/>
              <w:right w:val="single" w:color="auto" w:sz="2" w:space="0"/>
            </w:tcBorders>
            <w:vAlign w:val="center"/>
          </w:tcPr>
          <w:p w14:paraId="0C47727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76,000,000.00</w:t>
            </w:r>
          </w:p>
        </w:tc>
      </w:tr>
      <w:tr w14:paraId="59805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32AD00">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14:paraId="59600988">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9A65BBF">
            <w:pPr>
              <w:spacing w:before="0" w:after="0" w:line="240" w:lineRule="exact"/>
              <w:jc w:val="right"/>
              <w:rPr>
                <w:rFonts w:hint="default" w:ascii="Times New Roman" w:hAnsi="Times New Roman" w:eastAsia="宋体" w:cs="Times New Roman"/>
                <w:sz w:val="18"/>
                <w:szCs w:val="18"/>
              </w:rPr>
            </w:pPr>
          </w:p>
        </w:tc>
      </w:tr>
      <w:tr w14:paraId="42CA6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12A409">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17A09E4C">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FF409CD">
            <w:pPr>
              <w:spacing w:before="0" w:after="0" w:line="240" w:lineRule="exact"/>
              <w:jc w:val="right"/>
              <w:rPr>
                <w:rFonts w:hint="default" w:ascii="Times New Roman" w:hAnsi="Times New Roman" w:eastAsia="宋体" w:cs="Times New Roman"/>
                <w:sz w:val="18"/>
                <w:szCs w:val="18"/>
              </w:rPr>
            </w:pPr>
          </w:p>
        </w:tc>
      </w:tr>
      <w:tr w14:paraId="622C4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20CAC4">
            <w:pPr>
              <w:spacing w:before="40" w:after="4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4FE5B58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E47162D">
            <w:pPr>
              <w:spacing w:before="0" w:after="0" w:line="240" w:lineRule="exact"/>
              <w:jc w:val="right"/>
              <w:rPr>
                <w:rFonts w:hint="default" w:ascii="Times New Roman" w:hAnsi="Times New Roman" w:eastAsia="宋体" w:cs="Times New Roman"/>
                <w:sz w:val="18"/>
                <w:szCs w:val="18"/>
              </w:rPr>
            </w:pPr>
          </w:p>
        </w:tc>
      </w:tr>
      <w:tr w14:paraId="64BDE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6E5DEF">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2DC0730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1,852,983.47</w:t>
            </w:r>
          </w:p>
        </w:tc>
        <w:tc>
          <w:tcPr>
            <w:tcW w:w="3213" w:type="dxa"/>
            <w:tcBorders>
              <w:top w:val="single" w:color="auto" w:sz="2" w:space="0"/>
              <w:left w:val="single" w:color="auto" w:sz="2" w:space="0"/>
              <w:bottom w:val="single" w:color="auto" w:sz="2" w:space="0"/>
              <w:right w:val="single" w:color="auto" w:sz="2" w:space="0"/>
            </w:tcBorders>
            <w:vAlign w:val="center"/>
          </w:tcPr>
          <w:p w14:paraId="76F79A1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6,615,111.89</w:t>
            </w:r>
          </w:p>
        </w:tc>
      </w:tr>
      <w:tr w14:paraId="2F7AF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924552">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14:paraId="1F3DA24C">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2C552DB">
            <w:pPr>
              <w:spacing w:before="0" w:after="0" w:line="240" w:lineRule="exact"/>
              <w:jc w:val="right"/>
              <w:rPr>
                <w:rFonts w:hint="default" w:ascii="Times New Roman" w:hAnsi="Times New Roman" w:eastAsia="宋体" w:cs="Times New Roman"/>
                <w:sz w:val="18"/>
                <w:szCs w:val="18"/>
              </w:rPr>
            </w:pPr>
          </w:p>
        </w:tc>
      </w:tr>
      <w:tr w14:paraId="1D9CB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966E57">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70A7B55A">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9987985">
            <w:pPr>
              <w:spacing w:before="0" w:after="0" w:line="240" w:lineRule="exact"/>
              <w:jc w:val="right"/>
              <w:rPr>
                <w:rFonts w:hint="default" w:ascii="Times New Roman" w:hAnsi="Times New Roman" w:eastAsia="宋体" w:cs="Times New Roman"/>
                <w:sz w:val="18"/>
                <w:szCs w:val="18"/>
              </w:rPr>
            </w:pPr>
          </w:p>
        </w:tc>
      </w:tr>
      <w:tr w14:paraId="49943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718787">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14:paraId="0EE8243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800,000.00</w:t>
            </w:r>
          </w:p>
        </w:tc>
        <w:tc>
          <w:tcPr>
            <w:tcW w:w="3213" w:type="dxa"/>
            <w:tcBorders>
              <w:top w:val="single" w:color="auto" w:sz="2" w:space="0"/>
              <w:left w:val="single" w:color="auto" w:sz="2" w:space="0"/>
              <w:bottom w:val="single" w:color="auto" w:sz="2" w:space="0"/>
              <w:right w:val="single" w:color="auto" w:sz="2" w:space="0"/>
            </w:tcBorders>
            <w:vAlign w:val="center"/>
          </w:tcPr>
          <w:p w14:paraId="4B100DAC">
            <w:pPr>
              <w:spacing w:before="0" w:after="0" w:line="240" w:lineRule="exact"/>
              <w:jc w:val="right"/>
              <w:rPr>
                <w:rFonts w:hint="default" w:ascii="Times New Roman" w:hAnsi="Times New Roman" w:eastAsia="宋体" w:cs="Times New Roman"/>
                <w:sz w:val="18"/>
                <w:szCs w:val="18"/>
              </w:rPr>
            </w:pPr>
          </w:p>
        </w:tc>
      </w:tr>
      <w:tr w14:paraId="4B3A8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3F9519">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14:paraId="6D2A759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18,210,994.38</w:t>
            </w:r>
          </w:p>
        </w:tc>
        <w:tc>
          <w:tcPr>
            <w:tcW w:w="3213" w:type="dxa"/>
            <w:tcBorders>
              <w:top w:val="single" w:color="auto" w:sz="2" w:space="0"/>
              <w:left w:val="single" w:color="auto" w:sz="2" w:space="0"/>
              <w:bottom w:val="single" w:color="auto" w:sz="2" w:space="0"/>
              <w:right w:val="single" w:color="auto" w:sz="2" w:space="0"/>
            </w:tcBorders>
            <w:vAlign w:val="center"/>
          </w:tcPr>
          <w:p w14:paraId="62B7300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19,428,904.50</w:t>
            </w:r>
          </w:p>
        </w:tc>
      </w:tr>
      <w:tr w14:paraId="7BC82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A83B89">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14:paraId="18D45F4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5,417,728.69</w:t>
            </w:r>
          </w:p>
        </w:tc>
        <w:tc>
          <w:tcPr>
            <w:tcW w:w="3213" w:type="dxa"/>
            <w:tcBorders>
              <w:top w:val="single" w:color="auto" w:sz="2" w:space="0"/>
              <w:left w:val="single" w:color="auto" w:sz="2" w:space="0"/>
              <w:bottom w:val="single" w:color="auto" w:sz="2" w:space="0"/>
              <w:right w:val="single" w:color="auto" w:sz="2" w:space="0"/>
            </w:tcBorders>
            <w:vAlign w:val="center"/>
          </w:tcPr>
          <w:p w14:paraId="0FE0B09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6,772,950.03</w:t>
            </w:r>
          </w:p>
        </w:tc>
      </w:tr>
      <w:tr w14:paraId="5A7FA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C70133">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3F122826">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3427841">
            <w:pPr>
              <w:spacing w:before="0" w:after="0" w:line="240" w:lineRule="exact"/>
              <w:jc w:val="right"/>
              <w:rPr>
                <w:rFonts w:hint="default" w:ascii="Times New Roman" w:hAnsi="Times New Roman" w:eastAsia="宋体" w:cs="Times New Roman"/>
                <w:sz w:val="18"/>
                <w:szCs w:val="18"/>
              </w:rPr>
            </w:pPr>
          </w:p>
        </w:tc>
      </w:tr>
      <w:tr w14:paraId="53C10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CF1463">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7FE79E5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130,174,936.54</w:t>
            </w:r>
          </w:p>
        </w:tc>
        <w:tc>
          <w:tcPr>
            <w:tcW w:w="3213" w:type="dxa"/>
            <w:tcBorders>
              <w:top w:val="single" w:color="auto" w:sz="2" w:space="0"/>
              <w:left w:val="single" w:color="auto" w:sz="2" w:space="0"/>
              <w:bottom w:val="single" w:color="auto" w:sz="2" w:space="0"/>
              <w:right w:val="single" w:color="auto" w:sz="2" w:space="0"/>
            </w:tcBorders>
            <w:vAlign w:val="center"/>
          </w:tcPr>
          <w:p w14:paraId="1A7221C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108,816,966.42</w:t>
            </w:r>
          </w:p>
        </w:tc>
      </w:tr>
      <w:tr w14:paraId="2BAE6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5D5A3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04F43C1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318,715,485.66</w:t>
            </w:r>
          </w:p>
        </w:tc>
        <w:tc>
          <w:tcPr>
            <w:tcW w:w="3213" w:type="dxa"/>
            <w:tcBorders>
              <w:top w:val="single" w:color="auto" w:sz="2" w:space="0"/>
              <w:left w:val="single" w:color="auto" w:sz="2" w:space="0"/>
              <w:bottom w:val="single" w:color="auto" w:sz="2" w:space="0"/>
              <w:right w:val="single" w:color="auto" w:sz="2" w:space="0"/>
            </w:tcBorders>
            <w:vAlign w:val="center"/>
          </w:tcPr>
          <w:p w14:paraId="7337A3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286,807,928.19</w:t>
            </w:r>
          </w:p>
        </w:tc>
      </w:tr>
      <w:tr w14:paraId="4DBD9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589B4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3B80A8">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C9B528">
            <w:pPr>
              <w:rPr>
                <w:rFonts w:hint="default" w:ascii="Times New Roman" w:hAnsi="Times New Roman" w:cs="Times New Roman"/>
              </w:rPr>
            </w:pPr>
          </w:p>
        </w:tc>
      </w:tr>
      <w:tr w14:paraId="379E8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849086">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14:paraId="6F3667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c>
          <w:tcPr>
            <w:tcW w:w="3213" w:type="dxa"/>
            <w:tcBorders>
              <w:top w:val="single" w:color="auto" w:sz="2" w:space="0"/>
              <w:left w:val="single" w:color="auto" w:sz="2" w:space="0"/>
              <w:bottom w:val="single" w:color="auto" w:sz="2" w:space="0"/>
              <w:right w:val="single" w:color="auto" w:sz="2" w:space="0"/>
            </w:tcBorders>
            <w:vAlign w:val="center"/>
          </w:tcPr>
          <w:p w14:paraId="22E0C3D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r>
      <w:tr w14:paraId="233BF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30330A">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14:paraId="19BEC1FA">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3809A16">
            <w:pPr>
              <w:spacing w:before="0" w:after="0" w:line="240" w:lineRule="exact"/>
              <w:jc w:val="right"/>
              <w:rPr>
                <w:rFonts w:hint="default" w:ascii="Times New Roman" w:hAnsi="Times New Roman" w:eastAsia="宋体" w:cs="Times New Roman"/>
                <w:sz w:val="18"/>
                <w:szCs w:val="18"/>
              </w:rPr>
            </w:pPr>
          </w:p>
        </w:tc>
      </w:tr>
      <w:tr w14:paraId="5E9E2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FBA938">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6901719C">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47C2D00">
            <w:pPr>
              <w:spacing w:before="0" w:after="0" w:line="240" w:lineRule="exact"/>
              <w:jc w:val="right"/>
              <w:rPr>
                <w:rFonts w:hint="default" w:ascii="Times New Roman" w:hAnsi="Times New Roman" w:eastAsia="宋体" w:cs="Times New Roman"/>
                <w:sz w:val="18"/>
                <w:szCs w:val="18"/>
              </w:rPr>
            </w:pPr>
          </w:p>
        </w:tc>
      </w:tr>
      <w:tr w14:paraId="39831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D8DEEF">
            <w:pPr>
              <w:spacing w:before="0" w:after="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6ACA8BA4">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17CAA5E">
            <w:pPr>
              <w:spacing w:before="0" w:after="0" w:line="240" w:lineRule="exact"/>
              <w:jc w:val="right"/>
              <w:rPr>
                <w:rFonts w:hint="default" w:ascii="Times New Roman" w:hAnsi="Times New Roman" w:eastAsia="宋体" w:cs="Times New Roman"/>
                <w:sz w:val="18"/>
                <w:szCs w:val="18"/>
              </w:rPr>
            </w:pPr>
          </w:p>
        </w:tc>
      </w:tr>
      <w:tr w14:paraId="0A382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A7537E">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14:paraId="507769F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598,030,498.77</w:t>
            </w:r>
          </w:p>
        </w:tc>
        <w:tc>
          <w:tcPr>
            <w:tcW w:w="3213" w:type="dxa"/>
            <w:tcBorders>
              <w:top w:val="single" w:color="auto" w:sz="2" w:space="0"/>
              <w:left w:val="single" w:color="auto" w:sz="2" w:space="0"/>
              <w:bottom w:val="single" w:color="auto" w:sz="2" w:space="0"/>
              <w:right w:val="single" w:color="auto" w:sz="2" w:space="0"/>
            </w:tcBorders>
            <w:vAlign w:val="center"/>
          </w:tcPr>
          <w:p w14:paraId="593F2DA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594,541,559.87</w:t>
            </w:r>
          </w:p>
        </w:tc>
      </w:tr>
      <w:tr w14:paraId="0A3C9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538929">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14:paraId="157DBEB1">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10C8176">
            <w:pPr>
              <w:spacing w:before="0" w:after="0" w:line="240" w:lineRule="exact"/>
              <w:jc w:val="right"/>
              <w:rPr>
                <w:rFonts w:hint="default" w:ascii="Times New Roman" w:hAnsi="Times New Roman" w:eastAsia="宋体" w:cs="Times New Roman"/>
                <w:sz w:val="18"/>
                <w:szCs w:val="18"/>
              </w:rPr>
            </w:pPr>
          </w:p>
        </w:tc>
      </w:tr>
      <w:tr w14:paraId="69C54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223C6B">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153D8A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-46,514,103.79</w:t>
            </w:r>
          </w:p>
        </w:tc>
        <w:tc>
          <w:tcPr>
            <w:tcW w:w="3213" w:type="dxa"/>
            <w:tcBorders>
              <w:top w:val="single" w:color="auto" w:sz="2" w:space="0"/>
              <w:left w:val="single" w:color="auto" w:sz="2" w:space="0"/>
              <w:bottom w:val="single" w:color="auto" w:sz="2" w:space="0"/>
              <w:right w:val="single" w:color="auto" w:sz="2" w:space="0"/>
            </w:tcBorders>
            <w:vAlign w:val="center"/>
          </w:tcPr>
          <w:p w14:paraId="43A243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-46,388,548.35</w:t>
            </w:r>
          </w:p>
        </w:tc>
      </w:tr>
      <w:tr w14:paraId="7702F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DDAD76">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14:paraId="04473DD7">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2858BD4">
            <w:pPr>
              <w:spacing w:before="0" w:after="0" w:line="240" w:lineRule="exact"/>
              <w:jc w:val="right"/>
              <w:rPr>
                <w:rFonts w:hint="default" w:ascii="Times New Roman" w:hAnsi="Times New Roman" w:eastAsia="宋体" w:cs="Times New Roman"/>
                <w:sz w:val="18"/>
                <w:szCs w:val="18"/>
              </w:rPr>
            </w:pPr>
          </w:p>
        </w:tc>
      </w:tr>
      <w:tr w14:paraId="63AA9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0FD8B6">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14:paraId="5D7F7F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50,974,795.88</w:t>
            </w:r>
          </w:p>
        </w:tc>
        <w:tc>
          <w:tcPr>
            <w:tcW w:w="3213" w:type="dxa"/>
            <w:tcBorders>
              <w:top w:val="single" w:color="auto" w:sz="2" w:space="0"/>
              <w:left w:val="single" w:color="auto" w:sz="2" w:space="0"/>
              <w:bottom w:val="single" w:color="auto" w:sz="2" w:space="0"/>
              <w:right w:val="single" w:color="auto" w:sz="2" w:space="0"/>
            </w:tcBorders>
            <w:vAlign w:val="center"/>
          </w:tcPr>
          <w:p w14:paraId="75B9CFB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50,643,420.67</w:t>
            </w:r>
          </w:p>
        </w:tc>
      </w:tr>
      <w:tr w14:paraId="31256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B38893">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14:paraId="01AFFA13">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DC95D78">
            <w:pPr>
              <w:spacing w:before="0" w:after="0" w:line="240" w:lineRule="exact"/>
              <w:jc w:val="right"/>
              <w:rPr>
                <w:rFonts w:hint="default" w:ascii="Times New Roman" w:hAnsi="Times New Roman" w:eastAsia="宋体" w:cs="Times New Roman"/>
                <w:sz w:val="18"/>
                <w:szCs w:val="18"/>
              </w:rPr>
            </w:pPr>
          </w:p>
        </w:tc>
      </w:tr>
      <w:tr w14:paraId="58003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FDAA24">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462442D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-297,579,374.88</w:t>
            </w:r>
          </w:p>
        </w:tc>
        <w:tc>
          <w:tcPr>
            <w:tcW w:w="3213" w:type="dxa"/>
            <w:tcBorders>
              <w:top w:val="single" w:color="auto" w:sz="2" w:space="0"/>
              <w:left w:val="single" w:color="auto" w:sz="2" w:space="0"/>
              <w:bottom w:val="single" w:color="auto" w:sz="2" w:space="0"/>
              <w:right w:val="single" w:color="auto" w:sz="2" w:space="0"/>
            </w:tcBorders>
            <w:vAlign w:val="center"/>
          </w:tcPr>
          <w:p w14:paraId="34DA6D0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-321,594,027.95</w:t>
            </w:r>
          </w:p>
        </w:tc>
      </w:tr>
      <w:tr w14:paraId="41124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50BB8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2C675E5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570,067,516.98</w:t>
            </w:r>
          </w:p>
        </w:tc>
        <w:tc>
          <w:tcPr>
            <w:tcW w:w="3213" w:type="dxa"/>
            <w:tcBorders>
              <w:top w:val="single" w:color="auto" w:sz="2" w:space="0"/>
              <w:left w:val="single" w:color="auto" w:sz="2" w:space="0"/>
              <w:bottom w:val="single" w:color="auto" w:sz="2" w:space="0"/>
              <w:right w:val="single" w:color="auto" w:sz="2" w:space="0"/>
            </w:tcBorders>
            <w:vAlign w:val="center"/>
          </w:tcPr>
          <w:p w14:paraId="5A4AF0D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542,358,105.24</w:t>
            </w:r>
          </w:p>
        </w:tc>
      </w:tr>
      <w:tr w14:paraId="65658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E930C0">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14:paraId="68CC86F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-82,250,590.45</w:t>
            </w:r>
          </w:p>
        </w:tc>
        <w:tc>
          <w:tcPr>
            <w:tcW w:w="3213" w:type="dxa"/>
            <w:tcBorders>
              <w:top w:val="single" w:color="auto" w:sz="2" w:space="0"/>
              <w:left w:val="single" w:color="auto" w:sz="2" w:space="0"/>
              <w:bottom w:val="single" w:color="auto" w:sz="2" w:space="0"/>
              <w:right w:val="single" w:color="auto" w:sz="2" w:space="0"/>
            </w:tcBorders>
            <w:vAlign w:val="center"/>
          </w:tcPr>
          <w:p w14:paraId="2BBC089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-74,766,202.02</w:t>
            </w:r>
          </w:p>
        </w:tc>
      </w:tr>
      <w:tr w14:paraId="759CD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FD0B6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775C09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487,816,926.53</w:t>
            </w:r>
          </w:p>
        </w:tc>
        <w:tc>
          <w:tcPr>
            <w:tcW w:w="3213" w:type="dxa"/>
            <w:tcBorders>
              <w:top w:val="single" w:color="auto" w:sz="2" w:space="0"/>
              <w:left w:val="single" w:color="auto" w:sz="2" w:space="0"/>
              <w:bottom w:val="single" w:color="auto" w:sz="2" w:space="0"/>
              <w:right w:val="single" w:color="auto" w:sz="2" w:space="0"/>
            </w:tcBorders>
            <w:vAlign w:val="center"/>
          </w:tcPr>
          <w:p w14:paraId="364B124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467,591,903.22</w:t>
            </w:r>
          </w:p>
        </w:tc>
      </w:tr>
      <w:tr w14:paraId="1FE88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359DF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14:paraId="3C919A8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806,532,412.19</w:t>
            </w:r>
          </w:p>
        </w:tc>
        <w:tc>
          <w:tcPr>
            <w:tcW w:w="3213" w:type="dxa"/>
            <w:tcBorders>
              <w:top w:val="single" w:color="auto" w:sz="2" w:space="0"/>
              <w:left w:val="single" w:color="auto" w:sz="2" w:space="0"/>
              <w:bottom w:val="single" w:color="auto" w:sz="2" w:space="0"/>
              <w:right w:val="single" w:color="auto" w:sz="2" w:space="0"/>
            </w:tcBorders>
            <w:vAlign w:val="center"/>
          </w:tcPr>
          <w:p w14:paraId="563F27F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754,399,831.41</w:t>
            </w:r>
          </w:p>
        </w:tc>
      </w:tr>
    </w:tbl>
    <w:p w14:paraId="054C1DB2">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法定代表人：张永明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主管会计工作负责人：易若峰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会计机构负责人：易若峰</w:t>
      </w:r>
    </w:p>
    <w:p w14:paraId="122C5CF1">
      <w:pPr>
        <w:pStyle w:val="3"/>
        <w:keepNext/>
        <w:keepLines/>
        <w:spacing w:before="300" w:after="300" w:line="320" w:lineRule="exact"/>
        <w:jc w:val="left"/>
        <w:outlineLvl w:val="2"/>
        <w:rPr>
          <w:rFonts w:ascii="宋体" w:hAnsi="宋体" w:eastAsia="宋体" w:cs="宋体"/>
          <w:b/>
          <w:bCs/>
          <w:sz w:val="24"/>
          <w:szCs w:val="24"/>
        </w:rPr>
      </w:pPr>
      <w:bookmarkStart w:id="219" w:name="_Toc989034"/>
      <w:r>
        <w:rPr>
          <w:rFonts w:ascii="宋体" w:hAnsi="宋体" w:eastAsia="宋体" w:cs="宋体"/>
          <w:b/>
          <w:bCs/>
          <w:sz w:val="24"/>
          <w:szCs w:val="24"/>
        </w:rPr>
        <w:t>2、母公司资产负债表</w:t>
      </w:r>
      <w:bookmarkEnd w:id="219"/>
    </w:p>
    <w:p w14:paraId="2A365D0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E2B5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D5536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E9E0F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B7648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期初余额</w:t>
            </w:r>
          </w:p>
        </w:tc>
      </w:tr>
      <w:tr w14:paraId="15443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CAD63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D5D5E5">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180685">
            <w:pPr>
              <w:rPr>
                <w:rFonts w:hint="default" w:ascii="Times New Roman" w:hAnsi="Times New Roman" w:cs="Times New Roman"/>
              </w:rPr>
            </w:pPr>
          </w:p>
        </w:tc>
      </w:tr>
      <w:tr w14:paraId="705C0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147AF2">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0664D7B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18,112,668.44</w:t>
            </w:r>
          </w:p>
        </w:tc>
        <w:tc>
          <w:tcPr>
            <w:tcW w:w="3213" w:type="dxa"/>
            <w:tcBorders>
              <w:top w:val="single" w:color="auto" w:sz="2" w:space="0"/>
              <w:left w:val="single" w:color="auto" w:sz="2" w:space="0"/>
              <w:bottom w:val="single" w:color="auto" w:sz="2" w:space="0"/>
              <w:right w:val="single" w:color="auto" w:sz="2" w:space="0"/>
            </w:tcBorders>
            <w:vAlign w:val="center"/>
          </w:tcPr>
          <w:p w14:paraId="7C81F0C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24,457,640.96</w:t>
            </w:r>
          </w:p>
        </w:tc>
      </w:tr>
      <w:tr w14:paraId="74BFE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765492">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6192C80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81EDCB6">
            <w:pPr>
              <w:spacing w:before="0" w:after="0" w:line="240" w:lineRule="exact"/>
              <w:jc w:val="right"/>
              <w:rPr>
                <w:rFonts w:hint="default" w:ascii="Times New Roman" w:hAnsi="Times New Roman" w:eastAsia="宋体" w:cs="Times New Roman"/>
                <w:sz w:val="18"/>
                <w:szCs w:val="18"/>
              </w:rPr>
            </w:pPr>
          </w:p>
        </w:tc>
      </w:tr>
      <w:tr w14:paraId="1322C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08CDFC">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72F1ED05">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44BE27D">
            <w:pPr>
              <w:spacing w:before="0" w:after="0" w:line="240" w:lineRule="exact"/>
              <w:jc w:val="right"/>
              <w:rPr>
                <w:rFonts w:hint="default" w:ascii="Times New Roman" w:hAnsi="Times New Roman" w:eastAsia="宋体" w:cs="Times New Roman"/>
                <w:sz w:val="18"/>
                <w:szCs w:val="18"/>
              </w:rPr>
            </w:pPr>
          </w:p>
        </w:tc>
      </w:tr>
      <w:tr w14:paraId="66CE2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A5371D">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14:paraId="475E80C5">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B99ACAF">
            <w:pPr>
              <w:spacing w:before="0" w:after="0" w:line="240" w:lineRule="exact"/>
              <w:jc w:val="right"/>
              <w:rPr>
                <w:rFonts w:hint="default" w:ascii="Times New Roman" w:hAnsi="Times New Roman" w:eastAsia="宋体" w:cs="Times New Roman"/>
                <w:sz w:val="18"/>
                <w:szCs w:val="18"/>
              </w:rPr>
            </w:pPr>
          </w:p>
        </w:tc>
      </w:tr>
      <w:tr w14:paraId="3C15C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7400C4">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14:paraId="6E90724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29,040,903.52</w:t>
            </w:r>
          </w:p>
        </w:tc>
        <w:tc>
          <w:tcPr>
            <w:tcW w:w="3213" w:type="dxa"/>
            <w:tcBorders>
              <w:top w:val="single" w:color="auto" w:sz="2" w:space="0"/>
              <w:left w:val="single" w:color="auto" w:sz="2" w:space="0"/>
              <w:bottom w:val="single" w:color="auto" w:sz="2" w:space="0"/>
              <w:right w:val="single" w:color="auto" w:sz="2" w:space="0"/>
            </w:tcBorders>
            <w:vAlign w:val="center"/>
          </w:tcPr>
          <w:p w14:paraId="2FA9A95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33,384,155.13</w:t>
            </w:r>
          </w:p>
        </w:tc>
      </w:tr>
      <w:tr w14:paraId="07FF6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FF5F7B">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14:paraId="7FDC3FC3">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2E6802F">
            <w:pPr>
              <w:spacing w:before="0" w:after="0" w:line="240" w:lineRule="exact"/>
              <w:jc w:val="right"/>
              <w:rPr>
                <w:rFonts w:hint="default" w:ascii="Times New Roman" w:hAnsi="Times New Roman" w:eastAsia="宋体" w:cs="Times New Roman"/>
                <w:sz w:val="18"/>
                <w:szCs w:val="18"/>
              </w:rPr>
            </w:pPr>
          </w:p>
        </w:tc>
      </w:tr>
      <w:tr w14:paraId="258A8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652B3F">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14:paraId="7ACEC0B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8BFFB9F">
            <w:pPr>
              <w:spacing w:before="0" w:after="0" w:line="240" w:lineRule="exact"/>
              <w:jc w:val="right"/>
              <w:rPr>
                <w:rFonts w:hint="default" w:ascii="Times New Roman" w:hAnsi="Times New Roman" w:eastAsia="宋体" w:cs="Times New Roman"/>
                <w:sz w:val="18"/>
                <w:szCs w:val="18"/>
              </w:rPr>
            </w:pPr>
          </w:p>
        </w:tc>
      </w:tr>
      <w:tr w14:paraId="6CD4A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A0C0F3">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14:paraId="7C87AC6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341,060,946.66</w:t>
            </w:r>
          </w:p>
        </w:tc>
        <w:tc>
          <w:tcPr>
            <w:tcW w:w="3213" w:type="dxa"/>
            <w:tcBorders>
              <w:top w:val="single" w:color="auto" w:sz="2" w:space="0"/>
              <w:left w:val="single" w:color="auto" w:sz="2" w:space="0"/>
              <w:bottom w:val="single" w:color="auto" w:sz="2" w:space="0"/>
              <w:right w:val="single" w:color="auto" w:sz="2" w:space="0"/>
            </w:tcBorders>
            <w:vAlign w:val="center"/>
          </w:tcPr>
          <w:p w14:paraId="4B01EA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262,126,002.18</w:t>
            </w:r>
          </w:p>
        </w:tc>
      </w:tr>
      <w:tr w14:paraId="36339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9B5A41">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14:paraId="4A8BF2A4">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5FE9BFB">
            <w:pPr>
              <w:spacing w:before="0" w:after="0" w:line="240" w:lineRule="exact"/>
              <w:jc w:val="right"/>
              <w:rPr>
                <w:rFonts w:hint="default" w:ascii="Times New Roman" w:hAnsi="Times New Roman" w:eastAsia="宋体" w:cs="Times New Roman"/>
                <w:sz w:val="18"/>
                <w:szCs w:val="18"/>
              </w:rPr>
            </w:pPr>
          </w:p>
        </w:tc>
      </w:tr>
      <w:tr w14:paraId="7801F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FEDF67">
            <w:pPr>
              <w:spacing w:before="40" w:after="4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14:paraId="739A1371">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9D239BE">
            <w:pPr>
              <w:spacing w:before="0" w:after="0" w:line="240" w:lineRule="exact"/>
              <w:jc w:val="right"/>
              <w:rPr>
                <w:rFonts w:hint="default" w:ascii="Times New Roman" w:hAnsi="Times New Roman" w:eastAsia="宋体" w:cs="Times New Roman"/>
                <w:sz w:val="18"/>
                <w:szCs w:val="18"/>
              </w:rPr>
            </w:pPr>
          </w:p>
        </w:tc>
      </w:tr>
      <w:tr w14:paraId="53F4D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C09669">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14:paraId="21828DF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14,986,840.51</w:t>
            </w:r>
          </w:p>
        </w:tc>
        <w:tc>
          <w:tcPr>
            <w:tcW w:w="3213" w:type="dxa"/>
            <w:tcBorders>
              <w:top w:val="single" w:color="auto" w:sz="2" w:space="0"/>
              <w:left w:val="single" w:color="auto" w:sz="2" w:space="0"/>
              <w:bottom w:val="single" w:color="auto" w:sz="2" w:space="0"/>
              <w:right w:val="single" w:color="auto" w:sz="2" w:space="0"/>
            </w:tcBorders>
            <w:vAlign w:val="center"/>
          </w:tcPr>
          <w:p w14:paraId="7F91665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15,743,978.96</w:t>
            </w:r>
          </w:p>
        </w:tc>
      </w:tr>
      <w:tr w14:paraId="4F45D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DD6B9C">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57D220A4">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E56DB0B">
            <w:pPr>
              <w:spacing w:before="0" w:after="0" w:line="240" w:lineRule="exact"/>
              <w:jc w:val="right"/>
              <w:rPr>
                <w:rFonts w:hint="default" w:ascii="Times New Roman" w:hAnsi="Times New Roman" w:eastAsia="宋体" w:cs="Times New Roman"/>
                <w:sz w:val="18"/>
                <w:szCs w:val="18"/>
              </w:rPr>
            </w:pPr>
          </w:p>
        </w:tc>
      </w:tr>
      <w:tr w14:paraId="0D47B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058EF3">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14:paraId="41A728FA">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71CCB96">
            <w:pPr>
              <w:spacing w:before="0" w:after="0" w:line="240" w:lineRule="exact"/>
              <w:jc w:val="right"/>
              <w:rPr>
                <w:rFonts w:hint="default" w:ascii="Times New Roman" w:hAnsi="Times New Roman" w:eastAsia="宋体" w:cs="Times New Roman"/>
                <w:sz w:val="18"/>
                <w:szCs w:val="18"/>
              </w:rPr>
            </w:pPr>
          </w:p>
        </w:tc>
      </w:tr>
      <w:tr w14:paraId="494E2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69FD00">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14:paraId="0906F0B7">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2F405AC">
            <w:pPr>
              <w:spacing w:before="0" w:after="0" w:line="240" w:lineRule="exact"/>
              <w:jc w:val="right"/>
              <w:rPr>
                <w:rFonts w:hint="default" w:ascii="Times New Roman" w:hAnsi="Times New Roman" w:eastAsia="宋体" w:cs="Times New Roman"/>
                <w:sz w:val="18"/>
                <w:szCs w:val="18"/>
              </w:rPr>
            </w:pPr>
          </w:p>
        </w:tc>
      </w:tr>
      <w:tr w14:paraId="096D0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B832B5">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3AFF6D93">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5B12D4">
            <w:pPr>
              <w:spacing w:before="0" w:after="0" w:line="240" w:lineRule="exact"/>
              <w:jc w:val="right"/>
              <w:rPr>
                <w:rFonts w:hint="default" w:ascii="Times New Roman" w:hAnsi="Times New Roman" w:eastAsia="宋体" w:cs="Times New Roman"/>
                <w:sz w:val="18"/>
                <w:szCs w:val="18"/>
              </w:rPr>
            </w:pPr>
          </w:p>
        </w:tc>
      </w:tr>
      <w:tr w14:paraId="4A045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2EA7AC">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415CAE0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3,254,009.85</w:t>
            </w:r>
          </w:p>
        </w:tc>
        <w:tc>
          <w:tcPr>
            <w:tcW w:w="3213" w:type="dxa"/>
            <w:tcBorders>
              <w:top w:val="single" w:color="auto" w:sz="2" w:space="0"/>
              <w:left w:val="single" w:color="auto" w:sz="2" w:space="0"/>
              <w:bottom w:val="single" w:color="auto" w:sz="2" w:space="0"/>
              <w:right w:val="single" w:color="auto" w:sz="2" w:space="0"/>
            </w:tcBorders>
            <w:vAlign w:val="center"/>
          </w:tcPr>
          <w:p w14:paraId="323AF2A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1,050,496.21</w:t>
            </w:r>
          </w:p>
        </w:tc>
      </w:tr>
      <w:tr w14:paraId="557D2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D2F1E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53CD499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406,455,368.98</w:t>
            </w:r>
          </w:p>
        </w:tc>
        <w:tc>
          <w:tcPr>
            <w:tcW w:w="3213" w:type="dxa"/>
            <w:tcBorders>
              <w:top w:val="single" w:color="auto" w:sz="2" w:space="0"/>
              <w:left w:val="single" w:color="auto" w:sz="2" w:space="0"/>
              <w:bottom w:val="single" w:color="auto" w:sz="2" w:space="0"/>
              <w:right w:val="single" w:color="auto" w:sz="2" w:space="0"/>
            </w:tcBorders>
            <w:vAlign w:val="center"/>
          </w:tcPr>
          <w:p w14:paraId="0E2E7E3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336,762,273.44</w:t>
            </w:r>
          </w:p>
        </w:tc>
      </w:tr>
      <w:tr w14:paraId="38335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A9201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BF2DB7">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D34C17">
            <w:pPr>
              <w:rPr>
                <w:rFonts w:hint="default" w:ascii="Times New Roman" w:hAnsi="Times New Roman" w:cs="Times New Roman"/>
              </w:rPr>
            </w:pPr>
          </w:p>
        </w:tc>
      </w:tr>
      <w:tr w14:paraId="1D201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64DA5B">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1E5F3DD0">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DC5D55B">
            <w:pPr>
              <w:spacing w:before="0" w:after="0" w:line="240" w:lineRule="exact"/>
              <w:jc w:val="right"/>
              <w:rPr>
                <w:rFonts w:hint="default" w:ascii="Times New Roman" w:hAnsi="Times New Roman" w:eastAsia="宋体" w:cs="Times New Roman"/>
                <w:sz w:val="18"/>
                <w:szCs w:val="18"/>
              </w:rPr>
            </w:pPr>
          </w:p>
        </w:tc>
      </w:tr>
      <w:tr w14:paraId="1178D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B02ADA">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27240DAB">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DB0198B">
            <w:pPr>
              <w:spacing w:before="0" w:after="0" w:line="240" w:lineRule="exact"/>
              <w:jc w:val="right"/>
              <w:rPr>
                <w:rFonts w:hint="default" w:ascii="Times New Roman" w:hAnsi="Times New Roman" w:eastAsia="宋体" w:cs="Times New Roman"/>
                <w:sz w:val="18"/>
                <w:szCs w:val="18"/>
              </w:rPr>
            </w:pPr>
          </w:p>
        </w:tc>
      </w:tr>
      <w:tr w14:paraId="16045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DEA5CC">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14:paraId="1EA7415E">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D99EA22">
            <w:pPr>
              <w:spacing w:before="0" w:after="0" w:line="240" w:lineRule="exact"/>
              <w:jc w:val="right"/>
              <w:rPr>
                <w:rFonts w:hint="default" w:ascii="Times New Roman" w:hAnsi="Times New Roman" w:eastAsia="宋体" w:cs="Times New Roman"/>
                <w:sz w:val="18"/>
                <w:szCs w:val="18"/>
              </w:rPr>
            </w:pPr>
          </w:p>
        </w:tc>
      </w:tr>
      <w:tr w14:paraId="0448F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B2CA5E">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14:paraId="399DBEC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394,870,860.46</w:t>
            </w:r>
          </w:p>
        </w:tc>
        <w:tc>
          <w:tcPr>
            <w:tcW w:w="3213" w:type="dxa"/>
            <w:tcBorders>
              <w:top w:val="single" w:color="auto" w:sz="2" w:space="0"/>
              <w:left w:val="single" w:color="auto" w:sz="2" w:space="0"/>
              <w:bottom w:val="single" w:color="auto" w:sz="2" w:space="0"/>
              <w:right w:val="single" w:color="auto" w:sz="2" w:space="0"/>
            </w:tcBorders>
            <w:vAlign w:val="center"/>
          </w:tcPr>
          <w:p w14:paraId="1767901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394,870,860.46</w:t>
            </w:r>
          </w:p>
        </w:tc>
      </w:tr>
      <w:tr w14:paraId="78103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3DBD35">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14:paraId="627BA93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15,000,000.00</w:t>
            </w:r>
          </w:p>
        </w:tc>
        <w:tc>
          <w:tcPr>
            <w:tcW w:w="3213" w:type="dxa"/>
            <w:tcBorders>
              <w:top w:val="single" w:color="auto" w:sz="2" w:space="0"/>
              <w:left w:val="single" w:color="auto" w:sz="2" w:space="0"/>
              <w:bottom w:val="single" w:color="auto" w:sz="2" w:space="0"/>
              <w:right w:val="single" w:color="auto" w:sz="2" w:space="0"/>
            </w:tcBorders>
            <w:vAlign w:val="center"/>
          </w:tcPr>
          <w:p w14:paraId="0345B31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15,000,000.00</w:t>
            </w:r>
          </w:p>
        </w:tc>
      </w:tr>
      <w:tr w14:paraId="2A287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0986A7">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423CE611">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4CF004C">
            <w:pPr>
              <w:spacing w:before="0" w:after="0" w:line="240" w:lineRule="exact"/>
              <w:jc w:val="right"/>
              <w:rPr>
                <w:rFonts w:hint="default" w:ascii="Times New Roman" w:hAnsi="Times New Roman" w:eastAsia="宋体" w:cs="Times New Roman"/>
                <w:sz w:val="18"/>
                <w:szCs w:val="18"/>
              </w:rPr>
            </w:pPr>
          </w:p>
        </w:tc>
      </w:tr>
      <w:tr w14:paraId="6B3D1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63162B">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14:paraId="0036A5D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8,124,094.09</w:t>
            </w:r>
          </w:p>
        </w:tc>
        <w:tc>
          <w:tcPr>
            <w:tcW w:w="3213" w:type="dxa"/>
            <w:tcBorders>
              <w:top w:val="single" w:color="auto" w:sz="2" w:space="0"/>
              <w:left w:val="single" w:color="auto" w:sz="2" w:space="0"/>
              <w:bottom w:val="single" w:color="auto" w:sz="2" w:space="0"/>
              <w:right w:val="single" w:color="auto" w:sz="2" w:space="0"/>
            </w:tcBorders>
            <w:vAlign w:val="center"/>
          </w:tcPr>
          <w:p w14:paraId="5DA199E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8,569,230.25</w:t>
            </w:r>
          </w:p>
        </w:tc>
      </w:tr>
      <w:tr w14:paraId="3675D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45960C">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55688DD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101,075,392.57</w:t>
            </w:r>
          </w:p>
        </w:tc>
        <w:tc>
          <w:tcPr>
            <w:tcW w:w="3213" w:type="dxa"/>
            <w:tcBorders>
              <w:top w:val="single" w:color="auto" w:sz="2" w:space="0"/>
              <w:left w:val="single" w:color="auto" w:sz="2" w:space="0"/>
              <w:bottom w:val="single" w:color="auto" w:sz="2" w:space="0"/>
              <w:right w:val="single" w:color="auto" w:sz="2" w:space="0"/>
            </w:tcBorders>
            <w:vAlign w:val="center"/>
          </w:tcPr>
          <w:p w14:paraId="62C47D9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106,610,377.46</w:t>
            </w:r>
          </w:p>
        </w:tc>
      </w:tr>
      <w:tr w14:paraId="76A85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6E0142">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14:paraId="0E538DF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2,542,364.88</w:t>
            </w:r>
          </w:p>
        </w:tc>
        <w:tc>
          <w:tcPr>
            <w:tcW w:w="3213" w:type="dxa"/>
            <w:tcBorders>
              <w:top w:val="single" w:color="auto" w:sz="2" w:space="0"/>
              <w:left w:val="single" w:color="auto" w:sz="2" w:space="0"/>
              <w:bottom w:val="single" w:color="auto" w:sz="2" w:space="0"/>
              <w:right w:val="single" w:color="auto" w:sz="2" w:space="0"/>
            </w:tcBorders>
            <w:vAlign w:val="center"/>
          </w:tcPr>
          <w:p w14:paraId="262FA96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2,542,364.88</w:t>
            </w:r>
          </w:p>
        </w:tc>
      </w:tr>
      <w:tr w14:paraId="4B913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126F83">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14:paraId="74FAB7AE">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4B5CE7A">
            <w:pPr>
              <w:spacing w:before="0" w:after="0" w:line="240" w:lineRule="exact"/>
              <w:jc w:val="right"/>
              <w:rPr>
                <w:rFonts w:hint="default" w:ascii="Times New Roman" w:hAnsi="Times New Roman" w:eastAsia="宋体" w:cs="Times New Roman"/>
                <w:sz w:val="18"/>
                <w:szCs w:val="18"/>
              </w:rPr>
            </w:pPr>
          </w:p>
        </w:tc>
      </w:tr>
      <w:tr w14:paraId="4BFA6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03C241">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14:paraId="1819DE2A">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F6A3411">
            <w:pPr>
              <w:spacing w:before="0" w:after="0" w:line="240" w:lineRule="exact"/>
              <w:jc w:val="right"/>
              <w:rPr>
                <w:rFonts w:hint="default" w:ascii="Times New Roman" w:hAnsi="Times New Roman" w:eastAsia="宋体" w:cs="Times New Roman"/>
                <w:sz w:val="18"/>
                <w:szCs w:val="18"/>
              </w:rPr>
            </w:pPr>
          </w:p>
        </w:tc>
      </w:tr>
      <w:tr w14:paraId="0C8AE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4191B2">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14:paraId="085DCB8E">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9B7616A">
            <w:pPr>
              <w:spacing w:before="0" w:after="0" w:line="240" w:lineRule="exact"/>
              <w:jc w:val="right"/>
              <w:rPr>
                <w:rFonts w:hint="default" w:ascii="Times New Roman" w:hAnsi="Times New Roman" w:eastAsia="宋体" w:cs="Times New Roman"/>
                <w:sz w:val="18"/>
                <w:szCs w:val="18"/>
              </w:rPr>
            </w:pPr>
          </w:p>
        </w:tc>
      </w:tr>
      <w:tr w14:paraId="0E4A5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88BA6A">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14:paraId="798568A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12,535,204.30</w:t>
            </w:r>
          </w:p>
        </w:tc>
        <w:tc>
          <w:tcPr>
            <w:tcW w:w="3213" w:type="dxa"/>
            <w:tcBorders>
              <w:top w:val="single" w:color="auto" w:sz="2" w:space="0"/>
              <w:left w:val="single" w:color="auto" w:sz="2" w:space="0"/>
              <w:bottom w:val="single" w:color="auto" w:sz="2" w:space="0"/>
              <w:right w:val="single" w:color="auto" w:sz="2" w:space="0"/>
            </w:tcBorders>
            <w:vAlign w:val="center"/>
          </w:tcPr>
          <w:p w14:paraId="7A4AF83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13,529,052.51</w:t>
            </w:r>
          </w:p>
        </w:tc>
      </w:tr>
      <w:tr w14:paraId="5DA05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D3123A">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48EF123C">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F0C1318">
            <w:pPr>
              <w:spacing w:before="0" w:after="0" w:line="240" w:lineRule="exact"/>
              <w:jc w:val="right"/>
              <w:rPr>
                <w:rFonts w:hint="default" w:ascii="Times New Roman" w:hAnsi="Times New Roman" w:eastAsia="宋体" w:cs="Times New Roman"/>
                <w:sz w:val="18"/>
                <w:szCs w:val="18"/>
              </w:rPr>
            </w:pPr>
          </w:p>
        </w:tc>
      </w:tr>
      <w:tr w14:paraId="4B923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703D56">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14:paraId="67D42E66">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B31FB86">
            <w:pPr>
              <w:spacing w:before="0" w:after="0" w:line="240" w:lineRule="exact"/>
              <w:jc w:val="right"/>
              <w:rPr>
                <w:rFonts w:hint="default" w:ascii="Times New Roman" w:hAnsi="Times New Roman" w:eastAsia="宋体" w:cs="Times New Roman"/>
                <w:sz w:val="18"/>
                <w:szCs w:val="18"/>
              </w:rPr>
            </w:pPr>
          </w:p>
        </w:tc>
      </w:tr>
      <w:tr w14:paraId="69782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496A39">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16D775D2">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712644D">
            <w:pPr>
              <w:spacing w:before="0" w:after="0" w:line="240" w:lineRule="exact"/>
              <w:jc w:val="right"/>
              <w:rPr>
                <w:rFonts w:hint="default" w:ascii="Times New Roman" w:hAnsi="Times New Roman" w:eastAsia="宋体" w:cs="Times New Roman"/>
                <w:sz w:val="18"/>
                <w:szCs w:val="18"/>
              </w:rPr>
            </w:pPr>
          </w:p>
        </w:tc>
      </w:tr>
      <w:tr w14:paraId="732EB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A14A65">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14:paraId="4B8ED2FD">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B4E59B3">
            <w:pPr>
              <w:spacing w:before="0" w:after="0" w:line="240" w:lineRule="exact"/>
              <w:jc w:val="right"/>
              <w:rPr>
                <w:rFonts w:hint="default" w:ascii="Times New Roman" w:hAnsi="Times New Roman" w:eastAsia="宋体" w:cs="Times New Roman"/>
                <w:sz w:val="18"/>
                <w:szCs w:val="18"/>
              </w:rPr>
            </w:pPr>
          </w:p>
        </w:tc>
      </w:tr>
      <w:tr w14:paraId="22494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FF0EE4">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14:paraId="19A4E7D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1,222,850.14</w:t>
            </w:r>
          </w:p>
        </w:tc>
        <w:tc>
          <w:tcPr>
            <w:tcW w:w="3213" w:type="dxa"/>
            <w:tcBorders>
              <w:top w:val="single" w:color="auto" w:sz="2" w:space="0"/>
              <w:left w:val="single" w:color="auto" w:sz="2" w:space="0"/>
              <w:bottom w:val="single" w:color="auto" w:sz="2" w:space="0"/>
              <w:right w:val="single" w:color="auto" w:sz="2" w:space="0"/>
            </w:tcBorders>
            <w:vAlign w:val="center"/>
          </w:tcPr>
          <w:p w14:paraId="003BFD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1,789,247.73</w:t>
            </w:r>
          </w:p>
        </w:tc>
      </w:tr>
      <w:tr w14:paraId="72BCA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70DC9B">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14:paraId="11171FE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12,632,986.47</w:t>
            </w:r>
          </w:p>
        </w:tc>
        <w:tc>
          <w:tcPr>
            <w:tcW w:w="3213" w:type="dxa"/>
            <w:tcBorders>
              <w:top w:val="single" w:color="auto" w:sz="2" w:space="0"/>
              <w:left w:val="single" w:color="auto" w:sz="2" w:space="0"/>
              <w:bottom w:val="single" w:color="auto" w:sz="2" w:space="0"/>
              <w:right w:val="single" w:color="auto" w:sz="2" w:space="0"/>
            </w:tcBorders>
            <w:vAlign w:val="center"/>
          </w:tcPr>
          <w:p w14:paraId="58F4C4C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12,040,198.51</w:t>
            </w:r>
          </w:p>
        </w:tc>
      </w:tr>
      <w:tr w14:paraId="5B66E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C57AAB">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57E3BDD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BB2393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356,500.03</w:t>
            </w:r>
          </w:p>
        </w:tc>
      </w:tr>
      <w:tr w14:paraId="6AD08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67B78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35B1AC2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548,003,752.91</w:t>
            </w:r>
          </w:p>
        </w:tc>
        <w:tc>
          <w:tcPr>
            <w:tcW w:w="3213" w:type="dxa"/>
            <w:tcBorders>
              <w:top w:val="single" w:color="auto" w:sz="2" w:space="0"/>
              <w:left w:val="single" w:color="auto" w:sz="2" w:space="0"/>
              <w:bottom w:val="single" w:color="auto" w:sz="2" w:space="0"/>
              <w:right w:val="single" w:color="auto" w:sz="2" w:space="0"/>
            </w:tcBorders>
            <w:vAlign w:val="center"/>
          </w:tcPr>
          <w:p w14:paraId="6B4D28A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555,307,831.83</w:t>
            </w:r>
          </w:p>
        </w:tc>
      </w:tr>
      <w:tr w14:paraId="54703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905BC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14:paraId="464872C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954,459,121.89</w:t>
            </w:r>
          </w:p>
        </w:tc>
        <w:tc>
          <w:tcPr>
            <w:tcW w:w="3213" w:type="dxa"/>
            <w:tcBorders>
              <w:top w:val="single" w:color="auto" w:sz="2" w:space="0"/>
              <w:left w:val="single" w:color="auto" w:sz="2" w:space="0"/>
              <w:bottom w:val="single" w:color="auto" w:sz="2" w:space="0"/>
              <w:right w:val="single" w:color="auto" w:sz="2" w:space="0"/>
            </w:tcBorders>
            <w:vAlign w:val="center"/>
          </w:tcPr>
          <w:p w14:paraId="7B93949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892,070,105.27</w:t>
            </w:r>
          </w:p>
        </w:tc>
      </w:tr>
      <w:tr w14:paraId="50334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F929C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7AB81F">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26EE2D">
            <w:pPr>
              <w:rPr>
                <w:rFonts w:hint="default" w:ascii="Times New Roman" w:hAnsi="Times New Roman" w:cs="Times New Roman"/>
              </w:rPr>
            </w:pPr>
          </w:p>
        </w:tc>
      </w:tr>
      <w:tr w14:paraId="1E5F1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6590E1">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14:paraId="0DB0954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15,000,390.65</w:t>
            </w:r>
          </w:p>
        </w:tc>
        <w:tc>
          <w:tcPr>
            <w:tcW w:w="3213" w:type="dxa"/>
            <w:tcBorders>
              <w:top w:val="single" w:color="auto" w:sz="2" w:space="0"/>
              <w:left w:val="single" w:color="auto" w:sz="2" w:space="0"/>
              <w:bottom w:val="single" w:color="auto" w:sz="2" w:space="0"/>
              <w:right w:val="single" w:color="auto" w:sz="2" w:space="0"/>
            </w:tcBorders>
            <w:vAlign w:val="center"/>
          </w:tcPr>
          <w:p w14:paraId="3AE69E6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20,014,583.21</w:t>
            </w:r>
          </w:p>
        </w:tc>
      </w:tr>
      <w:tr w14:paraId="2DE66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9B8B09">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1715C722">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5B459FD">
            <w:pPr>
              <w:spacing w:before="0" w:after="0" w:line="240" w:lineRule="exact"/>
              <w:jc w:val="right"/>
              <w:rPr>
                <w:rFonts w:hint="default" w:ascii="Times New Roman" w:hAnsi="Times New Roman" w:eastAsia="宋体" w:cs="Times New Roman"/>
                <w:sz w:val="18"/>
                <w:szCs w:val="18"/>
              </w:rPr>
            </w:pPr>
          </w:p>
        </w:tc>
      </w:tr>
      <w:tr w14:paraId="2FDEA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4CC623">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489072EF">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4C3A3D4">
            <w:pPr>
              <w:spacing w:before="0" w:after="0" w:line="240" w:lineRule="exact"/>
              <w:jc w:val="right"/>
              <w:rPr>
                <w:rFonts w:hint="default" w:ascii="Times New Roman" w:hAnsi="Times New Roman" w:eastAsia="宋体" w:cs="Times New Roman"/>
                <w:sz w:val="18"/>
                <w:szCs w:val="18"/>
              </w:rPr>
            </w:pPr>
          </w:p>
        </w:tc>
      </w:tr>
      <w:tr w14:paraId="1A6FF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8E8AD4">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14:paraId="34E31642">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DAD27B6">
            <w:pPr>
              <w:spacing w:before="0" w:after="0" w:line="240" w:lineRule="exact"/>
              <w:jc w:val="right"/>
              <w:rPr>
                <w:rFonts w:hint="default" w:ascii="Times New Roman" w:hAnsi="Times New Roman" w:eastAsia="宋体" w:cs="Times New Roman"/>
                <w:sz w:val="18"/>
                <w:szCs w:val="18"/>
              </w:rPr>
            </w:pPr>
          </w:p>
        </w:tc>
      </w:tr>
      <w:tr w14:paraId="37ECB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2F6D00">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14:paraId="4BA6426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69,836.60</w:t>
            </w:r>
          </w:p>
        </w:tc>
        <w:tc>
          <w:tcPr>
            <w:tcW w:w="3213" w:type="dxa"/>
            <w:tcBorders>
              <w:top w:val="single" w:color="auto" w:sz="2" w:space="0"/>
              <w:left w:val="single" w:color="auto" w:sz="2" w:space="0"/>
              <w:bottom w:val="single" w:color="auto" w:sz="2" w:space="0"/>
              <w:right w:val="single" w:color="auto" w:sz="2" w:space="0"/>
            </w:tcBorders>
            <w:vAlign w:val="center"/>
          </w:tcPr>
          <w:p w14:paraId="23726AC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34,170.60</w:t>
            </w:r>
          </w:p>
        </w:tc>
      </w:tr>
      <w:tr w14:paraId="4CBB0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5DDB1A">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14:paraId="5A8D077D">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AC716A1">
            <w:pPr>
              <w:spacing w:before="0" w:after="0" w:line="240" w:lineRule="exact"/>
              <w:jc w:val="right"/>
              <w:rPr>
                <w:rFonts w:hint="default" w:ascii="Times New Roman" w:hAnsi="Times New Roman" w:eastAsia="宋体" w:cs="Times New Roman"/>
                <w:sz w:val="18"/>
                <w:szCs w:val="18"/>
              </w:rPr>
            </w:pPr>
          </w:p>
        </w:tc>
      </w:tr>
      <w:tr w14:paraId="52F3C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D214C6">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14:paraId="189D517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3,427,984.65</w:t>
            </w:r>
          </w:p>
        </w:tc>
        <w:tc>
          <w:tcPr>
            <w:tcW w:w="3213" w:type="dxa"/>
            <w:tcBorders>
              <w:top w:val="single" w:color="auto" w:sz="2" w:space="0"/>
              <w:left w:val="single" w:color="auto" w:sz="2" w:space="0"/>
              <w:bottom w:val="single" w:color="auto" w:sz="2" w:space="0"/>
              <w:right w:val="single" w:color="auto" w:sz="2" w:space="0"/>
            </w:tcBorders>
            <w:vAlign w:val="center"/>
          </w:tcPr>
          <w:p w14:paraId="1CB9ADA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2,796,632.62</w:t>
            </w:r>
          </w:p>
        </w:tc>
      </w:tr>
      <w:tr w14:paraId="3B042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8565E9">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0572026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6,457,179.76</w:t>
            </w:r>
          </w:p>
        </w:tc>
        <w:tc>
          <w:tcPr>
            <w:tcW w:w="3213" w:type="dxa"/>
            <w:tcBorders>
              <w:top w:val="single" w:color="auto" w:sz="2" w:space="0"/>
              <w:left w:val="single" w:color="auto" w:sz="2" w:space="0"/>
              <w:bottom w:val="single" w:color="auto" w:sz="2" w:space="0"/>
              <w:right w:val="single" w:color="auto" w:sz="2" w:space="0"/>
            </w:tcBorders>
            <w:vAlign w:val="center"/>
          </w:tcPr>
          <w:p w14:paraId="28F7F54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5,521,182.24</w:t>
            </w:r>
          </w:p>
        </w:tc>
      </w:tr>
      <w:tr w14:paraId="063CF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A5A4D1">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14:paraId="697B212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4,010,759.47</w:t>
            </w:r>
          </w:p>
        </w:tc>
        <w:tc>
          <w:tcPr>
            <w:tcW w:w="3213" w:type="dxa"/>
            <w:tcBorders>
              <w:top w:val="single" w:color="auto" w:sz="2" w:space="0"/>
              <w:left w:val="single" w:color="auto" w:sz="2" w:space="0"/>
              <w:bottom w:val="single" w:color="auto" w:sz="2" w:space="0"/>
              <w:right w:val="single" w:color="auto" w:sz="2" w:space="0"/>
            </w:tcBorders>
            <w:vAlign w:val="center"/>
          </w:tcPr>
          <w:p w14:paraId="78F57BD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4,097,876.85</w:t>
            </w:r>
          </w:p>
        </w:tc>
      </w:tr>
      <w:tr w14:paraId="4E482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382858">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14:paraId="6281076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92,646,616.49</w:t>
            </w:r>
          </w:p>
        </w:tc>
        <w:tc>
          <w:tcPr>
            <w:tcW w:w="3213" w:type="dxa"/>
            <w:tcBorders>
              <w:top w:val="single" w:color="auto" w:sz="2" w:space="0"/>
              <w:left w:val="single" w:color="auto" w:sz="2" w:space="0"/>
              <w:bottom w:val="single" w:color="auto" w:sz="2" w:space="0"/>
              <w:right w:val="single" w:color="auto" w:sz="2" w:space="0"/>
            </w:tcBorders>
            <w:vAlign w:val="center"/>
          </w:tcPr>
          <w:p w14:paraId="67C49EC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90,405,305.14</w:t>
            </w:r>
          </w:p>
        </w:tc>
      </w:tr>
      <w:tr w14:paraId="6E016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B8893A">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14:paraId="0C030841">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418A36A">
            <w:pPr>
              <w:spacing w:before="0" w:after="0" w:line="240" w:lineRule="exact"/>
              <w:jc w:val="right"/>
              <w:rPr>
                <w:rFonts w:hint="default" w:ascii="Times New Roman" w:hAnsi="Times New Roman" w:eastAsia="宋体" w:cs="Times New Roman"/>
                <w:sz w:val="18"/>
                <w:szCs w:val="18"/>
              </w:rPr>
            </w:pPr>
          </w:p>
        </w:tc>
      </w:tr>
      <w:tr w14:paraId="7FCD8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90EF35">
            <w:pPr>
              <w:spacing w:before="40" w:after="4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14:paraId="71F6850A">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E40F572">
            <w:pPr>
              <w:spacing w:before="0" w:after="0" w:line="240" w:lineRule="exact"/>
              <w:jc w:val="right"/>
              <w:rPr>
                <w:rFonts w:hint="default" w:ascii="Times New Roman" w:hAnsi="Times New Roman" w:eastAsia="宋体" w:cs="Times New Roman"/>
                <w:sz w:val="18"/>
                <w:szCs w:val="18"/>
              </w:rPr>
            </w:pPr>
          </w:p>
        </w:tc>
      </w:tr>
      <w:tr w14:paraId="10484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8EFAB6">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14:paraId="77873624">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15938F2">
            <w:pPr>
              <w:spacing w:before="0" w:after="0" w:line="240" w:lineRule="exact"/>
              <w:jc w:val="right"/>
              <w:rPr>
                <w:rFonts w:hint="default" w:ascii="Times New Roman" w:hAnsi="Times New Roman" w:eastAsia="宋体" w:cs="Times New Roman"/>
                <w:sz w:val="18"/>
                <w:szCs w:val="18"/>
              </w:rPr>
            </w:pPr>
          </w:p>
        </w:tc>
      </w:tr>
      <w:tr w14:paraId="0BC78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4D5447">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70123414">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02F1AFD">
            <w:pPr>
              <w:spacing w:before="0" w:after="0" w:line="240" w:lineRule="exact"/>
              <w:jc w:val="right"/>
              <w:rPr>
                <w:rFonts w:hint="default" w:ascii="Times New Roman" w:hAnsi="Times New Roman" w:eastAsia="宋体" w:cs="Times New Roman"/>
                <w:sz w:val="18"/>
                <w:szCs w:val="18"/>
              </w:rPr>
            </w:pPr>
          </w:p>
        </w:tc>
      </w:tr>
      <w:tr w14:paraId="7C8E2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CC9BA5">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642273B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19,985,308.64</w:t>
            </w:r>
          </w:p>
        </w:tc>
        <w:tc>
          <w:tcPr>
            <w:tcW w:w="3213" w:type="dxa"/>
            <w:tcBorders>
              <w:top w:val="single" w:color="auto" w:sz="2" w:space="0"/>
              <w:left w:val="single" w:color="auto" w:sz="2" w:space="0"/>
              <w:bottom w:val="single" w:color="auto" w:sz="2" w:space="0"/>
              <w:right w:val="single" w:color="auto" w:sz="2" w:space="0"/>
            </w:tcBorders>
            <w:vAlign w:val="center"/>
          </w:tcPr>
          <w:p w14:paraId="667D1FE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299,689.99</w:t>
            </w:r>
          </w:p>
        </w:tc>
      </w:tr>
      <w:tr w14:paraId="53547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74906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3D3D74D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141,598,076.26</w:t>
            </w:r>
          </w:p>
        </w:tc>
        <w:tc>
          <w:tcPr>
            <w:tcW w:w="3213" w:type="dxa"/>
            <w:tcBorders>
              <w:top w:val="single" w:color="auto" w:sz="2" w:space="0"/>
              <w:left w:val="single" w:color="auto" w:sz="2" w:space="0"/>
              <w:bottom w:val="single" w:color="auto" w:sz="2" w:space="0"/>
              <w:right w:val="single" w:color="auto" w:sz="2" w:space="0"/>
            </w:tcBorders>
            <w:vAlign w:val="center"/>
          </w:tcPr>
          <w:p w14:paraId="3CFA989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123,169,440.65</w:t>
            </w:r>
          </w:p>
        </w:tc>
      </w:tr>
      <w:tr w14:paraId="0FAE1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C7EE9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5B2B13">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AC4D06">
            <w:pPr>
              <w:rPr>
                <w:rFonts w:hint="default" w:ascii="Times New Roman" w:hAnsi="Times New Roman" w:cs="Times New Roman"/>
              </w:rPr>
            </w:pPr>
          </w:p>
        </w:tc>
      </w:tr>
      <w:tr w14:paraId="629F5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0C059E">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14:paraId="13E5B9E8">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466CBE4">
            <w:pPr>
              <w:spacing w:before="0" w:after="0" w:line="240" w:lineRule="exact"/>
              <w:jc w:val="right"/>
              <w:rPr>
                <w:rFonts w:hint="default" w:ascii="Times New Roman" w:hAnsi="Times New Roman" w:eastAsia="宋体" w:cs="Times New Roman"/>
                <w:sz w:val="18"/>
                <w:szCs w:val="18"/>
              </w:rPr>
            </w:pPr>
          </w:p>
        </w:tc>
      </w:tr>
      <w:tr w14:paraId="5FF06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B167EF">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14:paraId="211692CA">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48E9F92">
            <w:pPr>
              <w:spacing w:before="0" w:after="0" w:line="240" w:lineRule="exact"/>
              <w:jc w:val="right"/>
              <w:rPr>
                <w:rFonts w:hint="default" w:ascii="Times New Roman" w:hAnsi="Times New Roman" w:eastAsia="宋体" w:cs="Times New Roman"/>
                <w:sz w:val="18"/>
                <w:szCs w:val="18"/>
              </w:rPr>
            </w:pPr>
          </w:p>
        </w:tc>
      </w:tr>
      <w:tr w14:paraId="30039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775781">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24493B92">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17A1C56">
            <w:pPr>
              <w:spacing w:before="0" w:after="0" w:line="240" w:lineRule="exact"/>
              <w:jc w:val="right"/>
              <w:rPr>
                <w:rFonts w:hint="default" w:ascii="Times New Roman" w:hAnsi="Times New Roman" w:eastAsia="宋体" w:cs="Times New Roman"/>
                <w:sz w:val="18"/>
                <w:szCs w:val="18"/>
              </w:rPr>
            </w:pPr>
          </w:p>
        </w:tc>
      </w:tr>
      <w:tr w14:paraId="7988E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D3A971">
            <w:pPr>
              <w:spacing w:before="40" w:after="4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1F7E7967">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B9645E9">
            <w:pPr>
              <w:spacing w:before="0" w:after="0" w:line="240" w:lineRule="exact"/>
              <w:jc w:val="right"/>
              <w:rPr>
                <w:rFonts w:hint="default" w:ascii="Times New Roman" w:hAnsi="Times New Roman" w:eastAsia="宋体" w:cs="Times New Roman"/>
                <w:sz w:val="18"/>
                <w:szCs w:val="18"/>
              </w:rPr>
            </w:pPr>
          </w:p>
        </w:tc>
      </w:tr>
      <w:tr w14:paraId="07B54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054C6D">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72F2396B">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8C90866">
            <w:pPr>
              <w:spacing w:before="0" w:after="0" w:line="240" w:lineRule="exact"/>
              <w:jc w:val="right"/>
              <w:rPr>
                <w:rFonts w:hint="default" w:ascii="Times New Roman" w:hAnsi="Times New Roman" w:eastAsia="宋体" w:cs="Times New Roman"/>
                <w:sz w:val="18"/>
                <w:szCs w:val="18"/>
              </w:rPr>
            </w:pPr>
          </w:p>
        </w:tc>
      </w:tr>
      <w:tr w14:paraId="72A30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4DE05D">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14:paraId="2CE85B1C">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3B24F02">
            <w:pPr>
              <w:spacing w:before="0" w:after="0" w:line="240" w:lineRule="exact"/>
              <w:jc w:val="right"/>
              <w:rPr>
                <w:rFonts w:hint="default" w:ascii="Times New Roman" w:hAnsi="Times New Roman" w:eastAsia="宋体" w:cs="Times New Roman"/>
                <w:sz w:val="18"/>
                <w:szCs w:val="18"/>
              </w:rPr>
            </w:pPr>
          </w:p>
        </w:tc>
      </w:tr>
      <w:tr w14:paraId="2AF3E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97C21D">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40B9AD55">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FC60035">
            <w:pPr>
              <w:spacing w:before="0" w:after="0" w:line="240" w:lineRule="exact"/>
              <w:jc w:val="right"/>
              <w:rPr>
                <w:rFonts w:hint="default" w:ascii="Times New Roman" w:hAnsi="Times New Roman" w:eastAsia="宋体" w:cs="Times New Roman"/>
                <w:sz w:val="18"/>
                <w:szCs w:val="18"/>
              </w:rPr>
            </w:pPr>
          </w:p>
        </w:tc>
      </w:tr>
      <w:tr w14:paraId="51E5F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57A449">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14:paraId="29A624F4">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CBD47F1">
            <w:pPr>
              <w:spacing w:before="0" w:after="0" w:line="240" w:lineRule="exact"/>
              <w:jc w:val="right"/>
              <w:rPr>
                <w:rFonts w:hint="default" w:ascii="Times New Roman" w:hAnsi="Times New Roman" w:eastAsia="宋体" w:cs="Times New Roman"/>
                <w:sz w:val="18"/>
                <w:szCs w:val="18"/>
              </w:rPr>
            </w:pPr>
          </w:p>
        </w:tc>
      </w:tr>
      <w:tr w14:paraId="39CDE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F2D883">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14:paraId="2226793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18,210,994.38</w:t>
            </w:r>
          </w:p>
        </w:tc>
        <w:tc>
          <w:tcPr>
            <w:tcW w:w="3213" w:type="dxa"/>
            <w:tcBorders>
              <w:top w:val="single" w:color="auto" w:sz="2" w:space="0"/>
              <w:left w:val="single" w:color="auto" w:sz="2" w:space="0"/>
              <w:bottom w:val="single" w:color="auto" w:sz="2" w:space="0"/>
              <w:right w:val="single" w:color="auto" w:sz="2" w:space="0"/>
            </w:tcBorders>
            <w:vAlign w:val="center"/>
          </w:tcPr>
          <w:p w14:paraId="7DE80B9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19,428,904.50</w:t>
            </w:r>
          </w:p>
        </w:tc>
      </w:tr>
      <w:tr w14:paraId="58C77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953B7C">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14:paraId="2262181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166,553.95</w:t>
            </w:r>
          </w:p>
        </w:tc>
        <w:tc>
          <w:tcPr>
            <w:tcW w:w="3213" w:type="dxa"/>
            <w:tcBorders>
              <w:top w:val="single" w:color="auto" w:sz="2" w:space="0"/>
              <w:left w:val="single" w:color="auto" w:sz="2" w:space="0"/>
              <w:bottom w:val="single" w:color="auto" w:sz="2" w:space="0"/>
              <w:right w:val="single" w:color="auto" w:sz="2" w:space="0"/>
            </w:tcBorders>
            <w:vAlign w:val="center"/>
          </w:tcPr>
          <w:p w14:paraId="1627D3C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191,229.93</w:t>
            </w:r>
          </w:p>
        </w:tc>
      </w:tr>
      <w:tr w14:paraId="5B425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294E96">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7856BF9F">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9D429A8">
            <w:pPr>
              <w:spacing w:before="0" w:after="0" w:line="240" w:lineRule="exact"/>
              <w:jc w:val="right"/>
              <w:rPr>
                <w:rFonts w:hint="default" w:ascii="Times New Roman" w:hAnsi="Times New Roman" w:eastAsia="宋体" w:cs="Times New Roman"/>
                <w:sz w:val="18"/>
                <w:szCs w:val="18"/>
              </w:rPr>
            </w:pPr>
          </w:p>
        </w:tc>
      </w:tr>
      <w:tr w14:paraId="07036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A60CEC">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502A4B1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18,377,548.33</w:t>
            </w:r>
          </w:p>
        </w:tc>
        <w:tc>
          <w:tcPr>
            <w:tcW w:w="3213" w:type="dxa"/>
            <w:tcBorders>
              <w:top w:val="single" w:color="auto" w:sz="2" w:space="0"/>
              <w:left w:val="single" w:color="auto" w:sz="2" w:space="0"/>
              <w:bottom w:val="single" w:color="auto" w:sz="2" w:space="0"/>
              <w:right w:val="single" w:color="auto" w:sz="2" w:space="0"/>
            </w:tcBorders>
            <w:vAlign w:val="center"/>
          </w:tcPr>
          <w:p w14:paraId="60575C9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19,620,134.43</w:t>
            </w:r>
          </w:p>
        </w:tc>
      </w:tr>
      <w:tr w14:paraId="033C4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AD610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62DCDE7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159,975,624.59</w:t>
            </w:r>
          </w:p>
        </w:tc>
        <w:tc>
          <w:tcPr>
            <w:tcW w:w="3213" w:type="dxa"/>
            <w:tcBorders>
              <w:top w:val="single" w:color="auto" w:sz="2" w:space="0"/>
              <w:left w:val="single" w:color="auto" w:sz="2" w:space="0"/>
              <w:bottom w:val="single" w:color="auto" w:sz="2" w:space="0"/>
              <w:right w:val="single" w:color="auto" w:sz="2" w:space="0"/>
            </w:tcBorders>
            <w:vAlign w:val="center"/>
          </w:tcPr>
          <w:p w14:paraId="3BB2819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142,789,575.08</w:t>
            </w:r>
          </w:p>
        </w:tc>
      </w:tr>
      <w:tr w14:paraId="6C5BF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41409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937C3A">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42C96F">
            <w:pPr>
              <w:rPr>
                <w:rFonts w:hint="default" w:ascii="Times New Roman" w:hAnsi="Times New Roman" w:cs="Times New Roman"/>
              </w:rPr>
            </w:pPr>
          </w:p>
        </w:tc>
      </w:tr>
      <w:tr w14:paraId="299FD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A4DC21">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14:paraId="07C37AA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c>
          <w:tcPr>
            <w:tcW w:w="3213" w:type="dxa"/>
            <w:tcBorders>
              <w:top w:val="single" w:color="auto" w:sz="2" w:space="0"/>
              <w:left w:val="single" w:color="auto" w:sz="2" w:space="0"/>
              <w:bottom w:val="single" w:color="auto" w:sz="2" w:space="0"/>
              <w:right w:val="single" w:color="auto" w:sz="2" w:space="0"/>
            </w:tcBorders>
            <w:vAlign w:val="center"/>
          </w:tcPr>
          <w:p w14:paraId="5DC046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r>
      <w:tr w14:paraId="0FB4B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A5023E">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14:paraId="22B07C24">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E49AF73">
            <w:pPr>
              <w:spacing w:before="0" w:after="0" w:line="240" w:lineRule="exact"/>
              <w:jc w:val="right"/>
              <w:rPr>
                <w:rFonts w:hint="default" w:ascii="Times New Roman" w:hAnsi="Times New Roman" w:eastAsia="宋体" w:cs="Times New Roman"/>
                <w:sz w:val="18"/>
                <w:szCs w:val="18"/>
              </w:rPr>
            </w:pPr>
          </w:p>
        </w:tc>
      </w:tr>
      <w:tr w14:paraId="602EE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B98ED0">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62E80CD3">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295364E">
            <w:pPr>
              <w:spacing w:before="0" w:after="0" w:line="240" w:lineRule="exact"/>
              <w:jc w:val="right"/>
              <w:rPr>
                <w:rFonts w:hint="default" w:ascii="Times New Roman" w:hAnsi="Times New Roman" w:eastAsia="宋体" w:cs="Times New Roman"/>
                <w:sz w:val="18"/>
                <w:szCs w:val="18"/>
              </w:rPr>
            </w:pPr>
          </w:p>
        </w:tc>
      </w:tr>
      <w:tr w14:paraId="3645D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854DC0">
            <w:pPr>
              <w:spacing w:before="0" w:after="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38B959ED">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56F1204">
            <w:pPr>
              <w:spacing w:before="0" w:after="0" w:line="240" w:lineRule="exact"/>
              <w:jc w:val="right"/>
              <w:rPr>
                <w:rFonts w:hint="default" w:ascii="Times New Roman" w:hAnsi="Times New Roman" w:eastAsia="宋体" w:cs="Times New Roman"/>
                <w:sz w:val="18"/>
                <w:szCs w:val="18"/>
              </w:rPr>
            </w:pPr>
          </w:p>
        </w:tc>
      </w:tr>
      <w:tr w14:paraId="7E22C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764338">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14:paraId="02FD81C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517,060,773.29</w:t>
            </w:r>
          </w:p>
        </w:tc>
        <w:tc>
          <w:tcPr>
            <w:tcW w:w="3213" w:type="dxa"/>
            <w:tcBorders>
              <w:top w:val="single" w:color="auto" w:sz="2" w:space="0"/>
              <w:left w:val="single" w:color="auto" w:sz="2" w:space="0"/>
              <w:bottom w:val="single" w:color="auto" w:sz="2" w:space="0"/>
              <w:right w:val="single" w:color="auto" w:sz="2" w:space="0"/>
            </w:tcBorders>
            <w:vAlign w:val="center"/>
          </w:tcPr>
          <w:p w14:paraId="3E0E0D8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517,060,773.29</w:t>
            </w:r>
          </w:p>
        </w:tc>
      </w:tr>
      <w:tr w14:paraId="4C7F3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AB045B">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14:paraId="010A24EA">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63026CE">
            <w:pPr>
              <w:spacing w:before="0" w:after="0" w:line="240" w:lineRule="exact"/>
              <w:jc w:val="right"/>
              <w:rPr>
                <w:rFonts w:hint="default" w:ascii="Times New Roman" w:hAnsi="Times New Roman" w:eastAsia="宋体" w:cs="Times New Roman"/>
                <w:sz w:val="18"/>
                <w:szCs w:val="18"/>
              </w:rPr>
            </w:pPr>
          </w:p>
        </w:tc>
      </w:tr>
      <w:tr w14:paraId="4F28C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E87936">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786A42D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-42,500,000.00</w:t>
            </w:r>
          </w:p>
        </w:tc>
        <w:tc>
          <w:tcPr>
            <w:tcW w:w="3213" w:type="dxa"/>
            <w:tcBorders>
              <w:top w:val="single" w:color="auto" w:sz="2" w:space="0"/>
              <w:left w:val="single" w:color="auto" w:sz="2" w:space="0"/>
              <w:bottom w:val="single" w:color="auto" w:sz="2" w:space="0"/>
              <w:right w:val="single" w:color="auto" w:sz="2" w:space="0"/>
            </w:tcBorders>
            <w:vAlign w:val="center"/>
          </w:tcPr>
          <w:p w14:paraId="6DB4460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-42,500,000.00</w:t>
            </w:r>
          </w:p>
        </w:tc>
      </w:tr>
      <w:tr w14:paraId="7D1A2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7E7C89">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14:paraId="77F1A2F6">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A5CAA73">
            <w:pPr>
              <w:spacing w:before="0" w:after="0" w:line="240" w:lineRule="exact"/>
              <w:jc w:val="right"/>
              <w:rPr>
                <w:rFonts w:hint="default" w:ascii="Times New Roman" w:hAnsi="Times New Roman" w:eastAsia="宋体" w:cs="Times New Roman"/>
                <w:sz w:val="18"/>
                <w:szCs w:val="18"/>
              </w:rPr>
            </w:pPr>
          </w:p>
        </w:tc>
      </w:tr>
      <w:tr w14:paraId="74789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FB70F4">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14:paraId="4812A58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51,784,646.16</w:t>
            </w:r>
          </w:p>
        </w:tc>
        <w:tc>
          <w:tcPr>
            <w:tcW w:w="3213" w:type="dxa"/>
            <w:tcBorders>
              <w:top w:val="single" w:color="auto" w:sz="2" w:space="0"/>
              <w:left w:val="single" w:color="auto" w:sz="2" w:space="0"/>
              <w:bottom w:val="single" w:color="auto" w:sz="2" w:space="0"/>
              <w:right w:val="single" w:color="auto" w:sz="2" w:space="0"/>
            </w:tcBorders>
            <w:vAlign w:val="center"/>
          </w:tcPr>
          <w:p w14:paraId="168729A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51,453,270.95</w:t>
            </w:r>
          </w:p>
        </w:tc>
      </w:tr>
      <w:tr w14:paraId="10EA2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32C88C">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3B6C627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2,982,376.85</w:t>
            </w:r>
          </w:p>
        </w:tc>
        <w:tc>
          <w:tcPr>
            <w:tcW w:w="3213" w:type="dxa"/>
            <w:tcBorders>
              <w:top w:val="single" w:color="auto" w:sz="2" w:space="0"/>
              <w:left w:val="single" w:color="auto" w:sz="2" w:space="0"/>
              <w:bottom w:val="single" w:color="auto" w:sz="2" w:space="0"/>
              <w:right w:val="single" w:color="auto" w:sz="2" w:space="0"/>
            </w:tcBorders>
            <w:vAlign w:val="center"/>
          </w:tcPr>
          <w:p w14:paraId="728F542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-41,889,215.05</w:t>
            </w:r>
          </w:p>
        </w:tc>
      </w:tr>
      <w:tr w14:paraId="7CE0E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48766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7FAD623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794,483,497.30</w:t>
            </w:r>
          </w:p>
        </w:tc>
        <w:tc>
          <w:tcPr>
            <w:tcW w:w="3213" w:type="dxa"/>
            <w:tcBorders>
              <w:top w:val="single" w:color="auto" w:sz="2" w:space="0"/>
              <w:left w:val="single" w:color="auto" w:sz="2" w:space="0"/>
              <w:bottom w:val="single" w:color="auto" w:sz="2" w:space="0"/>
              <w:right w:val="single" w:color="auto" w:sz="2" w:space="0"/>
            </w:tcBorders>
            <w:vAlign w:val="center"/>
          </w:tcPr>
          <w:p w14:paraId="1D6AB2E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749,280,530.19</w:t>
            </w:r>
          </w:p>
        </w:tc>
      </w:tr>
      <w:tr w14:paraId="45E41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D09A5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14:paraId="39CF7C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954,459,121.89</w:t>
            </w:r>
          </w:p>
        </w:tc>
        <w:tc>
          <w:tcPr>
            <w:tcW w:w="3213" w:type="dxa"/>
            <w:tcBorders>
              <w:top w:val="single" w:color="auto" w:sz="2" w:space="0"/>
              <w:left w:val="single" w:color="auto" w:sz="2" w:space="0"/>
              <w:bottom w:val="single" w:color="auto" w:sz="2" w:space="0"/>
              <w:right w:val="single" w:color="auto" w:sz="2" w:space="0"/>
            </w:tcBorders>
            <w:vAlign w:val="center"/>
          </w:tcPr>
          <w:p w14:paraId="6A112F1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892,070,105.27</w:t>
            </w:r>
          </w:p>
        </w:tc>
      </w:tr>
    </w:tbl>
    <w:p w14:paraId="5A87A367">
      <w:pPr>
        <w:pStyle w:val="3"/>
        <w:keepNext/>
        <w:keepLines/>
        <w:spacing w:before="300" w:after="300" w:line="280" w:lineRule="exact"/>
        <w:jc w:val="left"/>
        <w:outlineLvl w:val="2"/>
        <w:rPr>
          <w:rFonts w:ascii="宋体" w:hAnsi="宋体" w:eastAsia="宋体" w:cs="宋体"/>
          <w:b/>
          <w:bCs/>
          <w:sz w:val="21"/>
          <w:szCs w:val="21"/>
        </w:rPr>
      </w:pPr>
      <w:bookmarkStart w:id="220" w:name="_Toc989035"/>
      <w:r>
        <w:rPr>
          <w:rFonts w:ascii="宋体" w:hAnsi="宋体" w:eastAsia="宋体" w:cs="宋体"/>
          <w:b/>
          <w:bCs/>
          <w:sz w:val="21"/>
          <w:szCs w:val="21"/>
        </w:rPr>
        <w:t>3、合并利润表</w:t>
      </w:r>
      <w:bookmarkEnd w:id="220"/>
    </w:p>
    <w:p w14:paraId="2215320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1A5F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96D6D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8790C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384DF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2024年度</w:t>
            </w:r>
          </w:p>
        </w:tc>
      </w:tr>
      <w:tr w14:paraId="195DD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BE3CA3">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14:paraId="0201A39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387,749,767.90</w:t>
            </w:r>
          </w:p>
        </w:tc>
        <w:tc>
          <w:tcPr>
            <w:tcW w:w="3213" w:type="dxa"/>
            <w:tcBorders>
              <w:top w:val="single" w:color="auto" w:sz="2" w:space="0"/>
              <w:left w:val="single" w:color="auto" w:sz="2" w:space="0"/>
              <w:bottom w:val="single" w:color="auto" w:sz="2" w:space="0"/>
              <w:right w:val="single" w:color="auto" w:sz="2" w:space="0"/>
            </w:tcBorders>
            <w:vAlign w:val="center"/>
          </w:tcPr>
          <w:p w14:paraId="709866B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377,483,103.80</w:t>
            </w:r>
          </w:p>
        </w:tc>
      </w:tr>
      <w:tr w14:paraId="69B3B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0FFDD5">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14:paraId="326BFAF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387,749,767.90</w:t>
            </w:r>
          </w:p>
        </w:tc>
        <w:tc>
          <w:tcPr>
            <w:tcW w:w="3213" w:type="dxa"/>
            <w:tcBorders>
              <w:top w:val="single" w:color="auto" w:sz="2" w:space="0"/>
              <w:left w:val="single" w:color="auto" w:sz="2" w:space="0"/>
              <w:bottom w:val="single" w:color="auto" w:sz="2" w:space="0"/>
              <w:right w:val="single" w:color="auto" w:sz="2" w:space="0"/>
            </w:tcBorders>
            <w:vAlign w:val="center"/>
          </w:tcPr>
          <w:p w14:paraId="38477C8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377,483,103.80</w:t>
            </w:r>
          </w:p>
        </w:tc>
      </w:tr>
      <w:tr w14:paraId="377A3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402D99">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01BCA9E0">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5D8C341">
            <w:pPr>
              <w:spacing w:before="0" w:after="0" w:line="240" w:lineRule="exact"/>
              <w:jc w:val="right"/>
              <w:rPr>
                <w:rFonts w:hint="default" w:ascii="Times New Roman" w:hAnsi="Times New Roman" w:eastAsia="宋体" w:cs="Times New Roman"/>
                <w:sz w:val="18"/>
                <w:szCs w:val="18"/>
              </w:rPr>
            </w:pPr>
          </w:p>
        </w:tc>
      </w:tr>
      <w:tr w14:paraId="2D12E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57E228">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14:paraId="147D1612">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EF26780">
            <w:pPr>
              <w:spacing w:before="0" w:after="0" w:line="240" w:lineRule="exact"/>
              <w:jc w:val="right"/>
              <w:rPr>
                <w:rFonts w:hint="default" w:ascii="Times New Roman" w:hAnsi="Times New Roman" w:eastAsia="宋体" w:cs="Times New Roman"/>
                <w:sz w:val="18"/>
                <w:szCs w:val="18"/>
              </w:rPr>
            </w:pPr>
          </w:p>
        </w:tc>
      </w:tr>
      <w:tr w14:paraId="6DFC1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79DF28">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14:paraId="37488B12">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4A164E4">
            <w:pPr>
              <w:spacing w:before="0" w:after="0" w:line="240" w:lineRule="exact"/>
              <w:jc w:val="right"/>
              <w:rPr>
                <w:rFonts w:hint="default" w:ascii="Times New Roman" w:hAnsi="Times New Roman" w:eastAsia="宋体" w:cs="Times New Roman"/>
                <w:sz w:val="18"/>
                <w:szCs w:val="18"/>
              </w:rPr>
            </w:pPr>
          </w:p>
        </w:tc>
      </w:tr>
      <w:tr w14:paraId="03F26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74A0E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14:paraId="1D7A3D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358,622,829.07</w:t>
            </w:r>
          </w:p>
        </w:tc>
        <w:tc>
          <w:tcPr>
            <w:tcW w:w="3213" w:type="dxa"/>
            <w:tcBorders>
              <w:top w:val="single" w:color="auto" w:sz="2" w:space="0"/>
              <w:left w:val="single" w:color="auto" w:sz="2" w:space="0"/>
              <w:bottom w:val="single" w:color="auto" w:sz="2" w:space="0"/>
              <w:right w:val="single" w:color="auto" w:sz="2" w:space="0"/>
            </w:tcBorders>
            <w:vAlign w:val="center"/>
          </w:tcPr>
          <w:p w14:paraId="051CB56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334,942,285.38</w:t>
            </w:r>
          </w:p>
        </w:tc>
      </w:tr>
      <w:tr w14:paraId="1BBD6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903724">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14:paraId="424972A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88,670,267.74</w:t>
            </w:r>
          </w:p>
        </w:tc>
        <w:tc>
          <w:tcPr>
            <w:tcW w:w="3213" w:type="dxa"/>
            <w:tcBorders>
              <w:top w:val="single" w:color="auto" w:sz="2" w:space="0"/>
              <w:left w:val="single" w:color="auto" w:sz="2" w:space="0"/>
              <w:bottom w:val="single" w:color="auto" w:sz="2" w:space="0"/>
              <w:right w:val="single" w:color="auto" w:sz="2" w:space="0"/>
            </w:tcBorders>
            <w:vAlign w:val="center"/>
          </w:tcPr>
          <w:p w14:paraId="111E499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77,525,843.69</w:t>
            </w:r>
          </w:p>
        </w:tc>
      </w:tr>
      <w:tr w14:paraId="24568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CDC385">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14:paraId="40597701">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2152A57">
            <w:pPr>
              <w:spacing w:before="0" w:after="0" w:line="240" w:lineRule="exact"/>
              <w:jc w:val="right"/>
              <w:rPr>
                <w:rFonts w:hint="default" w:ascii="Times New Roman" w:hAnsi="Times New Roman" w:eastAsia="宋体" w:cs="Times New Roman"/>
                <w:sz w:val="18"/>
                <w:szCs w:val="18"/>
              </w:rPr>
            </w:pPr>
          </w:p>
        </w:tc>
      </w:tr>
      <w:tr w14:paraId="6ABC1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0D11FE">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14:paraId="32819970">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CCAFC4B">
            <w:pPr>
              <w:spacing w:before="0" w:after="0" w:line="240" w:lineRule="exact"/>
              <w:jc w:val="right"/>
              <w:rPr>
                <w:rFonts w:hint="default" w:ascii="Times New Roman" w:hAnsi="Times New Roman" w:eastAsia="宋体" w:cs="Times New Roman"/>
                <w:sz w:val="18"/>
                <w:szCs w:val="18"/>
              </w:rPr>
            </w:pPr>
          </w:p>
        </w:tc>
      </w:tr>
      <w:tr w14:paraId="2D4E4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77E3D9">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14:paraId="1A47DF34">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E0F5E21">
            <w:pPr>
              <w:spacing w:before="0" w:after="0" w:line="240" w:lineRule="exact"/>
              <w:jc w:val="right"/>
              <w:rPr>
                <w:rFonts w:hint="default" w:ascii="Times New Roman" w:hAnsi="Times New Roman" w:eastAsia="宋体" w:cs="Times New Roman"/>
                <w:sz w:val="18"/>
                <w:szCs w:val="18"/>
              </w:rPr>
            </w:pPr>
          </w:p>
        </w:tc>
      </w:tr>
      <w:tr w14:paraId="7077C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9B5D35">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14:paraId="34A775E8">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3D8492C">
            <w:pPr>
              <w:spacing w:before="0" w:after="0" w:line="240" w:lineRule="exact"/>
              <w:jc w:val="right"/>
              <w:rPr>
                <w:rFonts w:hint="default" w:ascii="Times New Roman" w:hAnsi="Times New Roman" w:eastAsia="宋体" w:cs="Times New Roman"/>
                <w:sz w:val="18"/>
                <w:szCs w:val="18"/>
              </w:rPr>
            </w:pPr>
          </w:p>
        </w:tc>
      </w:tr>
      <w:tr w14:paraId="30D5F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599512">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提取保险责任合同准备金净额</w:t>
            </w:r>
          </w:p>
        </w:tc>
        <w:tc>
          <w:tcPr>
            <w:tcW w:w="3213" w:type="dxa"/>
            <w:tcBorders>
              <w:top w:val="single" w:color="auto" w:sz="2" w:space="0"/>
              <w:left w:val="single" w:color="auto" w:sz="2" w:space="0"/>
              <w:bottom w:val="single" w:color="auto" w:sz="2" w:space="0"/>
              <w:right w:val="single" w:color="auto" w:sz="2" w:space="0"/>
            </w:tcBorders>
            <w:vAlign w:val="center"/>
          </w:tcPr>
          <w:p w14:paraId="09F210B8">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601AAF0">
            <w:pPr>
              <w:spacing w:before="0" w:after="0" w:line="240" w:lineRule="exact"/>
              <w:jc w:val="right"/>
              <w:rPr>
                <w:rFonts w:hint="default" w:ascii="Times New Roman" w:hAnsi="Times New Roman" w:eastAsia="宋体" w:cs="Times New Roman"/>
                <w:sz w:val="18"/>
                <w:szCs w:val="18"/>
              </w:rPr>
            </w:pPr>
          </w:p>
        </w:tc>
      </w:tr>
      <w:tr w14:paraId="080AF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F91946">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14:paraId="5B6A7EB1">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D677A6D">
            <w:pPr>
              <w:spacing w:before="0" w:after="0" w:line="240" w:lineRule="exact"/>
              <w:jc w:val="right"/>
              <w:rPr>
                <w:rFonts w:hint="default" w:ascii="Times New Roman" w:hAnsi="Times New Roman" w:eastAsia="宋体" w:cs="Times New Roman"/>
                <w:sz w:val="18"/>
                <w:szCs w:val="18"/>
              </w:rPr>
            </w:pPr>
          </w:p>
        </w:tc>
      </w:tr>
      <w:tr w14:paraId="79B1E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79825F">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14:paraId="5D0579BA">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622A7EC">
            <w:pPr>
              <w:spacing w:before="0" w:after="0" w:line="240" w:lineRule="exact"/>
              <w:jc w:val="right"/>
              <w:rPr>
                <w:rFonts w:hint="default" w:ascii="Times New Roman" w:hAnsi="Times New Roman" w:eastAsia="宋体" w:cs="Times New Roman"/>
                <w:sz w:val="18"/>
                <w:szCs w:val="18"/>
              </w:rPr>
            </w:pPr>
          </w:p>
        </w:tc>
      </w:tr>
      <w:tr w14:paraId="3F57B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2D8A5A">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14:paraId="76C0A4F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7,457,600.58</w:t>
            </w:r>
          </w:p>
        </w:tc>
        <w:tc>
          <w:tcPr>
            <w:tcW w:w="3213" w:type="dxa"/>
            <w:tcBorders>
              <w:top w:val="single" w:color="auto" w:sz="2" w:space="0"/>
              <w:left w:val="single" w:color="auto" w:sz="2" w:space="0"/>
              <w:bottom w:val="single" w:color="auto" w:sz="2" w:space="0"/>
              <w:right w:val="single" w:color="auto" w:sz="2" w:space="0"/>
            </w:tcBorders>
            <w:vAlign w:val="center"/>
          </w:tcPr>
          <w:p w14:paraId="6E852E6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5,256,670.06</w:t>
            </w:r>
          </w:p>
        </w:tc>
      </w:tr>
      <w:tr w14:paraId="01238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A264BC">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14:paraId="4613EC9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160,935,392.93</w:t>
            </w:r>
          </w:p>
        </w:tc>
        <w:tc>
          <w:tcPr>
            <w:tcW w:w="3213" w:type="dxa"/>
            <w:tcBorders>
              <w:top w:val="single" w:color="auto" w:sz="2" w:space="0"/>
              <w:left w:val="single" w:color="auto" w:sz="2" w:space="0"/>
              <w:bottom w:val="single" w:color="auto" w:sz="2" w:space="0"/>
              <w:right w:val="single" w:color="auto" w:sz="2" w:space="0"/>
            </w:tcBorders>
            <w:vAlign w:val="center"/>
          </w:tcPr>
          <w:p w14:paraId="7F63BDA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157,460,394.20</w:t>
            </w:r>
          </w:p>
        </w:tc>
      </w:tr>
      <w:tr w14:paraId="54639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AE6BC9">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14:paraId="372AF32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57,210,995.98</w:t>
            </w:r>
          </w:p>
        </w:tc>
        <w:tc>
          <w:tcPr>
            <w:tcW w:w="3213" w:type="dxa"/>
            <w:tcBorders>
              <w:top w:val="single" w:color="auto" w:sz="2" w:space="0"/>
              <w:left w:val="single" w:color="auto" w:sz="2" w:space="0"/>
              <w:bottom w:val="single" w:color="auto" w:sz="2" w:space="0"/>
              <w:right w:val="single" w:color="auto" w:sz="2" w:space="0"/>
            </w:tcBorders>
            <w:vAlign w:val="center"/>
          </w:tcPr>
          <w:p w14:paraId="608E5D2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57,170,350.92</w:t>
            </w:r>
          </w:p>
        </w:tc>
      </w:tr>
      <w:tr w14:paraId="1DD72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76BAA8">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14:paraId="3D19735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40,965,725.76</w:t>
            </w:r>
          </w:p>
        </w:tc>
        <w:tc>
          <w:tcPr>
            <w:tcW w:w="3213" w:type="dxa"/>
            <w:tcBorders>
              <w:top w:val="single" w:color="auto" w:sz="2" w:space="0"/>
              <w:left w:val="single" w:color="auto" w:sz="2" w:space="0"/>
              <w:bottom w:val="single" w:color="auto" w:sz="2" w:space="0"/>
              <w:right w:val="single" w:color="auto" w:sz="2" w:space="0"/>
            </w:tcBorders>
            <w:vAlign w:val="center"/>
          </w:tcPr>
          <w:p w14:paraId="05AB325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36,164,958.42</w:t>
            </w:r>
          </w:p>
        </w:tc>
      </w:tr>
      <w:tr w14:paraId="49AAC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2D4B8F">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14:paraId="11B2DAC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3,382,846.08</w:t>
            </w:r>
          </w:p>
        </w:tc>
        <w:tc>
          <w:tcPr>
            <w:tcW w:w="3213" w:type="dxa"/>
            <w:tcBorders>
              <w:top w:val="single" w:color="auto" w:sz="2" w:space="0"/>
              <w:left w:val="single" w:color="auto" w:sz="2" w:space="0"/>
              <w:bottom w:val="single" w:color="auto" w:sz="2" w:space="0"/>
              <w:right w:val="single" w:color="auto" w:sz="2" w:space="0"/>
            </w:tcBorders>
            <w:vAlign w:val="center"/>
          </w:tcPr>
          <w:p w14:paraId="7D8FD8E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1,364,068.09</w:t>
            </w:r>
          </w:p>
        </w:tc>
      </w:tr>
      <w:tr w14:paraId="721E3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F66AF7">
            <w:pPr>
              <w:spacing w:before="40" w:after="4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14:paraId="6B74698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4,035,969.72</w:t>
            </w:r>
          </w:p>
        </w:tc>
        <w:tc>
          <w:tcPr>
            <w:tcW w:w="3213" w:type="dxa"/>
            <w:tcBorders>
              <w:top w:val="single" w:color="auto" w:sz="2" w:space="0"/>
              <w:left w:val="single" w:color="auto" w:sz="2" w:space="0"/>
              <w:bottom w:val="single" w:color="auto" w:sz="2" w:space="0"/>
              <w:right w:val="single" w:color="auto" w:sz="2" w:space="0"/>
            </w:tcBorders>
            <w:vAlign w:val="center"/>
          </w:tcPr>
          <w:p w14:paraId="194C40C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1,030,373.62</w:t>
            </w:r>
          </w:p>
        </w:tc>
      </w:tr>
      <w:tr w14:paraId="3268D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376FA3">
            <w:pPr>
              <w:spacing w:before="40" w:after="40" w:line="240" w:lineRule="exact"/>
              <w:ind w:firstLine="1440" w:firstLineChars="8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481DB9C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663,463.45</w:t>
            </w:r>
          </w:p>
        </w:tc>
        <w:tc>
          <w:tcPr>
            <w:tcW w:w="3213" w:type="dxa"/>
            <w:tcBorders>
              <w:top w:val="single" w:color="auto" w:sz="2" w:space="0"/>
              <w:left w:val="single" w:color="auto" w:sz="2" w:space="0"/>
              <w:bottom w:val="single" w:color="auto" w:sz="2" w:space="0"/>
              <w:right w:val="single" w:color="auto" w:sz="2" w:space="0"/>
            </w:tcBorders>
            <w:vAlign w:val="center"/>
          </w:tcPr>
          <w:p w14:paraId="3B9EC3B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665,099.62</w:t>
            </w:r>
          </w:p>
        </w:tc>
      </w:tr>
      <w:tr w14:paraId="0DF85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AE16F8">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14:paraId="79F680F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2,623,865.52</w:t>
            </w:r>
          </w:p>
        </w:tc>
        <w:tc>
          <w:tcPr>
            <w:tcW w:w="3213" w:type="dxa"/>
            <w:tcBorders>
              <w:top w:val="single" w:color="auto" w:sz="2" w:space="0"/>
              <w:left w:val="single" w:color="auto" w:sz="2" w:space="0"/>
              <w:bottom w:val="single" w:color="auto" w:sz="2" w:space="0"/>
              <w:right w:val="single" w:color="auto" w:sz="2" w:space="0"/>
            </w:tcBorders>
            <w:vAlign w:val="center"/>
          </w:tcPr>
          <w:p w14:paraId="74D454D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9,579,849.74</w:t>
            </w:r>
          </w:p>
        </w:tc>
      </w:tr>
      <w:tr w14:paraId="2078E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BF83D0">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125EB1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1,894,614.62</w:t>
            </w:r>
          </w:p>
        </w:tc>
        <w:tc>
          <w:tcPr>
            <w:tcW w:w="3213" w:type="dxa"/>
            <w:tcBorders>
              <w:top w:val="single" w:color="auto" w:sz="2" w:space="0"/>
              <w:left w:val="single" w:color="auto" w:sz="2" w:space="0"/>
              <w:bottom w:val="single" w:color="auto" w:sz="2" w:space="0"/>
              <w:right w:val="single" w:color="auto" w:sz="2" w:space="0"/>
            </w:tcBorders>
            <w:vAlign w:val="center"/>
          </w:tcPr>
          <w:p w14:paraId="2D94326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606,241.58</w:t>
            </w:r>
          </w:p>
        </w:tc>
      </w:tr>
      <w:tr w14:paraId="172CB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4EEC56">
            <w:pPr>
              <w:spacing w:before="40" w:after="4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489FB23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1,785,804.55</w:t>
            </w:r>
          </w:p>
        </w:tc>
        <w:tc>
          <w:tcPr>
            <w:tcW w:w="3213" w:type="dxa"/>
            <w:tcBorders>
              <w:top w:val="single" w:color="auto" w:sz="2" w:space="0"/>
              <w:left w:val="single" w:color="auto" w:sz="2" w:space="0"/>
              <w:bottom w:val="single" w:color="auto" w:sz="2" w:space="0"/>
              <w:right w:val="single" w:color="auto" w:sz="2" w:space="0"/>
            </w:tcBorders>
            <w:vAlign w:val="center"/>
          </w:tcPr>
          <w:p w14:paraId="7FD616A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711,871.66</w:t>
            </w:r>
          </w:p>
        </w:tc>
      </w:tr>
      <w:tr w14:paraId="10223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4F2719">
            <w:pPr>
              <w:spacing w:before="40" w:after="40" w:line="240" w:lineRule="exact"/>
              <w:ind w:firstLine="1440" w:firstLineChars="8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14:paraId="0A77E5EA">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8282E25">
            <w:pPr>
              <w:spacing w:before="0" w:after="0" w:line="240" w:lineRule="exact"/>
              <w:jc w:val="right"/>
              <w:rPr>
                <w:rFonts w:hint="default" w:ascii="Times New Roman" w:hAnsi="Times New Roman" w:eastAsia="宋体" w:cs="Times New Roman"/>
                <w:sz w:val="18"/>
                <w:szCs w:val="18"/>
              </w:rPr>
            </w:pPr>
          </w:p>
        </w:tc>
      </w:tr>
      <w:tr w14:paraId="35FB7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F6C01F">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7404B5E">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6C68973">
            <w:pPr>
              <w:spacing w:before="0" w:after="0" w:line="240" w:lineRule="exact"/>
              <w:jc w:val="right"/>
              <w:rPr>
                <w:rFonts w:hint="default" w:ascii="Times New Roman" w:hAnsi="Times New Roman" w:eastAsia="宋体" w:cs="Times New Roman"/>
                <w:sz w:val="18"/>
                <w:szCs w:val="18"/>
              </w:rPr>
            </w:pPr>
          </w:p>
        </w:tc>
      </w:tr>
      <w:tr w14:paraId="59D8E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CC0604">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A4FEE8B">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F6D7247">
            <w:pPr>
              <w:spacing w:before="0" w:after="0" w:line="240" w:lineRule="exact"/>
              <w:jc w:val="right"/>
              <w:rPr>
                <w:rFonts w:hint="default" w:ascii="Times New Roman" w:hAnsi="Times New Roman" w:eastAsia="宋体" w:cs="Times New Roman"/>
                <w:sz w:val="18"/>
                <w:szCs w:val="18"/>
              </w:rPr>
            </w:pPr>
          </w:p>
        </w:tc>
      </w:tr>
      <w:tr w14:paraId="2FA80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06A443">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5F16A16">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FF4A7CA">
            <w:pPr>
              <w:spacing w:before="0" w:after="0" w:line="240" w:lineRule="exact"/>
              <w:jc w:val="right"/>
              <w:rPr>
                <w:rFonts w:hint="default" w:ascii="Times New Roman" w:hAnsi="Times New Roman" w:eastAsia="宋体" w:cs="Times New Roman"/>
                <w:sz w:val="18"/>
                <w:szCs w:val="18"/>
              </w:rPr>
            </w:pPr>
          </w:p>
        </w:tc>
      </w:tr>
      <w:tr w14:paraId="61885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424562">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5530DC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-1,284,799.19</w:t>
            </w:r>
          </w:p>
        </w:tc>
        <w:tc>
          <w:tcPr>
            <w:tcW w:w="3213" w:type="dxa"/>
            <w:tcBorders>
              <w:top w:val="single" w:color="auto" w:sz="2" w:space="0"/>
              <w:left w:val="single" w:color="auto" w:sz="2" w:space="0"/>
              <w:bottom w:val="single" w:color="auto" w:sz="2" w:space="0"/>
              <w:right w:val="single" w:color="auto" w:sz="2" w:space="0"/>
            </w:tcBorders>
            <w:vAlign w:val="center"/>
          </w:tcPr>
          <w:p w14:paraId="12E59F6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-7,443,414.67</w:t>
            </w:r>
          </w:p>
        </w:tc>
      </w:tr>
      <w:tr w14:paraId="360E4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CFE605">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D08255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-1,901,987.23</w:t>
            </w:r>
          </w:p>
        </w:tc>
        <w:tc>
          <w:tcPr>
            <w:tcW w:w="3213" w:type="dxa"/>
            <w:tcBorders>
              <w:top w:val="single" w:color="auto" w:sz="2" w:space="0"/>
              <w:left w:val="single" w:color="auto" w:sz="2" w:space="0"/>
              <w:bottom w:val="single" w:color="auto" w:sz="2" w:space="0"/>
              <w:right w:val="single" w:color="auto" w:sz="2" w:space="0"/>
            </w:tcBorders>
            <w:vAlign w:val="center"/>
          </w:tcPr>
          <w:p w14:paraId="675FF51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-17,072,238.17</w:t>
            </w:r>
          </w:p>
        </w:tc>
      </w:tr>
      <w:tr w14:paraId="585B2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8E8B35">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0332420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-5,119.40</w:t>
            </w:r>
          </w:p>
        </w:tc>
        <w:tc>
          <w:tcPr>
            <w:tcW w:w="3213" w:type="dxa"/>
            <w:tcBorders>
              <w:top w:val="single" w:color="auto" w:sz="2" w:space="0"/>
              <w:left w:val="single" w:color="auto" w:sz="2" w:space="0"/>
              <w:bottom w:val="single" w:color="auto" w:sz="2" w:space="0"/>
              <w:right w:val="single" w:color="auto" w:sz="2" w:space="0"/>
            </w:tcBorders>
            <w:vAlign w:val="center"/>
          </w:tcPr>
          <w:p w14:paraId="7945CB6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32,334.57</w:t>
            </w:r>
          </w:p>
        </w:tc>
      </w:tr>
      <w:tr w14:paraId="5F081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840D6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2098CD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30,453,513.15</w:t>
            </w:r>
          </w:p>
        </w:tc>
        <w:tc>
          <w:tcPr>
            <w:tcW w:w="3213" w:type="dxa"/>
            <w:tcBorders>
              <w:top w:val="single" w:color="auto" w:sz="2" w:space="0"/>
              <w:left w:val="single" w:color="auto" w:sz="2" w:space="0"/>
              <w:bottom w:val="single" w:color="auto" w:sz="2" w:space="0"/>
              <w:right w:val="single" w:color="auto" w:sz="2" w:space="0"/>
            </w:tcBorders>
            <w:vAlign w:val="center"/>
          </w:tcPr>
          <w:p w14:paraId="1B0BAD5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28,243,591.47</w:t>
            </w:r>
          </w:p>
        </w:tc>
      </w:tr>
      <w:tr w14:paraId="14174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CC1D76">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14:paraId="4FCEA91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900,054.95</w:t>
            </w:r>
          </w:p>
        </w:tc>
        <w:tc>
          <w:tcPr>
            <w:tcW w:w="3213" w:type="dxa"/>
            <w:tcBorders>
              <w:top w:val="single" w:color="auto" w:sz="2" w:space="0"/>
              <w:left w:val="single" w:color="auto" w:sz="2" w:space="0"/>
              <w:bottom w:val="single" w:color="auto" w:sz="2" w:space="0"/>
              <w:right w:val="single" w:color="auto" w:sz="2" w:space="0"/>
            </w:tcBorders>
            <w:vAlign w:val="center"/>
          </w:tcPr>
          <w:p w14:paraId="05FBBBF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23,603.65</w:t>
            </w:r>
          </w:p>
        </w:tc>
      </w:tr>
      <w:tr w14:paraId="3FC76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6FC48F">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14:paraId="4C00113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4,073,006.27</w:t>
            </w:r>
          </w:p>
        </w:tc>
        <w:tc>
          <w:tcPr>
            <w:tcW w:w="3213" w:type="dxa"/>
            <w:tcBorders>
              <w:top w:val="single" w:color="auto" w:sz="2" w:space="0"/>
              <w:left w:val="single" w:color="auto" w:sz="2" w:space="0"/>
              <w:bottom w:val="single" w:color="auto" w:sz="2" w:space="0"/>
              <w:right w:val="single" w:color="auto" w:sz="2" w:space="0"/>
            </w:tcBorders>
            <w:vAlign w:val="center"/>
          </w:tcPr>
          <w:p w14:paraId="12FB9A1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247,916.82</w:t>
            </w:r>
          </w:p>
        </w:tc>
      </w:tr>
      <w:tr w14:paraId="5B5C0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BCA51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7F1EEA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27,280,561.83</w:t>
            </w:r>
          </w:p>
        </w:tc>
        <w:tc>
          <w:tcPr>
            <w:tcW w:w="3213" w:type="dxa"/>
            <w:tcBorders>
              <w:top w:val="single" w:color="auto" w:sz="2" w:space="0"/>
              <w:left w:val="single" w:color="auto" w:sz="2" w:space="0"/>
              <w:bottom w:val="single" w:color="auto" w:sz="2" w:space="0"/>
              <w:right w:val="single" w:color="auto" w:sz="2" w:space="0"/>
            </w:tcBorders>
            <w:vAlign w:val="center"/>
          </w:tcPr>
          <w:p w14:paraId="5A65DCD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28,019,278.30</w:t>
            </w:r>
          </w:p>
        </w:tc>
      </w:tr>
      <w:tr w14:paraId="56B06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57FFCF">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069DA84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12,493,291.79</w:t>
            </w:r>
          </w:p>
        </w:tc>
        <w:tc>
          <w:tcPr>
            <w:tcW w:w="3213" w:type="dxa"/>
            <w:tcBorders>
              <w:top w:val="single" w:color="auto" w:sz="2" w:space="0"/>
              <w:left w:val="single" w:color="auto" w:sz="2" w:space="0"/>
              <w:bottom w:val="single" w:color="auto" w:sz="2" w:space="0"/>
              <w:right w:val="single" w:color="auto" w:sz="2" w:space="0"/>
            </w:tcBorders>
            <w:vAlign w:val="center"/>
          </w:tcPr>
          <w:p w14:paraId="773EC92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11,411,784.85</w:t>
            </w:r>
          </w:p>
        </w:tc>
      </w:tr>
      <w:tr w14:paraId="1712E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8E073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372615E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14,787,270.04</w:t>
            </w:r>
          </w:p>
        </w:tc>
        <w:tc>
          <w:tcPr>
            <w:tcW w:w="3213" w:type="dxa"/>
            <w:tcBorders>
              <w:top w:val="single" w:color="auto" w:sz="2" w:space="0"/>
              <w:left w:val="single" w:color="auto" w:sz="2" w:space="0"/>
              <w:bottom w:val="single" w:color="auto" w:sz="2" w:space="0"/>
              <w:right w:val="single" w:color="auto" w:sz="2" w:space="0"/>
            </w:tcBorders>
            <w:vAlign w:val="center"/>
          </w:tcPr>
          <w:p w14:paraId="76CEB64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16,607,493.45</w:t>
            </w:r>
          </w:p>
        </w:tc>
      </w:tr>
      <w:tr w14:paraId="6B532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984E1B">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564DA9">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950715">
            <w:pPr>
              <w:rPr>
                <w:rFonts w:hint="default" w:ascii="Times New Roman" w:hAnsi="Times New Roman" w:cs="Times New Roman"/>
              </w:rPr>
            </w:pPr>
          </w:p>
        </w:tc>
      </w:tr>
      <w:tr w14:paraId="17FE5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5B4C2F">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77BD07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14,787,269.94</w:t>
            </w:r>
          </w:p>
        </w:tc>
        <w:tc>
          <w:tcPr>
            <w:tcW w:w="3213" w:type="dxa"/>
            <w:tcBorders>
              <w:top w:val="single" w:color="auto" w:sz="2" w:space="0"/>
              <w:left w:val="single" w:color="auto" w:sz="2" w:space="0"/>
              <w:bottom w:val="single" w:color="auto" w:sz="2" w:space="0"/>
              <w:right w:val="single" w:color="auto" w:sz="2" w:space="0"/>
            </w:tcBorders>
            <w:vAlign w:val="center"/>
          </w:tcPr>
          <w:p w14:paraId="034D0F9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16,607,789.63</w:t>
            </w:r>
          </w:p>
        </w:tc>
      </w:tr>
      <w:tr w14:paraId="1D00C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4615CF">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3AA562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0.10</w:t>
            </w:r>
          </w:p>
        </w:tc>
        <w:tc>
          <w:tcPr>
            <w:tcW w:w="3213" w:type="dxa"/>
            <w:tcBorders>
              <w:top w:val="single" w:color="auto" w:sz="2" w:space="0"/>
              <w:left w:val="single" w:color="auto" w:sz="2" w:space="0"/>
              <w:bottom w:val="single" w:color="auto" w:sz="2" w:space="0"/>
              <w:right w:val="single" w:color="auto" w:sz="2" w:space="0"/>
            </w:tcBorders>
            <w:vAlign w:val="center"/>
          </w:tcPr>
          <w:p w14:paraId="2AB240C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-296.18</w:t>
            </w:r>
          </w:p>
        </w:tc>
      </w:tr>
      <w:tr w14:paraId="751F4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7CAC00">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39414D">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8EB844">
            <w:pPr>
              <w:rPr>
                <w:rFonts w:hint="default" w:ascii="Times New Roman" w:hAnsi="Times New Roman" w:cs="Times New Roman"/>
              </w:rPr>
            </w:pPr>
          </w:p>
        </w:tc>
      </w:tr>
      <w:tr w14:paraId="4CC8C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1DAB7F">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1.归属于母公司股东的净利润</w:t>
            </w:r>
          </w:p>
        </w:tc>
        <w:tc>
          <w:tcPr>
            <w:tcW w:w="3213" w:type="dxa"/>
            <w:tcBorders>
              <w:top w:val="single" w:color="auto" w:sz="2" w:space="0"/>
              <w:left w:val="single" w:color="auto" w:sz="2" w:space="0"/>
              <w:bottom w:val="single" w:color="auto" w:sz="2" w:space="0"/>
              <w:right w:val="single" w:color="auto" w:sz="2" w:space="0"/>
            </w:tcBorders>
            <w:vAlign w:val="center"/>
          </w:tcPr>
          <w:p w14:paraId="1681107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24,346,028.28</w:t>
            </w:r>
          </w:p>
        </w:tc>
        <w:tc>
          <w:tcPr>
            <w:tcW w:w="3213" w:type="dxa"/>
            <w:tcBorders>
              <w:top w:val="single" w:color="auto" w:sz="2" w:space="0"/>
              <w:left w:val="single" w:color="auto" w:sz="2" w:space="0"/>
              <w:bottom w:val="single" w:color="auto" w:sz="2" w:space="0"/>
              <w:right w:val="single" w:color="auto" w:sz="2" w:space="0"/>
            </w:tcBorders>
            <w:vAlign w:val="center"/>
          </w:tcPr>
          <w:p w14:paraId="3054061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27,416,909.65</w:t>
            </w:r>
          </w:p>
        </w:tc>
      </w:tr>
      <w:tr w14:paraId="15B4C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7AEDB8">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14:paraId="7EA6F2C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-9,558,758.24</w:t>
            </w:r>
          </w:p>
        </w:tc>
        <w:tc>
          <w:tcPr>
            <w:tcW w:w="3213" w:type="dxa"/>
            <w:tcBorders>
              <w:top w:val="single" w:color="auto" w:sz="2" w:space="0"/>
              <w:left w:val="single" w:color="auto" w:sz="2" w:space="0"/>
              <w:bottom w:val="single" w:color="auto" w:sz="2" w:space="0"/>
              <w:right w:val="single" w:color="auto" w:sz="2" w:space="0"/>
            </w:tcBorders>
            <w:vAlign w:val="center"/>
          </w:tcPr>
          <w:p w14:paraId="2881EAA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-10,809,416.20</w:t>
            </w:r>
          </w:p>
        </w:tc>
      </w:tr>
      <w:tr w14:paraId="672CF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6D653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5835453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-125,555.44</w:t>
            </w:r>
          </w:p>
        </w:tc>
        <w:tc>
          <w:tcPr>
            <w:tcW w:w="3213" w:type="dxa"/>
            <w:tcBorders>
              <w:top w:val="single" w:color="auto" w:sz="2" w:space="0"/>
              <w:left w:val="single" w:color="auto" w:sz="2" w:space="0"/>
              <w:bottom w:val="single" w:color="auto" w:sz="2" w:space="0"/>
              <w:right w:val="single" w:color="auto" w:sz="2" w:space="0"/>
            </w:tcBorders>
            <w:vAlign w:val="center"/>
          </w:tcPr>
          <w:p w14:paraId="2C8D37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74,362.59</w:t>
            </w:r>
          </w:p>
        </w:tc>
      </w:tr>
      <w:tr w14:paraId="19700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30AF9E">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53FDFB4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-125,555.44</w:t>
            </w:r>
          </w:p>
        </w:tc>
        <w:tc>
          <w:tcPr>
            <w:tcW w:w="3213" w:type="dxa"/>
            <w:tcBorders>
              <w:top w:val="single" w:color="auto" w:sz="2" w:space="0"/>
              <w:left w:val="single" w:color="auto" w:sz="2" w:space="0"/>
              <w:bottom w:val="single" w:color="auto" w:sz="2" w:space="0"/>
              <w:right w:val="single" w:color="auto" w:sz="2" w:space="0"/>
            </w:tcBorders>
            <w:vAlign w:val="center"/>
          </w:tcPr>
          <w:p w14:paraId="1CC70AE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74,362.59</w:t>
            </w:r>
          </w:p>
        </w:tc>
      </w:tr>
      <w:tr w14:paraId="153F4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8D3B09">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56B13975">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A05422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-154,545.45</w:t>
            </w:r>
          </w:p>
        </w:tc>
      </w:tr>
      <w:tr w14:paraId="74E31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DDC2A8">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14:paraId="58CD1C2D">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1030B0F">
            <w:pPr>
              <w:spacing w:before="0" w:after="0" w:line="240" w:lineRule="exact"/>
              <w:jc w:val="right"/>
              <w:rPr>
                <w:rFonts w:hint="default" w:ascii="Times New Roman" w:hAnsi="Times New Roman" w:eastAsia="宋体" w:cs="Times New Roman"/>
                <w:sz w:val="18"/>
                <w:szCs w:val="18"/>
              </w:rPr>
            </w:pPr>
          </w:p>
        </w:tc>
      </w:tr>
      <w:tr w14:paraId="2343B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630C32">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32D61128">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EF06BB5">
            <w:pPr>
              <w:spacing w:before="0" w:after="0" w:line="240" w:lineRule="exact"/>
              <w:jc w:val="right"/>
              <w:rPr>
                <w:rFonts w:hint="default" w:ascii="Times New Roman" w:hAnsi="Times New Roman" w:eastAsia="宋体" w:cs="Times New Roman"/>
                <w:sz w:val="18"/>
                <w:szCs w:val="18"/>
              </w:rPr>
            </w:pPr>
          </w:p>
        </w:tc>
      </w:tr>
      <w:tr w14:paraId="62DFA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226FE9">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5F3BCE60">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6646F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-154,545.45</w:t>
            </w:r>
          </w:p>
        </w:tc>
      </w:tr>
      <w:tr w14:paraId="43EB4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0AAD2F">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41FA74C5">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B09FF99">
            <w:pPr>
              <w:spacing w:before="0" w:after="0" w:line="240" w:lineRule="exact"/>
              <w:jc w:val="right"/>
              <w:rPr>
                <w:rFonts w:hint="default" w:ascii="Times New Roman" w:hAnsi="Times New Roman" w:eastAsia="宋体" w:cs="Times New Roman"/>
                <w:sz w:val="18"/>
                <w:szCs w:val="18"/>
              </w:rPr>
            </w:pPr>
          </w:p>
        </w:tc>
      </w:tr>
      <w:tr w14:paraId="508EF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093197">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14:paraId="2159F8ED">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E3C5734">
            <w:pPr>
              <w:spacing w:before="0" w:after="0" w:line="240" w:lineRule="exact"/>
              <w:jc w:val="right"/>
              <w:rPr>
                <w:rFonts w:hint="default" w:ascii="Times New Roman" w:hAnsi="Times New Roman" w:eastAsia="宋体" w:cs="Times New Roman"/>
                <w:sz w:val="18"/>
                <w:szCs w:val="18"/>
              </w:rPr>
            </w:pPr>
          </w:p>
        </w:tc>
      </w:tr>
      <w:tr w14:paraId="0469C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C949A1">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617616C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-125,555.44</w:t>
            </w:r>
          </w:p>
        </w:tc>
        <w:tc>
          <w:tcPr>
            <w:tcW w:w="3213" w:type="dxa"/>
            <w:tcBorders>
              <w:top w:val="single" w:color="auto" w:sz="2" w:space="0"/>
              <w:left w:val="single" w:color="auto" w:sz="2" w:space="0"/>
              <w:bottom w:val="single" w:color="auto" w:sz="2" w:space="0"/>
              <w:right w:val="single" w:color="auto" w:sz="2" w:space="0"/>
            </w:tcBorders>
            <w:vAlign w:val="center"/>
          </w:tcPr>
          <w:p w14:paraId="7410DB4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228,908.04</w:t>
            </w:r>
          </w:p>
        </w:tc>
      </w:tr>
      <w:tr w14:paraId="71381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4E1CCD">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7D5A9FE0">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E662246">
            <w:pPr>
              <w:spacing w:before="0" w:after="0" w:line="240" w:lineRule="exact"/>
              <w:jc w:val="right"/>
              <w:rPr>
                <w:rFonts w:hint="default" w:ascii="Times New Roman" w:hAnsi="Times New Roman" w:eastAsia="宋体" w:cs="Times New Roman"/>
                <w:sz w:val="18"/>
                <w:szCs w:val="18"/>
              </w:rPr>
            </w:pPr>
          </w:p>
        </w:tc>
      </w:tr>
      <w:tr w14:paraId="289A8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CA6603">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6119A302">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DC64CBE">
            <w:pPr>
              <w:spacing w:before="0" w:after="0" w:line="240" w:lineRule="exact"/>
              <w:jc w:val="right"/>
              <w:rPr>
                <w:rFonts w:hint="default" w:ascii="Times New Roman" w:hAnsi="Times New Roman" w:eastAsia="宋体" w:cs="Times New Roman"/>
                <w:sz w:val="18"/>
                <w:szCs w:val="18"/>
              </w:rPr>
            </w:pPr>
          </w:p>
        </w:tc>
      </w:tr>
      <w:tr w14:paraId="777A1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66F5BB">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14:paraId="68D38F93">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3BACE4A">
            <w:pPr>
              <w:spacing w:before="0" w:after="0" w:line="240" w:lineRule="exact"/>
              <w:jc w:val="right"/>
              <w:rPr>
                <w:rFonts w:hint="default" w:ascii="Times New Roman" w:hAnsi="Times New Roman" w:eastAsia="宋体" w:cs="Times New Roman"/>
                <w:sz w:val="18"/>
                <w:szCs w:val="18"/>
              </w:rPr>
            </w:pPr>
          </w:p>
        </w:tc>
      </w:tr>
      <w:tr w14:paraId="6E8C3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5E5AB6">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14:paraId="4390FEFA">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BFB6A71">
            <w:pPr>
              <w:spacing w:before="0" w:after="0" w:line="240" w:lineRule="exact"/>
              <w:jc w:val="right"/>
              <w:rPr>
                <w:rFonts w:hint="default" w:ascii="Times New Roman" w:hAnsi="Times New Roman" w:eastAsia="宋体" w:cs="Times New Roman"/>
                <w:sz w:val="18"/>
                <w:szCs w:val="18"/>
              </w:rPr>
            </w:pPr>
          </w:p>
        </w:tc>
      </w:tr>
      <w:tr w14:paraId="7FB8B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F4EDED">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14:paraId="1419472B">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5B99028">
            <w:pPr>
              <w:spacing w:before="0" w:after="0" w:line="240" w:lineRule="exact"/>
              <w:jc w:val="right"/>
              <w:rPr>
                <w:rFonts w:hint="default" w:ascii="Times New Roman" w:hAnsi="Times New Roman" w:eastAsia="宋体" w:cs="Times New Roman"/>
                <w:sz w:val="18"/>
                <w:szCs w:val="18"/>
              </w:rPr>
            </w:pPr>
          </w:p>
        </w:tc>
      </w:tr>
      <w:tr w14:paraId="00EAA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419FB5">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14:paraId="0F8AA84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-125,555.44</w:t>
            </w:r>
          </w:p>
        </w:tc>
        <w:tc>
          <w:tcPr>
            <w:tcW w:w="3213" w:type="dxa"/>
            <w:tcBorders>
              <w:top w:val="single" w:color="auto" w:sz="2" w:space="0"/>
              <w:left w:val="single" w:color="auto" w:sz="2" w:space="0"/>
              <w:bottom w:val="single" w:color="auto" w:sz="2" w:space="0"/>
              <w:right w:val="single" w:color="auto" w:sz="2" w:space="0"/>
            </w:tcBorders>
            <w:vAlign w:val="center"/>
          </w:tcPr>
          <w:p w14:paraId="23CB241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228,908.04</w:t>
            </w:r>
          </w:p>
        </w:tc>
      </w:tr>
      <w:tr w14:paraId="2B5BA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41F9B0">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14:paraId="32FF800B">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4E88A0C">
            <w:pPr>
              <w:spacing w:before="0" w:after="0" w:line="240" w:lineRule="exact"/>
              <w:jc w:val="right"/>
              <w:rPr>
                <w:rFonts w:hint="default" w:ascii="Times New Roman" w:hAnsi="Times New Roman" w:eastAsia="宋体" w:cs="Times New Roman"/>
                <w:sz w:val="18"/>
                <w:szCs w:val="18"/>
              </w:rPr>
            </w:pPr>
          </w:p>
        </w:tc>
      </w:tr>
      <w:tr w14:paraId="14F95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78CB91">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1BC8209C">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C90415E">
            <w:pPr>
              <w:spacing w:before="0" w:after="0" w:line="240" w:lineRule="exact"/>
              <w:jc w:val="right"/>
              <w:rPr>
                <w:rFonts w:hint="default" w:ascii="Times New Roman" w:hAnsi="Times New Roman" w:eastAsia="宋体" w:cs="Times New Roman"/>
                <w:sz w:val="18"/>
                <w:szCs w:val="18"/>
              </w:rPr>
            </w:pPr>
          </w:p>
        </w:tc>
      </w:tr>
      <w:tr w14:paraId="6923D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2C415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4C0A44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14,661,714.60</w:t>
            </w:r>
          </w:p>
        </w:tc>
        <w:tc>
          <w:tcPr>
            <w:tcW w:w="3213" w:type="dxa"/>
            <w:tcBorders>
              <w:top w:val="single" w:color="auto" w:sz="2" w:space="0"/>
              <w:left w:val="single" w:color="auto" w:sz="2" w:space="0"/>
              <w:bottom w:val="single" w:color="auto" w:sz="2" w:space="0"/>
              <w:right w:val="single" w:color="auto" w:sz="2" w:space="0"/>
            </w:tcBorders>
            <w:vAlign w:val="center"/>
          </w:tcPr>
          <w:p w14:paraId="1E9970A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16,681,856.04</w:t>
            </w:r>
          </w:p>
        </w:tc>
      </w:tr>
      <w:tr w14:paraId="1EF87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A764C7">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798DA6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24,220,472.84</w:t>
            </w:r>
          </w:p>
        </w:tc>
        <w:tc>
          <w:tcPr>
            <w:tcW w:w="3213" w:type="dxa"/>
            <w:tcBorders>
              <w:top w:val="single" w:color="auto" w:sz="2" w:space="0"/>
              <w:left w:val="single" w:color="auto" w:sz="2" w:space="0"/>
              <w:bottom w:val="single" w:color="auto" w:sz="2" w:space="0"/>
              <w:right w:val="single" w:color="auto" w:sz="2" w:space="0"/>
            </w:tcBorders>
            <w:vAlign w:val="center"/>
          </w:tcPr>
          <w:p w14:paraId="06EC2F7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27,491,272.24</w:t>
            </w:r>
          </w:p>
        </w:tc>
      </w:tr>
      <w:tr w14:paraId="2CEE2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262B0B">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1752DAF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-9,558,758.24</w:t>
            </w:r>
          </w:p>
        </w:tc>
        <w:tc>
          <w:tcPr>
            <w:tcW w:w="3213" w:type="dxa"/>
            <w:tcBorders>
              <w:top w:val="single" w:color="auto" w:sz="2" w:space="0"/>
              <w:left w:val="single" w:color="auto" w:sz="2" w:space="0"/>
              <w:bottom w:val="single" w:color="auto" w:sz="2" w:space="0"/>
              <w:right w:val="single" w:color="auto" w:sz="2" w:space="0"/>
            </w:tcBorders>
            <w:vAlign w:val="center"/>
          </w:tcPr>
          <w:p w14:paraId="2442794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-10,809,416.20</w:t>
            </w:r>
          </w:p>
        </w:tc>
      </w:tr>
      <w:tr w14:paraId="4BA00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E94D4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02D219">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E53A40">
            <w:pPr>
              <w:rPr>
                <w:rFonts w:hint="default" w:ascii="Times New Roman" w:hAnsi="Times New Roman" w:cs="Times New Roman"/>
              </w:rPr>
            </w:pPr>
          </w:p>
        </w:tc>
      </w:tr>
      <w:tr w14:paraId="6712E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A20BCF">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1403B3C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w:t>
            </w:r>
          </w:p>
        </w:tc>
        <w:tc>
          <w:tcPr>
            <w:tcW w:w="3213" w:type="dxa"/>
            <w:tcBorders>
              <w:top w:val="single" w:color="auto" w:sz="2" w:space="0"/>
              <w:left w:val="single" w:color="auto" w:sz="2" w:space="0"/>
              <w:bottom w:val="single" w:color="auto" w:sz="2" w:space="0"/>
              <w:right w:val="single" w:color="auto" w:sz="2" w:space="0"/>
            </w:tcBorders>
            <w:vAlign w:val="center"/>
          </w:tcPr>
          <w:p w14:paraId="50DC08B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0.10</w:t>
            </w:r>
          </w:p>
        </w:tc>
      </w:tr>
      <w:tr w14:paraId="38CF7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CF46F4">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300E6C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w:t>
            </w:r>
          </w:p>
        </w:tc>
        <w:tc>
          <w:tcPr>
            <w:tcW w:w="3213" w:type="dxa"/>
            <w:tcBorders>
              <w:top w:val="single" w:color="auto" w:sz="2" w:space="0"/>
              <w:left w:val="single" w:color="auto" w:sz="2" w:space="0"/>
              <w:bottom w:val="single" w:color="auto" w:sz="2" w:space="0"/>
              <w:right w:val="single" w:color="auto" w:sz="2" w:space="0"/>
            </w:tcBorders>
            <w:vAlign w:val="center"/>
          </w:tcPr>
          <w:p w14:paraId="2732711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0.10</w:t>
            </w:r>
          </w:p>
        </w:tc>
      </w:tr>
    </w:tbl>
    <w:p w14:paraId="5E7B7B81">
      <w:pPr>
        <w:spacing w:before="40" w:after="40" w:line="240" w:lineRule="exact"/>
        <w:jc w:val="left"/>
        <w:rPr>
          <w:rFonts w:ascii="宋体" w:hAnsi="宋体" w:eastAsia="宋体" w:cs="宋体"/>
          <w:sz w:val="18"/>
          <w:szCs w:val="18"/>
        </w:rPr>
      </w:pPr>
      <w:r>
        <w:rPr>
          <w:rFonts w:ascii="宋体" w:hAnsi="宋体" w:eastAsia="宋体" w:cs="宋体"/>
          <w:sz w:val="18"/>
          <w:szCs w:val="18"/>
        </w:rPr>
        <w:t>本期发生同一控制下企业合并的，被合并方在合并前实现的净利润为：0.00元，上期被合并方实现的净利润为：0.00元。</w:t>
      </w:r>
    </w:p>
    <w:p w14:paraId="1B816A7B">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法定代表人：张永明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主管会计工作负责人：易若峰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会计机构负责人：易若峰</w:t>
      </w:r>
    </w:p>
    <w:p w14:paraId="728EDFAC">
      <w:pPr>
        <w:pStyle w:val="3"/>
        <w:keepNext/>
        <w:keepLines/>
        <w:spacing w:before="300" w:after="300" w:line="280" w:lineRule="exact"/>
        <w:jc w:val="left"/>
        <w:outlineLvl w:val="2"/>
        <w:rPr>
          <w:rFonts w:ascii="宋体" w:hAnsi="宋体" w:eastAsia="宋体" w:cs="宋体"/>
          <w:b/>
          <w:bCs/>
          <w:sz w:val="21"/>
          <w:szCs w:val="21"/>
        </w:rPr>
      </w:pPr>
      <w:bookmarkStart w:id="221" w:name="_Toc989036"/>
      <w:r>
        <w:rPr>
          <w:rFonts w:ascii="宋体" w:hAnsi="宋体" w:eastAsia="宋体" w:cs="宋体"/>
          <w:b/>
          <w:bCs/>
          <w:sz w:val="21"/>
          <w:szCs w:val="21"/>
        </w:rPr>
        <w:t>4、母公司利润表</w:t>
      </w:r>
      <w:bookmarkEnd w:id="221"/>
    </w:p>
    <w:p w14:paraId="3A2CA0D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1173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B1AFE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8BB5E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9EF89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2024年度</w:t>
            </w:r>
          </w:p>
        </w:tc>
      </w:tr>
      <w:tr w14:paraId="23182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292E58">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14:paraId="0BD9DDA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219,072,896.74</w:t>
            </w:r>
          </w:p>
        </w:tc>
        <w:tc>
          <w:tcPr>
            <w:tcW w:w="3213" w:type="dxa"/>
            <w:tcBorders>
              <w:top w:val="single" w:color="auto" w:sz="2" w:space="0"/>
              <w:left w:val="single" w:color="auto" w:sz="2" w:space="0"/>
              <w:bottom w:val="single" w:color="auto" w:sz="2" w:space="0"/>
              <w:right w:val="single" w:color="auto" w:sz="2" w:space="0"/>
            </w:tcBorders>
            <w:vAlign w:val="center"/>
          </w:tcPr>
          <w:p w14:paraId="12BAD5F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224,733,921.94</w:t>
            </w:r>
          </w:p>
        </w:tc>
      </w:tr>
      <w:tr w14:paraId="434AC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256A0D">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14:paraId="65BDC28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43,807,186.65</w:t>
            </w:r>
          </w:p>
        </w:tc>
        <w:tc>
          <w:tcPr>
            <w:tcW w:w="3213" w:type="dxa"/>
            <w:tcBorders>
              <w:top w:val="single" w:color="auto" w:sz="2" w:space="0"/>
              <w:left w:val="single" w:color="auto" w:sz="2" w:space="0"/>
              <w:bottom w:val="single" w:color="auto" w:sz="2" w:space="0"/>
              <w:right w:val="single" w:color="auto" w:sz="2" w:space="0"/>
            </w:tcBorders>
            <w:vAlign w:val="center"/>
          </w:tcPr>
          <w:p w14:paraId="09451EF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37,192,021.59</w:t>
            </w:r>
          </w:p>
        </w:tc>
      </w:tr>
      <w:tr w14:paraId="697C7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DD2636">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14:paraId="55B547C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4,513,262.43</w:t>
            </w:r>
          </w:p>
        </w:tc>
        <w:tc>
          <w:tcPr>
            <w:tcW w:w="3213" w:type="dxa"/>
            <w:tcBorders>
              <w:top w:val="single" w:color="auto" w:sz="2" w:space="0"/>
              <w:left w:val="single" w:color="auto" w:sz="2" w:space="0"/>
              <w:bottom w:val="single" w:color="auto" w:sz="2" w:space="0"/>
              <w:right w:val="single" w:color="auto" w:sz="2" w:space="0"/>
            </w:tcBorders>
            <w:vAlign w:val="center"/>
          </w:tcPr>
          <w:p w14:paraId="6B3D4CA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3,133,710.32</w:t>
            </w:r>
          </w:p>
        </w:tc>
      </w:tr>
      <w:tr w14:paraId="3E66F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2A0255">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14:paraId="1C687BB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64,157,040.92</w:t>
            </w:r>
          </w:p>
        </w:tc>
        <w:tc>
          <w:tcPr>
            <w:tcW w:w="3213" w:type="dxa"/>
            <w:tcBorders>
              <w:top w:val="single" w:color="auto" w:sz="2" w:space="0"/>
              <w:left w:val="single" w:color="auto" w:sz="2" w:space="0"/>
              <w:bottom w:val="single" w:color="auto" w:sz="2" w:space="0"/>
              <w:right w:val="single" w:color="auto" w:sz="2" w:space="0"/>
            </w:tcBorders>
            <w:vAlign w:val="center"/>
          </w:tcPr>
          <w:p w14:paraId="319C3E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74,526,224.85</w:t>
            </w:r>
          </w:p>
        </w:tc>
      </w:tr>
      <w:tr w14:paraId="3342B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C6EB25">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14:paraId="19DB764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34,102,463.22</w:t>
            </w:r>
          </w:p>
        </w:tc>
        <w:tc>
          <w:tcPr>
            <w:tcW w:w="3213" w:type="dxa"/>
            <w:tcBorders>
              <w:top w:val="single" w:color="auto" w:sz="2" w:space="0"/>
              <w:left w:val="single" w:color="auto" w:sz="2" w:space="0"/>
              <w:bottom w:val="single" w:color="auto" w:sz="2" w:space="0"/>
              <w:right w:val="single" w:color="auto" w:sz="2" w:space="0"/>
            </w:tcBorders>
            <w:vAlign w:val="center"/>
          </w:tcPr>
          <w:p w14:paraId="062BC72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36,863,882.92</w:t>
            </w:r>
          </w:p>
        </w:tc>
      </w:tr>
      <w:tr w14:paraId="456D2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8C7951">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14:paraId="72A6EA0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12,711,734.53</w:t>
            </w:r>
          </w:p>
        </w:tc>
        <w:tc>
          <w:tcPr>
            <w:tcW w:w="3213" w:type="dxa"/>
            <w:tcBorders>
              <w:top w:val="single" w:color="auto" w:sz="2" w:space="0"/>
              <w:left w:val="single" w:color="auto" w:sz="2" w:space="0"/>
              <w:bottom w:val="single" w:color="auto" w:sz="2" w:space="0"/>
              <w:right w:val="single" w:color="auto" w:sz="2" w:space="0"/>
            </w:tcBorders>
            <w:vAlign w:val="center"/>
          </w:tcPr>
          <w:p w14:paraId="23D525D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18,338,294.92</w:t>
            </w:r>
          </w:p>
        </w:tc>
      </w:tr>
      <w:tr w14:paraId="7066E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5EF999">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14:paraId="39329E4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407,234.11</w:t>
            </w:r>
          </w:p>
        </w:tc>
        <w:tc>
          <w:tcPr>
            <w:tcW w:w="3213" w:type="dxa"/>
            <w:tcBorders>
              <w:top w:val="single" w:color="auto" w:sz="2" w:space="0"/>
              <w:left w:val="single" w:color="auto" w:sz="2" w:space="0"/>
              <w:bottom w:val="single" w:color="auto" w:sz="2" w:space="0"/>
              <w:right w:val="single" w:color="auto" w:sz="2" w:space="0"/>
            </w:tcBorders>
            <w:vAlign w:val="center"/>
          </w:tcPr>
          <w:p w14:paraId="13F449B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550,525.31</w:t>
            </w:r>
          </w:p>
        </w:tc>
      </w:tr>
      <w:tr w14:paraId="6AF40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1482F0">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14:paraId="2B8A1BC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436,886.95</w:t>
            </w:r>
          </w:p>
        </w:tc>
        <w:tc>
          <w:tcPr>
            <w:tcW w:w="3213" w:type="dxa"/>
            <w:tcBorders>
              <w:top w:val="single" w:color="auto" w:sz="2" w:space="0"/>
              <w:left w:val="single" w:color="auto" w:sz="2" w:space="0"/>
              <w:bottom w:val="single" w:color="auto" w:sz="2" w:space="0"/>
              <w:right w:val="single" w:color="auto" w:sz="2" w:space="0"/>
            </w:tcBorders>
            <w:vAlign w:val="center"/>
          </w:tcPr>
          <w:p w14:paraId="47005C7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591,530.57</w:t>
            </w:r>
          </w:p>
        </w:tc>
      </w:tr>
      <w:tr w14:paraId="75ED5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0C952F">
            <w:pPr>
              <w:spacing w:before="40" w:after="40" w:line="240" w:lineRule="exact"/>
              <w:ind w:firstLine="1260" w:firstLineChars="7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4CAB2F0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65,809.10</w:t>
            </w:r>
          </w:p>
        </w:tc>
        <w:tc>
          <w:tcPr>
            <w:tcW w:w="3213" w:type="dxa"/>
            <w:tcBorders>
              <w:top w:val="single" w:color="auto" w:sz="2" w:space="0"/>
              <w:left w:val="single" w:color="auto" w:sz="2" w:space="0"/>
              <w:bottom w:val="single" w:color="auto" w:sz="2" w:space="0"/>
              <w:right w:val="single" w:color="auto" w:sz="2" w:space="0"/>
            </w:tcBorders>
            <w:vAlign w:val="center"/>
          </w:tcPr>
          <w:p w14:paraId="2B462E7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77,573.83</w:t>
            </w:r>
          </w:p>
        </w:tc>
      </w:tr>
      <w:tr w14:paraId="623A6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883B88">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14:paraId="28DE5E9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1,888,038.11</w:t>
            </w:r>
          </w:p>
        </w:tc>
        <w:tc>
          <w:tcPr>
            <w:tcW w:w="3213" w:type="dxa"/>
            <w:tcBorders>
              <w:top w:val="single" w:color="auto" w:sz="2" w:space="0"/>
              <w:left w:val="single" w:color="auto" w:sz="2" w:space="0"/>
              <w:bottom w:val="single" w:color="auto" w:sz="2" w:space="0"/>
              <w:right w:val="single" w:color="auto" w:sz="2" w:space="0"/>
            </w:tcBorders>
            <w:vAlign w:val="center"/>
          </w:tcPr>
          <w:p w14:paraId="2ED7321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4,115,617.07</w:t>
            </w:r>
          </w:p>
        </w:tc>
      </w:tr>
      <w:tr w14:paraId="5B616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A86CE4">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6739163">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FB608F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2,076,371.20</w:t>
            </w:r>
          </w:p>
        </w:tc>
      </w:tr>
      <w:tr w14:paraId="58BAF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60CF92">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32337D67">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7AB97E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-580,897.27</w:t>
            </w:r>
          </w:p>
        </w:tc>
      </w:tr>
      <w:tr w14:paraId="145FF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6A91C6">
            <w:pPr>
              <w:spacing w:before="40" w:after="40" w:line="240" w:lineRule="exact"/>
              <w:ind w:firstLine="1260" w:firstLineChars="7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17863D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BD45C47">
            <w:pPr>
              <w:spacing w:before="0" w:after="0" w:line="240" w:lineRule="exact"/>
              <w:jc w:val="right"/>
              <w:rPr>
                <w:rFonts w:hint="default" w:ascii="Times New Roman" w:hAnsi="Times New Roman" w:eastAsia="宋体" w:cs="Times New Roman"/>
                <w:sz w:val="18"/>
                <w:szCs w:val="18"/>
              </w:rPr>
            </w:pPr>
          </w:p>
        </w:tc>
      </w:tr>
      <w:tr w14:paraId="24A60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06EFEC">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395530D6">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D892F5D">
            <w:pPr>
              <w:spacing w:before="0" w:after="0" w:line="240" w:lineRule="exact"/>
              <w:jc w:val="right"/>
              <w:rPr>
                <w:rFonts w:hint="default" w:ascii="Times New Roman" w:hAnsi="Times New Roman" w:eastAsia="宋体" w:cs="Times New Roman"/>
                <w:sz w:val="18"/>
                <w:szCs w:val="18"/>
              </w:rPr>
            </w:pPr>
          </w:p>
        </w:tc>
      </w:tr>
      <w:tr w14:paraId="74E65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4C9B4F">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07A262E">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8029C5A">
            <w:pPr>
              <w:spacing w:before="0" w:after="0" w:line="240" w:lineRule="exact"/>
              <w:jc w:val="right"/>
              <w:rPr>
                <w:rFonts w:hint="default" w:ascii="Times New Roman" w:hAnsi="Times New Roman" w:eastAsia="宋体" w:cs="Times New Roman"/>
                <w:sz w:val="18"/>
                <w:szCs w:val="18"/>
              </w:rPr>
            </w:pPr>
          </w:p>
        </w:tc>
      </w:tr>
      <w:tr w14:paraId="681C0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BED2D1">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577080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-3,808,082.59</w:t>
            </w:r>
          </w:p>
        </w:tc>
        <w:tc>
          <w:tcPr>
            <w:tcW w:w="3213" w:type="dxa"/>
            <w:tcBorders>
              <w:top w:val="single" w:color="auto" w:sz="2" w:space="0"/>
              <w:left w:val="single" w:color="auto" w:sz="2" w:space="0"/>
              <w:bottom w:val="single" w:color="auto" w:sz="2" w:space="0"/>
              <w:right w:val="single" w:color="auto" w:sz="2" w:space="0"/>
            </w:tcBorders>
            <w:vAlign w:val="center"/>
          </w:tcPr>
          <w:p w14:paraId="1E6CD98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-5,988,918.55</w:t>
            </w:r>
          </w:p>
        </w:tc>
      </w:tr>
      <w:tr w14:paraId="5D7B0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00EA4C">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7754A4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-549,196.61</w:t>
            </w:r>
          </w:p>
        </w:tc>
        <w:tc>
          <w:tcPr>
            <w:tcW w:w="3213" w:type="dxa"/>
            <w:tcBorders>
              <w:top w:val="single" w:color="auto" w:sz="2" w:space="0"/>
              <w:left w:val="single" w:color="auto" w:sz="2" w:space="0"/>
              <w:bottom w:val="single" w:color="auto" w:sz="2" w:space="0"/>
              <w:right w:val="single" w:color="auto" w:sz="2" w:space="0"/>
            </w:tcBorders>
            <w:vAlign w:val="center"/>
          </w:tcPr>
          <w:p w14:paraId="466263F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-11,713,532.71</w:t>
            </w:r>
          </w:p>
        </w:tc>
      </w:tr>
      <w:tr w14:paraId="08DC9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28F84A">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069C4A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-5,500.28</w:t>
            </w:r>
          </w:p>
        </w:tc>
        <w:tc>
          <w:tcPr>
            <w:tcW w:w="3213" w:type="dxa"/>
            <w:tcBorders>
              <w:top w:val="single" w:color="auto" w:sz="2" w:space="0"/>
              <w:left w:val="single" w:color="auto" w:sz="2" w:space="0"/>
              <w:bottom w:val="single" w:color="auto" w:sz="2" w:space="0"/>
              <w:right w:val="single" w:color="auto" w:sz="2" w:space="0"/>
            </w:tcBorders>
            <w:vAlign w:val="center"/>
          </w:tcPr>
          <w:p w14:paraId="3125D2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2,945.00</w:t>
            </w:r>
          </w:p>
        </w:tc>
      </w:tr>
      <w:tr w14:paraId="59BAC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D1D3B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399DD5D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56,899,233.51</w:t>
            </w:r>
          </w:p>
        </w:tc>
        <w:tc>
          <w:tcPr>
            <w:tcW w:w="3213" w:type="dxa"/>
            <w:tcBorders>
              <w:top w:val="single" w:color="auto" w:sz="2" w:space="0"/>
              <w:left w:val="single" w:color="auto" w:sz="2" w:space="0"/>
              <w:bottom w:val="single" w:color="auto" w:sz="2" w:space="0"/>
              <w:right w:val="single" w:color="auto" w:sz="2" w:space="0"/>
            </w:tcBorders>
            <w:vAlign w:val="center"/>
          </w:tcPr>
          <w:p w14:paraId="31BC864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42,621,744.04</w:t>
            </w:r>
          </w:p>
        </w:tc>
      </w:tr>
      <w:tr w14:paraId="268BA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43EAFD">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14:paraId="7C6AF6B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4,590.83</w:t>
            </w:r>
          </w:p>
        </w:tc>
        <w:tc>
          <w:tcPr>
            <w:tcW w:w="3213" w:type="dxa"/>
            <w:tcBorders>
              <w:top w:val="single" w:color="auto" w:sz="2" w:space="0"/>
              <w:left w:val="single" w:color="auto" w:sz="2" w:space="0"/>
              <w:bottom w:val="single" w:color="auto" w:sz="2" w:space="0"/>
              <w:right w:val="single" w:color="auto" w:sz="2" w:space="0"/>
            </w:tcBorders>
            <w:vAlign w:val="center"/>
          </w:tcPr>
          <w:p w14:paraId="6E71A08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10,192.89</w:t>
            </w:r>
          </w:p>
        </w:tc>
      </w:tr>
      <w:tr w14:paraId="2DFD6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2CD7D0">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14:paraId="639EBC4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3,028,720.16</w:t>
            </w:r>
          </w:p>
        </w:tc>
        <w:tc>
          <w:tcPr>
            <w:tcW w:w="3213" w:type="dxa"/>
            <w:tcBorders>
              <w:top w:val="single" w:color="auto" w:sz="2" w:space="0"/>
              <w:left w:val="single" w:color="auto" w:sz="2" w:space="0"/>
              <w:bottom w:val="single" w:color="auto" w:sz="2" w:space="0"/>
              <w:right w:val="single" w:color="auto" w:sz="2" w:space="0"/>
            </w:tcBorders>
            <w:vAlign w:val="center"/>
          </w:tcPr>
          <w:p w14:paraId="2418DD3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204,369.12</w:t>
            </w:r>
          </w:p>
        </w:tc>
      </w:tr>
      <w:tr w14:paraId="537B0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EB1D2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E1F6E9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53,875,104.18</w:t>
            </w:r>
          </w:p>
        </w:tc>
        <w:tc>
          <w:tcPr>
            <w:tcW w:w="3213" w:type="dxa"/>
            <w:tcBorders>
              <w:top w:val="single" w:color="auto" w:sz="2" w:space="0"/>
              <w:left w:val="single" w:color="auto" w:sz="2" w:space="0"/>
              <w:bottom w:val="single" w:color="auto" w:sz="2" w:space="0"/>
              <w:right w:val="single" w:color="auto" w:sz="2" w:space="0"/>
            </w:tcBorders>
            <w:vAlign w:val="center"/>
          </w:tcPr>
          <w:p w14:paraId="2B77449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42,427,567.81</w:t>
            </w:r>
          </w:p>
        </w:tc>
      </w:tr>
      <w:tr w14:paraId="469D2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33E04D">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48BF678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8,672,137.07</w:t>
            </w:r>
          </w:p>
        </w:tc>
        <w:tc>
          <w:tcPr>
            <w:tcW w:w="3213" w:type="dxa"/>
            <w:tcBorders>
              <w:top w:val="single" w:color="auto" w:sz="2" w:space="0"/>
              <w:left w:val="single" w:color="auto" w:sz="2" w:space="0"/>
              <w:bottom w:val="single" w:color="auto" w:sz="2" w:space="0"/>
              <w:right w:val="single" w:color="auto" w:sz="2" w:space="0"/>
            </w:tcBorders>
            <w:vAlign w:val="center"/>
          </w:tcPr>
          <w:p w14:paraId="0C44B88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7,095,676.33</w:t>
            </w:r>
          </w:p>
        </w:tc>
      </w:tr>
      <w:tr w14:paraId="414F5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01E5C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3FB841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45,202,967.11</w:t>
            </w:r>
          </w:p>
        </w:tc>
        <w:tc>
          <w:tcPr>
            <w:tcW w:w="3213" w:type="dxa"/>
            <w:tcBorders>
              <w:top w:val="single" w:color="auto" w:sz="2" w:space="0"/>
              <w:left w:val="single" w:color="auto" w:sz="2" w:space="0"/>
              <w:bottom w:val="single" w:color="auto" w:sz="2" w:space="0"/>
              <w:right w:val="single" w:color="auto" w:sz="2" w:space="0"/>
            </w:tcBorders>
            <w:vAlign w:val="center"/>
          </w:tcPr>
          <w:p w14:paraId="014DCE5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35,331,891.48</w:t>
            </w:r>
          </w:p>
        </w:tc>
      </w:tr>
      <w:tr w14:paraId="2937A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FD5FCF">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3910BBE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45,202,967.11</w:t>
            </w:r>
          </w:p>
        </w:tc>
        <w:tc>
          <w:tcPr>
            <w:tcW w:w="3213" w:type="dxa"/>
            <w:tcBorders>
              <w:top w:val="single" w:color="auto" w:sz="2" w:space="0"/>
              <w:left w:val="single" w:color="auto" w:sz="2" w:space="0"/>
              <w:bottom w:val="single" w:color="auto" w:sz="2" w:space="0"/>
              <w:right w:val="single" w:color="auto" w:sz="2" w:space="0"/>
            </w:tcBorders>
            <w:vAlign w:val="center"/>
          </w:tcPr>
          <w:p w14:paraId="3884FA8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35,331,891.48</w:t>
            </w:r>
          </w:p>
        </w:tc>
      </w:tr>
      <w:tr w14:paraId="09E02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3D832D">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05CD2CEE">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3925C36">
            <w:pPr>
              <w:spacing w:before="0" w:after="0" w:line="240" w:lineRule="exact"/>
              <w:jc w:val="right"/>
              <w:rPr>
                <w:rFonts w:hint="default" w:ascii="Times New Roman" w:hAnsi="Times New Roman" w:eastAsia="宋体" w:cs="Times New Roman"/>
                <w:sz w:val="18"/>
                <w:szCs w:val="18"/>
              </w:rPr>
            </w:pPr>
          </w:p>
        </w:tc>
      </w:tr>
      <w:tr w14:paraId="685CA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4DE97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5A589BD3">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1CE33F5">
            <w:pPr>
              <w:spacing w:before="0" w:after="0" w:line="240" w:lineRule="exact"/>
              <w:jc w:val="right"/>
              <w:rPr>
                <w:rFonts w:hint="default" w:ascii="Times New Roman" w:hAnsi="Times New Roman" w:eastAsia="宋体" w:cs="Times New Roman"/>
                <w:sz w:val="18"/>
                <w:szCs w:val="18"/>
              </w:rPr>
            </w:pPr>
          </w:p>
        </w:tc>
      </w:tr>
      <w:tr w14:paraId="06A69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7F1FB8">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2F55DA31">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1D86B74">
            <w:pPr>
              <w:spacing w:before="0" w:after="0" w:line="240" w:lineRule="exact"/>
              <w:jc w:val="right"/>
              <w:rPr>
                <w:rFonts w:hint="default" w:ascii="Times New Roman" w:hAnsi="Times New Roman" w:eastAsia="宋体" w:cs="Times New Roman"/>
                <w:sz w:val="18"/>
                <w:szCs w:val="18"/>
              </w:rPr>
            </w:pPr>
          </w:p>
        </w:tc>
      </w:tr>
      <w:tr w14:paraId="5333B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024769">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14:paraId="692DADD6">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AC5ABF4">
            <w:pPr>
              <w:spacing w:before="0" w:after="0" w:line="240" w:lineRule="exact"/>
              <w:jc w:val="right"/>
              <w:rPr>
                <w:rFonts w:hint="default" w:ascii="Times New Roman" w:hAnsi="Times New Roman" w:eastAsia="宋体" w:cs="Times New Roman"/>
                <w:sz w:val="18"/>
                <w:szCs w:val="18"/>
              </w:rPr>
            </w:pPr>
          </w:p>
        </w:tc>
      </w:tr>
      <w:tr w14:paraId="243FF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03E7A5">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152E13A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3F3F86">
            <w:pPr>
              <w:spacing w:before="0" w:after="0" w:line="240" w:lineRule="exact"/>
              <w:jc w:val="right"/>
              <w:rPr>
                <w:rFonts w:hint="default" w:ascii="Times New Roman" w:hAnsi="Times New Roman" w:eastAsia="宋体" w:cs="Times New Roman"/>
                <w:sz w:val="18"/>
                <w:szCs w:val="18"/>
              </w:rPr>
            </w:pPr>
          </w:p>
        </w:tc>
      </w:tr>
      <w:tr w14:paraId="21D19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1AB7CF">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6FEF5A5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1C6F2E7">
            <w:pPr>
              <w:spacing w:before="0" w:after="0" w:line="240" w:lineRule="exact"/>
              <w:jc w:val="right"/>
              <w:rPr>
                <w:rFonts w:hint="default" w:ascii="Times New Roman" w:hAnsi="Times New Roman" w:eastAsia="宋体" w:cs="Times New Roman"/>
                <w:sz w:val="18"/>
                <w:szCs w:val="18"/>
              </w:rPr>
            </w:pPr>
          </w:p>
        </w:tc>
      </w:tr>
      <w:tr w14:paraId="762A0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14F235">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110066F0">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C0C53B1">
            <w:pPr>
              <w:spacing w:before="0" w:after="0" w:line="240" w:lineRule="exact"/>
              <w:jc w:val="right"/>
              <w:rPr>
                <w:rFonts w:hint="default" w:ascii="Times New Roman" w:hAnsi="Times New Roman" w:eastAsia="宋体" w:cs="Times New Roman"/>
                <w:sz w:val="18"/>
                <w:szCs w:val="18"/>
              </w:rPr>
            </w:pPr>
          </w:p>
        </w:tc>
      </w:tr>
      <w:tr w14:paraId="0E9A4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D23CF1">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14:paraId="3B5FB880">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7E16949">
            <w:pPr>
              <w:spacing w:before="0" w:after="0" w:line="240" w:lineRule="exact"/>
              <w:jc w:val="right"/>
              <w:rPr>
                <w:rFonts w:hint="default" w:ascii="Times New Roman" w:hAnsi="Times New Roman" w:eastAsia="宋体" w:cs="Times New Roman"/>
                <w:sz w:val="18"/>
                <w:szCs w:val="18"/>
              </w:rPr>
            </w:pPr>
          </w:p>
        </w:tc>
      </w:tr>
      <w:tr w14:paraId="0FAAF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026C87">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5EFAA7AC">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F960267">
            <w:pPr>
              <w:spacing w:before="0" w:after="0" w:line="240" w:lineRule="exact"/>
              <w:jc w:val="right"/>
              <w:rPr>
                <w:rFonts w:hint="default" w:ascii="Times New Roman" w:hAnsi="Times New Roman" w:eastAsia="宋体" w:cs="Times New Roman"/>
                <w:sz w:val="18"/>
                <w:szCs w:val="18"/>
              </w:rPr>
            </w:pPr>
          </w:p>
        </w:tc>
      </w:tr>
      <w:tr w14:paraId="1D925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D6548C">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3B660505">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77733AA">
            <w:pPr>
              <w:spacing w:before="0" w:after="0" w:line="240" w:lineRule="exact"/>
              <w:jc w:val="right"/>
              <w:rPr>
                <w:rFonts w:hint="default" w:ascii="Times New Roman" w:hAnsi="Times New Roman" w:eastAsia="宋体" w:cs="Times New Roman"/>
                <w:sz w:val="18"/>
                <w:szCs w:val="18"/>
              </w:rPr>
            </w:pPr>
          </w:p>
        </w:tc>
      </w:tr>
      <w:tr w14:paraId="3535F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190F49">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7B1DF451">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8C38745">
            <w:pPr>
              <w:spacing w:before="0" w:after="0" w:line="240" w:lineRule="exact"/>
              <w:jc w:val="right"/>
              <w:rPr>
                <w:rFonts w:hint="default" w:ascii="Times New Roman" w:hAnsi="Times New Roman" w:eastAsia="宋体" w:cs="Times New Roman"/>
                <w:sz w:val="18"/>
                <w:szCs w:val="18"/>
              </w:rPr>
            </w:pPr>
          </w:p>
        </w:tc>
      </w:tr>
      <w:tr w14:paraId="560F6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C0BBC1">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14:paraId="0A3911CB">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6CDD97A">
            <w:pPr>
              <w:spacing w:before="0" w:after="0" w:line="240" w:lineRule="exact"/>
              <w:jc w:val="right"/>
              <w:rPr>
                <w:rFonts w:hint="default" w:ascii="Times New Roman" w:hAnsi="Times New Roman" w:eastAsia="宋体" w:cs="Times New Roman"/>
                <w:sz w:val="18"/>
                <w:szCs w:val="18"/>
              </w:rPr>
            </w:pPr>
          </w:p>
        </w:tc>
      </w:tr>
      <w:tr w14:paraId="09DC8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CBE8C0">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14:paraId="78BA4D5B">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CC9E9E2">
            <w:pPr>
              <w:spacing w:before="0" w:after="0" w:line="240" w:lineRule="exact"/>
              <w:jc w:val="right"/>
              <w:rPr>
                <w:rFonts w:hint="default" w:ascii="Times New Roman" w:hAnsi="Times New Roman" w:eastAsia="宋体" w:cs="Times New Roman"/>
                <w:sz w:val="18"/>
                <w:szCs w:val="18"/>
              </w:rPr>
            </w:pPr>
          </w:p>
        </w:tc>
      </w:tr>
      <w:tr w14:paraId="0748A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1B2FA3">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14:paraId="6CB7071F">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D4D8C94">
            <w:pPr>
              <w:spacing w:before="0" w:after="0" w:line="240" w:lineRule="exact"/>
              <w:jc w:val="right"/>
              <w:rPr>
                <w:rFonts w:hint="default" w:ascii="Times New Roman" w:hAnsi="Times New Roman" w:eastAsia="宋体" w:cs="Times New Roman"/>
                <w:sz w:val="18"/>
                <w:szCs w:val="18"/>
              </w:rPr>
            </w:pPr>
          </w:p>
        </w:tc>
      </w:tr>
      <w:tr w14:paraId="46053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D67389">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14:paraId="556D4AF5">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21ACA41">
            <w:pPr>
              <w:spacing w:before="0" w:after="0" w:line="240" w:lineRule="exact"/>
              <w:jc w:val="right"/>
              <w:rPr>
                <w:rFonts w:hint="default" w:ascii="Times New Roman" w:hAnsi="Times New Roman" w:eastAsia="宋体" w:cs="Times New Roman"/>
                <w:sz w:val="18"/>
                <w:szCs w:val="18"/>
              </w:rPr>
            </w:pPr>
          </w:p>
        </w:tc>
      </w:tr>
      <w:tr w14:paraId="6B34A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C11AC6">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14:paraId="2F144375">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FA7E7C9">
            <w:pPr>
              <w:spacing w:before="0" w:after="0" w:line="240" w:lineRule="exact"/>
              <w:jc w:val="right"/>
              <w:rPr>
                <w:rFonts w:hint="default" w:ascii="Times New Roman" w:hAnsi="Times New Roman" w:eastAsia="宋体" w:cs="Times New Roman"/>
                <w:sz w:val="18"/>
                <w:szCs w:val="18"/>
              </w:rPr>
            </w:pPr>
          </w:p>
        </w:tc>
      </w:tr>
      <w:tr w14:paraId="7A7C6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D1F79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1642DBE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45,202,967.11</w:t>
            </w:r>
          </w:p>
        </w:tc>
        <w:tc>
          <w:tcPr>
            <w:tcW w:w="3213" w:type="dxa"/>
            <w:tcBorders>
              <w:top w:val="single" w:color="auto" w:sz="2" w:space="0"/>
              <w:left w:val="single" w:color="auto" w:sz="2" w:space="0"/>
              <w:bottom w:val="single" w:color="auto" w:sz="2" w:space="0"/>
              <w:right w:val="single" w:color="auto" w:sz="2" w:space="0"/>
            </w:tcBorders>
            <w:vAlign w:val="center"/>
          </w:tcPr>
          <w:p w14:paraId="02280AB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35,331,891.48</w:t>
            </w:r>
          </w:p>
        </w:tc>
      </w:tr>
      <w:tr w14:paraId="00322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DA022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E6207F">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872CA9">
            <w:pPr>
              <w:rPr>
                <w:rFonts w:hint="default" w:ascii="Times New Roman" w:hAnsi="Times New Roman" w:cs="Times New Roman"/>
              </w:rPr>
            </w:pPr>
          </w:p>
        </w:tc>
      </w:tr>
      <w:tr w14:paraId="5049F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758B83">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337B9E37">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8EF7A5C">
            <w:pPr>
              <w:spacing w:before="0" w:after="0" w:line="240" w:lineRule="exact"/>
              <w:jc w:val="right"/>
              <w:rPr>
                <w:rFonts w:hint="default" w:ascii="Times New Roman" w:hAnsi="Times New Roman" w:eastAsia="宋体" w:cs="Times New Roman"/>
                <w:sz w:val="18"/>
                <w:szCs w:val="18"/>
              </w:rPr>
            </w:pPr>
          </w:p>
        </w:tc>
      </w:tr>
      <w:tr w14:paraId="0A34B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5B92BE">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532D903F">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5A717CB">
            <w:pPr>
              <w:spacing w:before="0" w:after="0" w:line="240" w:lineRule="exact"/>
              <w:jc w:val="right"/>
              <w:rPr>
                <w:rFonts w:hint="default" w:ascii="Times New Roman" w:hAnsi="Times New Roman" w:eastAsia="宋体" w:cs="Times New Roman"/>
                <w:sz w:val="18"/>
                <w:szCs w:val="18"/>
              </w:rPr>
            </w:pPr>
          </w:p>
        </w:tc>
      </w:tr>
    </w:tbl>
    <w:p w14:paraId="43A4B935">
      <w:pPr>
        <w:pStyle w:val="3"/>
        <w:keepNext/>
        <w:keepLines/>
        <w:spacing w:before="300" w:after="300" w:line="280" w:lineRule="exact"/>
        <w:jc w:val="left"/>
        <w:outlineLvl w:val="2"/>
        <w:rPr>
          <w:rFonts w:ascii="宋体" w:hAnsi="宋体" w:eastAsia="宋体" w:cs="宋体"/>
          <w:b/>
          <w:bCs/>
          <w:sz w:val="21"/>
          <w:szCs w:val="21"/>
        </w:rPr>
      </w:pPr>
      <w:bookmarkStart w:id="222" w:name="_Toc989037"/>
      <w:r>
        <w:rPr>
          <w:rFonts w:ascii="宋体" w:hAnsi="宋体" w:eastAsia="宋体" w:cs="宋体"/>
          <w:b/>
          <w:bCs/>
          <w:sz w:val="21"/>
          <w:szCs w:val="21"/>
        </w:rPr>
        <w:t>5、合并现金流量表</w:t>
      </w:r>
      <w:bookmarkEnd w:id="222"/>
    </w:p>
    <w:p w14:paraId="058A34D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F85A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316401">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B6AA77">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CFA63F">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2024年度</w:t>
            </w:r>
          </w:p>
        </w:tc>
      </w:tr>
      <w:tr w14:paraId="0E98E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06B46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8DBEE8">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9EBD11">
            <w:pPr>
              <w:rPr>
                <w:rFonts w:hint="default" w:ascii="Times New Roman" w:hAnsi="Times New Roman" w:cs="Times New Roman"/>
              </w:rPr>
            </w:pPr>
          </w:p>
        </w:tc>
      </w:tr>
      <w:tr w14:paraId="2CFF5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4CEB6C">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5096BCE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444,379,920.39</w:t>
            </w:r>
          </w:p>
        </w:tc>
        <w:tc>
          <w:tcPr>
            <w:tcW w:w="3213" w:type="dxa"/>
            <w:tcBorders>
              <w:top w:val="single" w:color="auto" w:sz="2" w:space="0"/>
              <w:left w:val="single" w:color="auto" w:sz="2" w:space="0"/>
              <w:bottom w:val="single" w:color="auto" w:sz="2" w:space="0"/>
              <w:right w:val="single" w:color="auto" w:sz="2" w:space="0"/>
            </w:tcBorders>
            <w:vAlign w:val="center"/>
          </w:tcPr>
          <w:p w14:paraId="375C7DF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405,600,477.34</w:t>
            </w:r>
          </w:p>
        </w:tc>
      </w:tr>
      <w:tr w14:paraId="263CF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0F7D80">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0631C6E6">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AB865B2">
            <w:pPr>
              <w:spacing w:before="0" w:after="0" w:line="240" w:lineRule="exact"/>
              <w:jc w:val="right"/>
              <w:rPr>
                <w:rFonts w:hint="default" w:ascii="Times New Roman" w:hAnsi="Times New Roman" w:eastAsia="宋体" w:cs="Times New Roman"/>
                <w:sz w:val="18"/>
                <w:szCs w:val="18"/>
              </w:rPr>
            </w:pPr>
          </w:p>
        </w:tc>
      </w:tr>
      <w:tr w14:paraId="1232B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6DFDD0">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638F5E04">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EB8F08B">
            <w:pPr>
              <w:spacing w:before="0" w:after="0" w:line="240" w:lineRule="exact"/>
              <w:jc w:val="right"/>
              <w:rPr>
                <w:rFonts w:hint="default" w:ascii="Times New Roman" w:hAnsi="Times New Roman" w:eastAsia="宋体" w:cs="Times New Roman"/>
                <w:sz w:val="18"/>
                <w:szCs w:val="18"/>
              </w:rPr>
            </w:pPr>
          </w:p>
        </w:tc>
      </w:tr>
      <w:tr w14:paraId="1AF3D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82C142">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0B2B0E96">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02A3786">
            <w:pPr>
              <w:spacing w:before="0" w:after="0" w:line="240" w:lineRule="exact"/>
              <w:jc w:val="right"/>
              <w:rPr>
                <w:rFonts w:hint="default" w:ascii="Times New Roman" w:hAnsi="Times New Roman" w:eastAsia="宋体" w:cs="Times New Roman"/>
                <w:sz w:val="18"/>
                <w:szCs w:val="18"/>
              </w:rPr>
            </w:pPr>
          </w:p>
        </w:tc>
      </w:tr>
      <w:tr w14:paraId="3FAA8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C1EBAC">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14:paraId="663BC56A">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CEAAEF3">
            <w:pPr>
              <w:spacing w:before="0" w:after="0" w:line="240" w:lineRule="exact"/>
              <w:jc w:val="right"/>
              <w:rPr>
                <w:rFonts w:hint="default" w:ascii="Times New Roman" w:hAnsi="Times New Roman" w:eastAsia="宋体" w:cs="Times New Roman"/>
                <w:sz w:val="18"/>
                <w:szCs w:val="18"/>
              </w:rPr>
            </w:pPr>
          </w:p>
        </w:tc>
      </w:tr>
      <w:tr w14:paraId="2AE74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654CC3">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09A2CAFB">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DFF1981">
            <w:pPr>
              <w:spacing w:before="0" w:after="0" w:line="240" w:lineRule="exact"/>
              <w:jc w:val="right"/>
              <w:rPr>
                <w:rFonts w:hint="default" w:ascii="Times New Roman" w:hAnsi="Times New Roman" w:eastAsia="宋体" w:cs="Times New Roman"/>
                <w:sz w:val="18"/>
                <w:szCs w:val="18"/>
              </w:rPr>
            </w:pPr>
          </w:p>
        </w:tc>
      </w:tr>
      <w:tr w14:paraId="5AE88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5F268C">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12CFA2D7">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08B4918">
            <w:pPr>
              <w:spacing w:before="0" w:after="0" w:line="240" w:lineRule="exact"/>
              <w:jc w:val="right"/>
              <w:rPr>
                <w:rFonts w:hint="default" w:ascii="Times New Roman" w:hAnsi="Times New Roman" w:eastAsia="宋体" w:cs="Times New Roman"/>
                <w:sz w:val="18"/>
                <w:szCs w:val="18"/>
              </w:rPr>
            </w:pPr>
          </w:p>
        </w:tc>
      </w:tr>
      <w:tr w14:paraId="47D78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AA4749">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14:paraId="126B2B2E">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95FD03A">
            <w:pPr>
              <w:spacing w:before="0" w:after="0" w:line="240" w:lineRule="exact"/>
              <w:jc w:val="right"/>
              <w:rPr>
                <w:rFonts w:hint="default" w:ascii="Times New Roman" w:hAnsi="Times New Roman" w:eastAsia="宋体" w:cs="Times New Roman"/>
                <w:sz w:val="18"/>
                <w:szCs w:val="18"/>
              </w:rPr>
            </w:pPr>
          </w:p>
        </w:tc>
      </w:tr>
      <w:tr w14:paraId="4095C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9BD51E">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3BCB35B5">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3ED170">
            <w:pPr>
              <w:spacing w:before="0" w:after="0" w:line="240" w:lineRule="exact"/>
              <w:jc w:val="right"/>
              <w:rPr>
                <w:rFonts w:hint="default" w:ascii="Times New Roman" w:hAnsi="Times New Roman" w:eastAsia="宋体" w:cs="Times New Roman"/>
                <w:sz w:val="18"/>
                <w:szCs w:val="18"/>
              </w:rPr>
            </w:pPr>
          </w:p>
        </w:tc>
      </w:tr>
      <w:tr w14:paraId="7ADF0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5BA5F6">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67362E42">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34C25C6">
            <w:pPr>
              <w:spacing w:before="0" w:after="0" w:line="240" w:lineRule="exact"/>
              <w:jc w:val="right"/>
              <w:rPr>
                <w:rFonts w:hint="default" w:ascii="Times New Roman" w:hAnsi="Times New Roman" w:eastAsia="宋体" w:cs="Times New Roman"/>
                <w:sz w:val="18"/>
                <w:szCs w:val="18"/>
              </w:rPr>
            </w:pPr>
          </w:p>
        </w:tc>
      </w:tr>
      <w:tr w14:paraId="6FAD6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3B40B1">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600129CB">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F7BD9D6">
            <w:pPr>
              <w:spacing w:before="0" w:after="0" w:line="240" w:lineRule="exact"/>
              <w:jc w:val="right"/>
              <w:rPr>
                <w:rFonts w:hint="default" w:ascii="Times New Roman" w:hAnsi="Times New Roman" w:eastAsia="宋体" w:cs="Times New Roman"/>
                <w:sz w:val="18"/>
                <w:szCs w:val="18"/>
              </w:rPr>
            </w:pPr>
          </w:p>
        </w:tc>
      </w:tr>
      <w:tr w14:paraId="4F6E0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C2F9EF">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14:paraId="30D37E0D">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72F081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1,075,517.00</w:t>
            </w:r>
          </w:p>
        </w:tc>
      </w:tr>
      <w:tr w14:paraId="49455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961673">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025522B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11,750,433.20</w:t>
            </w:r>
          </w:p>
        </w:tc>
        <w:tc>
          <w:tcPr>
            <w:tcW w:w="3213" w:type="dxa"/>
            <w:tcBorders>
              <w:top w:val="single" w:color="auto" w:sz="2" w:space="0"/>
              <w:left w:val="single" w:color="auto" w:sz="2" w:space="0"/>
              <w:bottom w:val="single" w:color="auto" w:sz="2" w:space="0"/>
              <w:right w:val="single" w:color="auto" w:sz="2" w:space="0"/>
            </w:tcBorders>
            <w:vAlign w:val="center"/>
          </w:tcPr>
          <w:p w14:paraId="41FAA3F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23,947,764.04</w:t>
            </w:r>
          </w:p>
        </w:tc>
      </w:tr>
      <w:tr w14:paraId="48DED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583A9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48A604E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456,130,353.59</w:t>
            </w:r>
          </w:p>
        </w:tc>
        <w:tc>
          <w:tcPr>
            <w:tcW w:w="3213" w:type="dxa"/>
            <w:tcBorders>
              <w:top w:val="single" w:color="auto" w:sz="2" w:space="0"/>
              <w:left w:val="single" w:color="auto" w:sz="2" w:space="0"/>
              <w:bottom w:val="single" w:color="auto" w:sz="2" w:space="0"/>
              <w:right w:val="single" w:color="auto" w:sz="2" w:space="0"/>
            </w:tcBorders>
            <w:vAlign w:val="center"/>
          </w:tcPr>
          <w:p w14:paraId="16E4192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430,623,758.38</w:t>
            </w:r>
          </w:p>
        </w:tc>
      </w:tr>
      <w:tr w14:paraId="4ED7F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47AAFE">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0521788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78,336,830.70</w:t>
            </w:r>
          </w:p>
        </w:tc>
        <w:tc>
          <w:tcPr>
            <w:tcW w:w="3213" w:type="dxa"/>
            <w:tcBorders>
              <w:top w:val="single" w:color="auto" w:sz="2" w:space="0"/>
              <w:left w:val="single" w:color="auto" w:sz="2" w:space="0"/>
              <w:bottom w:val="single" w:color="auto" w:sz="2" w:space="0"/>
              <w:right w:val="single" w:color="auto" w:sz="2" w:space="0"/>
            </w:tcBorders>
            <w:vAlign w:val="center"/>
          </w:tcPr>
          <w:p w14:paraId="3DE6436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77,269,175.98</w:t>
            </w:r>
          </w:p>
        </w:tc>
      </w:tr>
      <w:tr w14:paraId="3FA0F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6B8D4F">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59A3F55B">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7F32EFA">
            <w:pPr>
              <w:spacing w:before="0" w:after="0" w:line="240" w:lineRule="exact"/>
              <w:jc w:val="right"/>
              <w:rPr>
                <w:rFonts w:hint="default" w:ascii="Times New Roman" w:hAnsi="Times New Roman" w:eastAsia="宋体" w:cs="Times New Roman"/>
                <w:sz w:val="18"/>
                <w:szCs w:val="18"/>
              </w:rPr>
            </w:pPr>
          </w:p>
        </w:tc>
      </w:tr>
      <w:tr w14:paraId="2B879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6CE19D">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105E891E">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7787A74">
            <w:pPr>
              <w:spacing w:before="0" w:after="0" w:line="240" w:lineRule="exact"/>
              <w:jc w:val="right"/>
              <w:rPr>
                <w:rFonts w:hint="default" w:ascii="Times New Roman" w:hAnsi="Times New Roman" w:eastAsia="宋体" w:cs="Times New Roman"/>
                <w:sz w:val="18"/>
                <w:szCs w:val="18"/>
              </w:rPr>
            </w:pPr>
          </w:p>
        </w:tc>
      </w:tr>
      <w:tr w14:paraId="5D805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E90C66">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14:paraId="7228D4BF">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675DB56">
            <w:pPr>
              <w:spacing w:before="0" w:after="0" w:line="240" w:lineRule="exact"/>
              <w:jc w:val="right"/>
              <w:rPr>
                <w:rFonts w:hint="default" w:ascii="Times New Roman" w:hAnsi="Times New Roman" w:eastAsia="宋体" w:cs="Times New Roman"/>
                <w:sz w:val="18"/>
                <w:szCs w:val="18"/>
              </w:rPr>
            </w:pPr>
          </w:p>
        </w:tc>
      </w:tr>
      <w:tr w14:paraId="50FC0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9B01BC">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4BAE81C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96ACE2">
            <w:pPr>
              <w:spacing w:before="0" w:after="0" w:line="240" w:lineRule="exact"/>
              <w:jc w:val="right"/>
              <w:rPr>
                <w:rFonts w:hint="default" w:ascii="Times New Roman" w:hAnsi="Times New Roman" w:eastAsia="宋体" w:cs="Times New Roman"/>
                <w:sz w:val="18"/>
                <w:szCs w:val="18"/>
              </w:rPr>
            </w:pPr>
          </w:p>
        </w:tc>
      </w:tr>
      <w:tr w14:paraId="44B7D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6C7A8E">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14:paraId="23A58EF8">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863234D">
            <w:pPr>
              <w:spacing w:before="0" w:after="0" w:line="240" w:lineRule="exact"/>
              <w:jc w:val="right"/>
              <w:rPr>
                <w:rFonts w:hint="default" w:ascii="Times New Roman" w:hAnsi="Times New Roman" w:eastAsia="宋体" w:cs="Times New Roman"/>
                <w:sz w:val="18"/>
                <w:szCs w:val="18"/>
              </w:rPr>
            </w:pPr>
          </w:p>
        </w:tc>
      </w:tr>
      <w:tr w14:paraId="5AE91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6A4202">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14:paraId="6C6A3B62">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589F7AE">
            <w:pPr>
              <w:spacing w:before="0" w:after="0" w:line="240" w:lineRule="exact"/>
              <w:jc w:val="right"/>
              <w:rPr>
                <w:rFonts w:hint="default" w:ascii="Times New Roman" w:hAnsi="Times New Roman" w:eastAsia="宋体" w:cs="Times New Roman"/>
                <w:sz w:val="18"/>
                <w:szCs w:val="18"/>
              </w:rPr>
            </w:pPr>
          </w:p>
        </w:tc>
      </w:tr>
      <w:tr w14:paraId="67594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EEA697">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72FAE73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104,379,620.03</w:t>
            </w:r>
          </w:p>
        </w:tc>
        <w:tc>
          <w:tcPr>
            <w:tcW w:w="3213" w:type="dxa"/>
            <w:tcBorders>
              <w:top w:val="single" w:color="auto" w:sz="2" w:space="0"/>
              <w:left w:val="single" w:color="auto" w:sz="2" w:space="0"/>
              <w:bottom w:val="single" w:color="auto" w:sz="2" w:space="0"/>
              <w:right w:val="single" w:color="auto" w:sz="2" w:space="0"/>
            </w:tcBorders>
            <w:vAlign w:val="center"/>
          </w:tcPr>
          <w:p w14:paraId="54FD4A6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105,614,558.26</w:t>
            </w:r>
          </w:p>
        </w:tc>
      </w:tr>
      <w:tr w14:paraId="2618A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0B6C38">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14:paraId="7DA7C0F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44,734,229.63</w:t>
            </w:r>
          </w:p>
        </w:tc>
        <w:tc>
          <w:tcPr>
            <w:tcW w:w="3213" w:type="dxa"/>
            <w:tcBorders>
              <w:top w:val="single" w:color="auto" w:sz="2" w:space="0"/>
              <w:left w:val="single" w:color="auto" w:sz="2" w:space="0"/>
              <w:bottom w:val="single" w:color="auto" w:sz="2" w:space="0"/>
              <w:right w:val="single" w:color="auto" w:sz="2" w:space="0"/>
            </w:tcBorders>
            <w:vAlign w:val="center"/>
          </w:tcPr>
          <w:p w14:paraId="2535D75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39,843,932.35</w:t>
            </w:r>
          </w:p>
        </w:tc>
      </w:tr>
      <w:tr w14:paraId="0AEE3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5D120C">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4DC6B17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157,205,877.47</w:t>
            </w:r>
          </w:p>
        </w:tc>
        <w:tc>
          <w:tcPr>
            <w:tcW w:w="3213" w:type="dxa"/>
            <w:tcBorders>
              <w:top w:val="single" w:color="auto" w:sz="2" w:space="0"/>
              <w:left w:val="single" w:color="auto" w:sz="2" w:space="0"/>
              <w:bottom w:val="single" w:color="auto" w:sz="2" w:space="0"/>
              <w:right w:val="single" w:color="auto" w:sz="2" w:space="0"/>
            </w:tcBorders>
            <w:vAlign w:val="center"/>
          </w:tcPr>
          <w:p w14:paraId="79A8649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158,341,294.80</w:t>
            </w:r>
          </w:p>
        </w:tc>
      </w:tr>
      <w:tr w14:paraId="3ECDA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8846C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47DC74A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384,656,557.83</w:t>
            </w:r>
          </w:p>
        </w:tc>
        <w:tc>
          <w:tcPr>
            <w:tcW w:w="3213" w:type="dxa"/>
            <w:tcBorders>
              <w:top w:val="single" w:color="auto" w:sz="2" w:space="0"/>
              <w:left w:val="single" w:color="auto" w:sz="2" w:space="0"/>
              <w:bottom w:val="single" w:color="auto" w:sz="2" w:space="0"/>
              <w:right w:val="single" w:color="auto" w:sz="2" w:space="0"/>
            </w:tcBorders>
            <w:vAlign w:val="center"/>
          </w:tcPr>
          <w:p w14:paraId="01CBB8B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381,068,961.39</w:t>
            </w:r>
          </w:p>
        </w:tc>
      </w:tr>
      <w:tr w14:paraId="34F74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A508C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6BD3B8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71,473,795.76</w:t>
            </w:r>
          </w:p>
        </w:tc>
        <w:tc>
          <w:tcPr>
            <w:tcW w:w="3213" w:type="dxa"/>
            <w:tcBorders>
              <w:top w:val="single" w:color="auto" w:sz="2" w:space="0"/>
              <w:left w:val="single" w:color="auto" w:sz="2" w:space="0"/>
              <w:bottom w:val="single" w:color="auto" w:sz="2" w:space="0"/>
              <w:right w:val="single" w:color="auto" w:sz="2" w:space="0"/>
            </w:tcBorders>
            <w:vAlign w:val="center"/>
          </w:tcPr>
          <w:p w14:paraId="06B6023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49,554,796.99</w:t>
            </w:r>
          </w:p>
        </w:tc>
      </w:tr>
      <w:tr w14:paraId="6CA51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5E567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23038F">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AEA1C0">
            <w:pPr>
              <w:rPr>
                <w:rFonts w:hint="default" w:ascii="Times New Roman" w:hAnsi="Times New Roman" w:cs="Times New Roman"/>
              </w:rPr>
            </w:pPr>
          </w:p>
        </w:tc>
      </w:tr>
      <w:tr w14:paraId="1F786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D30EF6">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5E865D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3,142,712.17</w:t>
            </w:r>
          </w:p>
        </w:tc>
        <w:tc>
          <w:tcPr>
            <w:tcW w:w="3213" w:type="dxa"/>
            <w:tcBorders>
              <w:top w:val="single" w:color="auto" w:sz="2" w:space="0"/>
              <w:left w:val="single" w:color="auto" w:sz="2" w:space="0"/>
              <w:bottom w:val="single" w:color="auto" w:sz="2" w:space="0"/>
              <w:right w:val="single" w:color="auto" w:sz="2" w:space="0"/>
            </w:tcBorders>
            <w:vAlign w:val="center"/>
          </w:tcPr>
          <w:p w14:paraId="25928B33">
            <w:pPr>
              <w:spacing w:before="0" w:after="0" w:line="240" w:lineRule="exact"/>
              <w:jc w:val="right"/>
              <w:rPr>
                <w:rFonts w:hint="default" w:ascii="Times New Roman" w:hAnsi="Times New Roman" w:eastAsia="宋体" w:cs="Times New Roman"/>
                <w:sz w:val="18"/>
                <w:szCs w:val="18"/>
              </w:rPr>
            </w:pPr>
          </w:p>
        </w:tc>
      </w:tr>
      <w:tr w14:paraId="3677F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BB1EB0">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6472C406">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537DA4B">
            <w:pPr>
              <w:spacing w:before="0" w:after="0" w:line="240" w:lineRule="exact"/>
              <w:jc w:val="right"/>
              <w:rPr>
                <w:rFonts w:hint="default" w:ascii="Times New Roman" w:hAnsi="Times New Roman" w:eastAsia="宋体" w:cs="Times New Roman"/>
                <w:sz w:val="18"/>
                <w:szCs w:val="18"/>
              </w:rPr>
            </w:pPr>
          </w:p>
        </w:tc>
      </w:tr>
      <w:tr w14:paraId="7FA09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ABDEF8">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1F42339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34,979.17</w:t>
            </w:r>
          </w:p>
        </w:tc>
        <w:tc>
          <w:tcPr>
            <w:tcW w:w="3213" w:type="dxa"/>
            <w:tcBorders>
              <w:top w:val="single" w:color="auto" w:sz="2" w:space="0"/>
              <w:left w:val="single" w:color="auto" w:sz="2" w:space="0"/>
              <w:bottom w:val="single" w:color="auto" w:sz="2" w:space="0"/>
              <w:right w:val="single" w:color="auto" w:sz="2" w:space="0"/>
            </w:tcBorders>
            <w:vAlign w:val="center"/>
          </w:tcPr>
          <w:p w14:paraId="4B3FBF3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98,550.00</w:t>
            </w:r>
          </w:p>
        </w:tc>
      </w:tr>
      <w:tr w14:paraId="69BD3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DF5C86">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2769B561">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73F2370">
            <w:pPr>
              <w:spacing w:before="0" w:after="0" w:line="240" w:lineRule="exact"/>
              <w:jc w:val="right"/>
              <w:rPr>
                <w:rFonts w:hint="default" w:ascii="Times New Roman" w:hAnsi="Times New Roman" w:eastAsia="宋体" w:cs="Times New Roman"/>
                <w:sz w:val="18"/>
                <w:szCs w:val="18"/>
              </w:rPr>
            </w:pPr>
          </w:p>
        </w:tc>
      </w:tr>
      <w:tr w14:paraId="35959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3A9A3B">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1301C432">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3D9FBBA">
            <w:pPr>
              <w:spacing w:before="0" w:after="0" w:line="240" w:lineRule="exact"/>
              <w:jc w:val="right"/>
              <w:rPr>
                <w:rFonts w:hint="default" w:ascii="Times New Roman" w:hAnsi="Times New Roman" w:eastAsia="宋体" w:cs="Times New Roman"/>
                <w:sz w:val="18"/>
                <w:szCs w:val="18"/>
              </w:rPr>
            </w:pPr>
          </w:p>
        </w:tc>
      </w:tr>
      <w:tr w14:paraId="2502F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F4A1E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10F187B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3,177,691.34</w:t>
            </w:r>
          </w:p>
        </w:tc>
        <w:tc>
          <w:tcPr>
            <w:tcW w:w="3213" w:type="dxa"/>
            <w:tcBorders>
              <w:top w:val="single" w:color="auto" w:sz="2" w:space="0"/>
              <w:left w:val="single" w:color="auto" w:sz="2" w:space="0"/>
              <w:bottom w:val="single" w:color="auto" w:sz="2" w:space="0"/>
              <w:right w:val="single" w:color="auto" w:sz="2" w:space="0"/>
            </w:tcBorders>
            <w:vAlign w:val="center"/>
          </w:tcPr>
          <w:p w14:paraId="27F15A5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98,550.00</w:t>
            </w:r>
          </w:p>
        </w:tc>
      </w:tr>
      <w:tr w14:paraId="7E63F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C5C780">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242E162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38,170,095.15</w:t>
            </w:r>
          </w:p>
        </w:tc>
        <w:tc>
          <w:tcPr>
            <w:tcW w:w="3213" w:type="dxa"/>
            <w:tcBorders>
              <w:top w:val="single" w:color="auto" w:sz="2" w:space="0"/>
              <w:left w:val="single" w:color="auto" w:sz="2" w:space="0"/>
              <w:bottom w:val="single" w:color="auto" w:sz="2" w:space="0"/>
              <w:right w:val="single" w:color="auto" w:sz="2" w:space="0"/>
            </w:tcBorders>
            <w:vAlign w:val="center"/>
          </w:tcPr>
          <w:p w14:paraId="75CB879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76,203,040.19</w:t>
            </w:r>
          </w:p>
        </w:tc>
      </w:tr>
      <w:tr w14:paraId="388E1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18A12B">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70D0380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w:t>
            </w:r>
          </w:p>
        </w:tc>
        <w:tc>
          <w:tcPr>
            <w:tcW w:w="3213" w:type="dxa"/>
            <w:tcBorders>
              <w:top w:val="single" w:color="auto" w:sz="2" w:space="0"/>
              <w:left w:val="single" w:color="auto" w:sz="2" w:space="0"/>
              <w:bottom w:val="single" w:color="auto" w:sz="2" w:space="0"/>
              <w:right w:val="single" w:color="auto" w:sz="2" w:space="0"/>
            </w:tcBorders>
            <w:vAlign w:val="center"/>
          </w:tcPr>
          <w:p w14:paraId="017DCEC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5,281,026.87</w:t>
            </w:r>
          </w:p>
        </w:tc>
      </w:tr>
      <w:tr w14:paraId="3622F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F16D9C">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1087782C">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368A877">
            <w:pPr>
              <w:spacing w:before="0" w:after="0" w:line="240" w:lineRule="exact"/>
              <w:jc w:val="right"/>
              <w:rPr>
                <w:rFonts w:hint="default" w:ascii="Times New Roman" w:hAnsi="Times New Roman" w:eastAsia="宋体" w:cs="Times New Roman"/>
                <w:sz w:val="18"/>
                <w:szCs w:val="18"/>
              </w:rPr>
            </w:pPr>
          </w:p>
        </w:tc>
      </w:tr>
      <w:tr w14:paraId="76353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B4F2AA">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4895842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898,382.18</w:t>
            </w:r>
          </w:p>
        </w:tc>
        <w:tc>
          <w:tcPr>
            <w:tcW w:w="3213" w:type="dxa"/>
            <w:tcBorders>
              <w:top w:val="single" w:color="auto" w:sz="2" w:space="0"/>
              <w:left w:val="single" w:color="auto" w:sz="2" w:space="0"/>
              <w:bottom w:val="single" w:color="auto" w:sz="2" w:space="0"/>
              <w:right w:val="single" w:color="auto" w:sz="2" w:space="0"/>
            </w:tcBorders>
            <w:vAlign w:val="center"/>
          </w:tcPr>
          <w:p w14:paraId="23D5CA2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3,563,536.90</w:t>
            </w:r>
          </w:p>
        </w:tc>
      </w:tr>
      <w:tr w14:paraId="654D7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744280">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73DCB6DB">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52098AC">
            <w:pPr>
              <w:spacing w:before="0" w:after="0" w:line="240" w:lineRule="exact"/>
              <w:jc w:val="right"/>
              <w:rPr>
                <w:rFonts w:hint="default" w:ascii="Times New Roman" w:hAnsi="Times New Roman" w:eastAsia="宋体" w:cs="Times New Roman"/>
                <w:sz w:val="18"/>
                <w:szCs w:val="18"/>
              </w:rPr>
            </w:pPr>
          </w:p>
        </w:tc>
      </w:tr>
      <w:tr w14:paraId="01937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839E4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590A4D8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39,368,477.33</w:t>
            </w:r>
          </w:p>
        </w:tc>
        <w:tc>
          <w:tcPr>
            <w:tcW w:w="3213" w:type="dxa"/>
            <w:tcBorders>
              <w:top w:val="single" w:color="auto" w:sz="2" w:space="0"/>
              <w:left w:val="single" w:color="auto" w:sz="2" w:space="0"/>
              <w:bottom w:val="single" w:color="auto" w:sz="2" w:space="0"/>
              <w:right w:val="single" w:color="auto" w:sz="2" w:space="0"/>
            </w:tcBorders>
            <w:vAlign w:val="center"/>
          </w:tcPr>
          <w:p w14:paraId="5C3AB4B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85,047,603.96</w:t>
            </w:r>
          </w:p>
        </w:tc>
      </w:tr>
      <w:tr w14:paraId="3C36B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00B21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3462B11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-36,190,785.99</w:t>
            </w:r>
          </w:p>
        </w:tc>
        <w:tc>
          <w:tcPr>
            <w:tcW w:w="3213" w:type="dxa"/>
            <w:tcBorders>
              <w:top w:val="single" w:color="auto" w:sz="2" w:space="0"/>
              <w:left w:val="single" w:color="auto" w:sz="2" w:space="0"/>
              <w:bottom w:val="single" w:color="auto" w:sz="2" w:space="0"/>
              <w:right w:val="single" w:color="auto" w:sz="2" w:space="0"/>
            </w:tcBorders>
            <w:vAlign w:val="center"/>
          </w:tcPr>
          <w:p w14:paraId="448F641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-84,949,053.96</w:t>
            </w:r>
          </w:p>
        </w:tc>
      </w:tr>
      <w:tr w14:paraId="7D7F9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40D6F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AE42AD">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5990D0">
            <w:pPr>
              <w:rPr>
                <w:rFonts w:hint="default" w:ascii="Times New Roman" w:hAnsi="Times New Roman" w:cs="Times New Roman"/>
              </w:rPr>
            </w:pPr>
          </w:p>
        </w:tc>
      </w:tr>
      <w:tr w14:paraId="3B2E6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0E1E9B">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1CC2678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6,101,300.00</w:t>
            </w:r>
          </w:p>
        </w:tc>
        <w:tc>
          <w:tcPr>
            <w:tcW w:w="3213" w:type="dxa"/>
            <w:tcBorders>
              <w:top w:val="single" w:color="auto" w:sz="2" w:space="0"/>
              <w:left w:val="single" w:color="auto" w:sz="2" w:space="0"/>
              <w:bottom w:val="single" w:color="auto" w:sz="2" w:space="0"/>
              <w:right w:val="single" w:color="auto" w:sz="2" w:space="0"/>
            </w:tcBorders>
            <w:vAlign w:val="center"/>
          </w:tcPr>
          <w:p w14:paraId="38903922">
            <w:pPr>
              <w:spacing w:before="0" w:after="0" w:line="240" w:lineRule="exact"/>
              <w:jc w:val="right"/>
              <w:rPr>
                <w:rFonts w:hint="default" w:ascii="Times New Roman" w:hAnsi="Times New Roman" w:eastAsia="宋体" w:cs="Times New Roman"/>
                <w:sz w:val="18"/>
                <w:szCs w:val="18"/>
              </w:rPr>
            </w:pPr>
          </w:p>
        </w:tc>
      </w:tr>
      <w:tr w14:paraId="37E6A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F8A5C9">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33855535">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3F07CEC">
            <w:pPr>
              <w:spacing w:before="0" w:after="0" w:line="240" w:lineRule="exact"/>
              <w:jc w:val="right"/>
              <w:rPr>
                <w:rFonts w:hint="default" w:ascii="Times New Roman" w:hAnsi="Times New Roman" w:eastAsia="宋体" w:cs="Times New Roman"/>
                <w:sz w:val="18"/>
                <w:szCs w:val="18"/>
              </w:rPr>
            </w:pPr>
          </w:p>
        </w:tc>
      </w:tr>
      <w:tr w14:paraId="302D8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1E614C">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35AB522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45,013,500.00</w:t>
            </w:r>
          </w:p>
        </w:tc>
        <w:tc>
          <w:tcPr>
            <w:tcW w:w="3213" w:type="dxa"/>
            <w:tcBorders>
              <w:top w:val="single" w:color="auto" w:sz="2" w:space="0"/>
              <w:left w:val="single" w:color="auto" w:sz="2" w:space="0"/>
              <w:bottom w:val="single" w:color="auto" w:sz="2" w:space="0"/>
              <w:right w:val="single" w:color="auto" w:sz="2" w:space="0"/>
            </w:tcBorders>
            <w:vAlign w:val="center"/>
          </w:tcPr>
          <w:p w14:paraId="0F2EBF6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85,000,000.00</w:t>
            </w:r>
          </w:p>
        </w:tc>
      </w:tr>
      <w:tr w14:paraId="3D054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C58E56">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1A53E246">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C919A68">
            <w:pPr>
              <w:spacing w:before="0" w:after="0" w:line="240" w:lineRule="exact"/>
              <w:jc w:val="right"/>
              <w:rPr>
                <w:rFonts w:hint="default" w:ascii="Times New Roman" w:hAnsi="Times New Roman" w:eastAsia="宋体" w:cs="Times New Roman"/>
                <w:sz w:val="18"/>
                <w:szCs w:val="18"/>
              </w:rPr>
            </w:pPr>
          </w:p>
        </w:tc>
      </w:tr>
      <w:tr w14:paraId="46280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D925F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48865D6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51,114,800.00</w:t>
            </w:r>
          </w:p>
        </w:tc>
        <w:tc>
          <w:tcPr>
            <w:tcW w:w="3213" w:type="dxa"/>
            <w:tcBorders>
              <w:top w:val="single" w:color="auto" w:sz="2" w:space="0"/>
              <w:left w:val="single" w:color="auto" w:sz="2" w:space="0"/>
              <w:bottom w:val="single" w:color="auto" w:sz="2" w:space="0"/>
              <w:right w:val="single" w:color="auto" w:sz="2" w:space="0"/>
            </w:tcBorders>
            <w:vAlign w:val="center"/>
          </w:tcPr>
          <w:p w14:paraId="75A21C3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85,000,000.00</w:t>
            </w:r>
          </w:p>
        </w:tc>
      </w:tr>
      <w:tr w14:paraId="433D9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30CE1F">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259C6B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20,010,000.00</w:t>
            </w:r>
          </w:p>
        </w:tc>
        <w:tc>
          <w:tcPr>
            <w:tcW w:w="3213" w:type="dxa"/>
            <w:tcBorders>
              <w:top w:val="single" w:color="auto" w:sz="2" w:space="0"/>
              <w:left w:val="single" w:color="auto" w:sz="2" w:space="0"/>
              <w:bottom w:val="single" w:color="auto" w:sz="2" w:space="0"/>
              <w:right w:val="single" w:color="auto" w:sz="2" w:space="0"/>
            </w:tcBorders>
            <w:vAlign w:val="center"/>
          </w:tcPr>
          <w:p w14:paraId="0592AD8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30,800,000.00</w:t>
            </w:r>
          </w:p>
        </w:tc>
      </w:tr>
      <w:tr w14:paraId="4014C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22613F">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61A753F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3,669,240.93</w:t>
            </w:r>
          </w:p>
        </w:tc>
        <w:tc>
          <w:tcPr>
            <w:tcW w:w="3213" w:type="dxa"/>
            <w:tcBorders>
              <w:top w:val="single" w:color="auto" w:sz="2" w:space="0"/>
              <w:left w:val="single" w:color="auto" w:sz="2" w:space="0"/>
              <w:bottom w:val="single" w:color="auto" w:sz="2" w:space="0"/>
              <w:right w:val="single" w:color="auto" w:sz="2" w:space="0"/>
            </w:tcBorders>
            <w:vAlign w:val="center"/>
          </w:tcPr>
          <w:p w14:paraId="58C76AB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2,464,230.59</w:t>
            </w:r>
          </w:p>
        </w:tc>
      </w:tr>
      <w:tr w14:paraId="110F5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C2D51F">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14:paraId="547425A5">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224CE28">
            <w:pPr>
              <w:spacing w:before="0" w:after="0" w:line="240" w:lineRule="exact"/>
              <w:jc w:val="right"/>
              <w:rPr>
                <w:rFonts w:hint="default" w:ascii="Times New Roman" w:hAnsi="Times New Roman" w:eastAsia="宋体" w:cs="Times New Roman"/>
                <w:sz w:val="18"/>
                <w:szCs w:val="18"/>
              </w:rPr>
            </w:pPr>
          </w:p>
        </w:tc>
      </w:tr>
      <w:tr w14:paraId="54A09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B369E8">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38619E0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6,417,169.51</w:t>
            </w:r>
          </w:p>
        </w:tc>
        <w:tc>
          <w:tcPr>
            <w:tcW w:w="3213" w:type="dxa"/>
            <w:tcBorders>
              <w:top w:val="single" w:color="auto" w:sz="2" w:space="0"/>
              <w:left w:val="single" w:color="auto" w:sz="2" w:space="0"/>
              <w:bottom w:val="single" w:color="auto" w:sz="2" w:space="0"/>
              <w:right w:val="single" w:color="auto" w:sz="2" w:space="0"/>
            </w:tcBorders>
            <w:vAlign w:val="center"/>
          </w:tcPr>
          <w:p w14:paraId="178EEA7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8,141,238.84</w:t>
            </w:r>
          </w:p>
        </w:tc>
      </w:tr>
      <w:tr w14:paraId="5FD39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65B30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52602CF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30,096,410.44</w:t>
            </w:r>
          </w:p>
        </w:tc>
        <w:tc>
          <w:tcPr>
            <w:tcW w:w="3213" w:type="dxa"/>
            <w:tcBorders>
              <w:top w:val="single" w:color="auto" w:sz="2" w:space="0"/>
              <w:left w:val="single" w:color="auto" w:sz="2" w:space="0"/>
              <w:bottom w:val="single" w:color="auto" w:sz="2" w:space="0"/>
              <w:right w:val="single" w:color="auto" w:sz="2" w:space="0"/>
            </w:tcBorders>
            <w:vAlign w:val="center"/>
          </w:tcPr>
          <w:p w14:paraId="0780C4E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41,405,469.43</w:t>
            </w:r>
          </w:p>
        </w:tc>
      </w:tr>
      <w:tr w14:paraId="009DB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01075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6DAC7C7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21,018,389.56</w:t>
            </w:r>
          </w:p>
        </w:tc>
        <w:tc>
          <w:tcPr>
            <w:tcW w:w="3213" w:type="dxa"/>
            <w:tcBorders>
              <w:top w:val="single" w:color="auto" w:sz="2" w:space="0"/>
              <w:left w:val="single" w:color="auto" w:sz="2" w:space="0"/>
              <w:bottom w:val="single" w:color="auto" w:sz="2" w:space="0"/>
              <w:right w:val="single" w:color="auto" w:sz="2" w:space="0"/>
            </w:tcBorders>
            <w:vAlign w:val="center"/>
          </w:tcPr>
          <w:p w14:paraId="4C0908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43,594,530.57</w:t>
            </w:r>
          </w:p>
        </w:tc>
      </w:tr>
      <w:tr w14:paraId="43EF6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B2040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14:paraId="00A9FB7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-182,486.94</w:t>
            </w:r>
          </w:p>
        </w:tc>
        <w:tc>
          <w:tcPr>
            <w:tcW w:w="3213" w:type="dxa"/>
            <w:tcBorders>
              <w:top w:val="single" w:color="auto" w:sz="2" w:space="0"/>
              <w:left w:val="single" w:color="auto" w:sz="2" w:space="0"/>
              <w:bottom w:val="single" w:color="auto" w:sz="2" w:space="0"/>
              <w:right w:val="single" w:color="auto" w:sz="2" w:space="0"/>
            </w:tcBorders>
            <w:vAlign w:val="center"/>
          </w:tcPr>
          <w:p w14:paraId="371E51D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175,121.04</w:t>
            </w:r>
          </w:p>
        </w:tc>
      </w:tr>
      <w:tr w14:paraId="1913A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8C5A1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703743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56,118,912.39</w:t>
            </w:r>
          </w:p>
        </w:tc>
        <w:tc>
          <w:tcPr>
            <w:tcW w:w="3213" w:type="dxa"/>
            <w:tcBorders>
              <w:top w:val="single" w:color="auto" w:sz="2" w:space="0"/>
              <w:left w:val="single" w:color="auto" w:sz="2" w:space="0"/>
              <w:bottom w:val="single" w:color="auto" w:sz="2" w:space="0"/>
              <w:right w:val="single" w:color="auto" w:sz="2" w:space="0"/>
            </w:tcBorders>
            <w:vAlign w:val="center"/>
          </w:tcPr>
          <w:p w14:paraId="2A76FB3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8,375,394.64</w:t>
            </w:r>
          </w:p>
        </w:tc>
      </w:tr>
      <w:tr w14:paraId="03D1C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BFBA3E">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2E0AB67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104,483,800.11</w:t>
            </w:r>
          </w:p>
        </w:tc>
        <w:tc>
          <w:tcPr>
            <w:tcW w:w="3213" w:type="dxa"/>
            <w:tcBorders>
              <w:top w:val="single" w:color="auto" w:sz="2" w:space="0"/>
              <w:left w:val="single" w:color="auto" w:sz="2" w:space="0"/>
              <w:bottom w:val="single" w:color="auto" w:sz="2" w:space="0"/>
              <w:right w:val="single" w:color="auto" w:sz="2" w:space="0"/>
            </w:tcBorders>
            <w:vAlign w:val="center"/>
          </w:tcPr>
          <w:p w14:paraId="71E02CB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96,108,405.47</w:t>
            </w:r>
          </w:p>
        </w:tc>
      </w:tr>
      <w:tr w14:paraId="1F7FD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80E2E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0B4B122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160,602,712.50</w:t>
            </w:r>
          </w:p>
        </w:tc>
        <w:tc>
          <w:tcPr>
            <w:tcW w:w="3213" w:type="dxa"/>
            <w:tcBorders>
              <w:top w:val="single" w:color="auto" w:sz="2" w:space="0"/>
              <w:left w:val="single" w:color="auto" w:sz="2" w:space="0"/>
              <w:bottom w:val="single" w:color="auto" w:sz="2" w:space="0"/>
              <w:right w:val="single" w:color="auto" w:sz="2" w:space="0"/>
            </w:tcBorders>
            <w:vAlign w:val="center"/>
          </w:tcPr>
          <w:p w14:paraId="56AF63D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104,483,800.11</w:t>
            </w:r>
          </w:p>
        </w:tc>
      </w:tr>
    </w:tbl>
    <w:p w14:paraId="28E36E51">
      <w:pPr>
        <w:pStyle w:val="3"/>
        <w:keepNext/>
        <w:keepLines/>
        <w:spacing w:before="300" w:after="300" w:line="280" w:lineRule="exact"/>
        <w:jc w:val="left"/>
        <w:outlineLvl w:val="2"/>
        <w:rPr>
          <w:rFonts w:ascii="宋体" w:hAnsi="宋体" w:eastAsia="宋体" w:cs="宋体"/>
          <w:b/>
          <w:bCs/>
          <w:sz w:val="21"/>
          <w:szCs w:val="21"/>
        </w:rPr>
      </w:pPr>
      <w:bookmarkStart w:id="223" w:name="_Toc989038"/>
      <w:r>
        <w:rPr>
          <w:rFonts w:ascii="宋体" w:hAnsi="宋体" w:eastAsia="宋体" w:cs="宋体"/>
          <w:b/>
          <w:bCs/>
          <w:sz w:val="21"/>
          <w:szCs w:val="21"/>
        </w:rPr>
        <w:t>6、母公司现金流量表</w:t>
      </w:r>
      <w:bookmarkEnd w:id="223"/>
    </w:p>
    <w:p w14:paraId="77051C75">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7B60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7F92BB">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EF1897">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AC93B8">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2024年度</w:t>
            </w:r>
          </w:p>
        </w:tc>
      </w:tr>
      <w:tr w14:paraId="109EE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8FF0E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5479CC">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684EE7">
            <w:pPr>
              <w:rPr>
                <w:rFonts w:hint="default" w:ascii="Times New Roman" w:hAnsi="Times New Roman" w:cs="Times New Roman"/>
              </w:rPr>
            </w:pPr>
          </w:p>
        </w:tc>
      </w:tr>
      <w:tr w14:paraId="2A784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4E7002">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4CDD493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231,927,844.10</w:t>
            </w:r>
          </w:p>
        </w:tc>
        <w:tc>
          <w:tcPr>
            <w:tcW w:w="3213" w:type="dxa"/>
            <w:tcBorders>
              <w:top w:val="single" w:color="auto" w:sz="2" w:space="0"/>
              <w:left w:val="single" w:color="auto" w:sz="2" w:space="0"/>
              <w:bottom w:val="single" w:color="auto" w:sz="2" w:space="0"/>
              <w:right w:val="single" w:color="auto" w:sz="2" w:space="0"/>
            </w:tcBorders>
            <w:vAlign w:val="center"/>
          </w:tcPr>
          <w:p w14:paraId="01315C8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193,895,752.91</w:t>
            </w:r>
          </w:p>
        </w:tc>
      </w:tr>
      <w:tr w14:paraId="161A6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E4EB72">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14:paraId="028FE89E">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2FC1501">
            <w:pPr>
              <w:spacing w:before="0" w:after="0" w:line="240" w:lineRule="exact"/>
              <w:jc w:val="right"/>
              <w:rPr>
                <w:rFonts w:hint="default" w:ascii="Times New Roman" w:hAnsi="Times New Roman" w:eastAsia="宋体" w:cs="Times New Roman"/>
                <w:sz w:val="18"/>
                <w:szCs w:val="18"/>
              </w:rPr>
            </w:pPr>
          </w:p>
        </w:tc>
      </w:tr>
      <w:tr w14:paraId="4CC5D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31A170">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033EA41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47,900,354.76</w:t>
            </w:r>
          </w:p>
        </w:tc>
        <w:tc>
          <w:tcPr>
            <w:tcW w:w="3213" w:type="dxa"/>
            <w:tcBorders>
              <w:top w:val="single" w:color="auto" w:sz="2" w:space="0"/>
              <w:left w:val="single" w:color="auto" w:sz="2" w:space="0"/>
              <w:bottom w:val="single" w:color="auto" w:sz="2" w:space="0"/>
              <w:right w:val="single" w:color="auto" w:sz="2" w:space="0"/>
            </w:tcBorders>
            <w:vAlign w:val="center"/>
          </w:tcPr>
          <w:p w14:paraId="6F803A4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84,045,949.22</w:t>
            </w:r>
          </w:p>
        </w:tc>
      </w:tr>
      <w:tr w14:paraId="29CCF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9BCE3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69C19A4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279,828,198.86</w:t>
            </w:r>
          </w:p>
        </w:tc>
        <w:tc>
          <w:tcPr>
            <w:tcW w:w="3213" w:type="dxa"/>
            <w:tcBorders>
              <w:top w:val="single" w:color="auto" w:sz="2" w:space="0"/>
              <w:left w:val="single" w:color="auto" w:sz="2" w:space="0"/>
              <w:bottom w:val="single" w:color="auto" w:sz="2" w:space="0"/>
              <w:right w:val="single" w:color="auto" w:sz="2" w:space="0"/>
            </w:tcBorders>
            <w:vAlign w:val="center"/>
          </w:tcPr>
          <w:p w14:paraId="5F8B0D9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277,941,702.13</w:t>
            </w:r>
          </w:p>
        </w:tc>
      </w:tr>
      <w:tr w14:paraId="2FA51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3C2106">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0AE1911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8,073,196.59</w:t>
            </w:r>
          </w:p>
        </w:tc>
        <w:tc>
          <w:tcPr>
            <w:tcW w:w="3213" w:type="dxa"/>
            <w:tcBorders>
              <w:top w:val="single" w:color="auto" w:sz="2" w:space="0"/>
              <w:left w:val="single" w:color="auto" w:sz="2" w:space="0"/>
              <w:bottom w:val="single" w:color="auto" w:sz="2" w:space="0"/>
              <w:right w:val="single" w:color="auto" w:sz="2" w:space="0"/>
            </w:tcBorders>
            <w:vAlign w:val="center"/>
          </w:tcPr>
          <w:p w14:paraId="474CFB6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6,795,392.29</w:t>
            </w:r>
          </w:p>
        </w:tc>
      </w:tr>
      <w:tr w14:paraId="692C7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1A55ED">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3DC8BD6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40,547,671.05</w:t>
            </w:r>
          </w:p>
        </w:tc>
        <w:tc>
          <w:tcPr>
            <w:tcW w:w="3213" w:type="dxa"/>
            <w:tcBorders>
              <w:top w:val="single" w:color="auto" w:sz="2" w:space="0"/>
              <w:left w:val="single" w:color="auto" w:sz="2" w:space="0"/>
              <w:bottom w:val="single" w:color="auto" w:sz="2" w:space="0"/>
              <w:right w:val="single" w:color="auto" w:sz="2" w:space="0"/>
            </w:tcBorders>
            <w:vAlign w:val="center"/>
          </w:tcPr>
          <w:p w14:paraId="0757D1B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38,296,744.76</w:t>
            </w:r>
          </w:p>
        </w:tc>
      </w:tr>
      <w:tr w14:paraId="79B67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16B312">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14:paraId="0E6D5A8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21,445,276.09</w:t>
            </w:r>
          </w:p>
        </w:tc>
        <w:tc>
          <w:tcPr>
            <w:tcW w:w="3213" w:type="dxa"/>
            <w:tcBorders>
              <w:top w:val="single" w:color="auto" w:sz="2" w:space="0"/>
              <w:left w:val="single" w:color="auto" w:sz="2" w:space="0"/>
              <w:bottom w:val="single" w:color="auto" w:sz="2" w:space="0"/>
              <w:right w:val="single" w:color="auto" w:sz="2" w:space="0"/>
            </w:tcBorders>
            <w:vAlign w:val="center"/>
          </w:tcPr>
          <w:p w14:paraId="274E476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17,454,044.17</w:t>
            </w:r>
          </w:p>
        </w:tc>
      </w:tr>
      <w:tr w14:paraId="4A615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77A04C">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47FE4C0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210,431,611.03</w:t>
            </w:r>
          </w:p>
        </w:tc>
        <w:tc>
          <w:tcPr>
            <w:tcW w:w="3213" w:type="dxa"/>
            <w:tcBorders>
              <w:top w:val="single" w:color="auto" w:sz="2" w:space="0"/>
              <w:left w:val="single" w:color="auto" w:sz="2" w:space="0"/>
              <w:bottom w:val="single" w:color="auto" w:sz="2" w:space="0"/>
              <w:right w:val="single" w:color="auto" w:sz="2" w:space="0"/>
            </w:tcBorders>
            <w:vAlign w:val="center"/>
          </w:tcPr>
          <w:p w14:paraId="48B6916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155,783,512.56</w:t>
            </w:r>
          </w:p>
        </w:tc>
      </w:tr>
      <w:tr w14:paraId="0EEFA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8774F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2782B84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280,497,754.76</w:t>
            </w:r>
          </w:p>
        </w:tc>
        <w:tc>
          <w:tcPr>
            <w:tcW w:w="3213" w:type="dxa"/>
            <w:tcBorders>
              <w:top w:val="single" w:color="auto" w:sz="2" w:space="0"/>
              <w:left w:val="single" w:color="auto" w:sz="2" w:space="0"/>
              <w:bottom w:val="single" w:color="auto" w:sz="2" w:space="0"/>
              <w:right w:val="single" w:color="auto" w:sz="2" w:space="0"/>
            </w:tcBorders>
            <w:vAlign w:val="center"/>
          </w:tcPr>
          <w:p w14:paraId="54D13B8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218,329,693.78</w:t>
            </w:r>
          </w:p>
        </w:tc>
      </w:tr>
      <w:tr w14:paraId="7A56A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02591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573E053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-669,555.90</w:t>
            </w:r>
          </w:p>
        </w:tc>
        <w:tc>
          <w:tcPr>
            <w:tcW w:w="3213" w:type="dxa"/>
            <w:tcBorders>
              <w:top w:val="single" w:color="auto" w:sz="2" w:space="0"/>
              <w:left w:val="single" w:color="auto" w:sz="2" w:space="0"/>
              <w:bottom w:val="single" w:color="auto" w:sz="2" w:space="0"/>
              <w:right w:val="single" w:color="auto" w:sz="2" w:space="0"/>
            </w:tcBorders>
            <w:vAlign w:val="center"/>
          </w:tcPr>
          <w:p w14:paraId="0E12D5F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59,612,008.35</w:t>
            </w:r>
          </w:p>
        </w:tc>
      </w:tr>
      <w:tr w14:paraId="5A0F5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260FF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E968B7">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8ECECF">
            <w:pPr>
              <w:rPr>
                <w:rFonts w:hint="default" w:ascii="Times New Roman" w:hAnsi="Times New Roman" w:cs="Times New Roman"/>
              </w:rPr>
            </w:pPr>
          </w:p>
        </w:tc>
      </w:tr>
      <w:tr w14:paraId="0ACBC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E2F000">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587CF15E">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94D2F65">
            <w:pPr>
              <w:spacing w:before="0" w:after="0" w:line="240" w:lineRule="exact"/>
              <w:jc w:val="right"/>
              <w:rPr>
                <w:rFonts w:hint="default" w:ascii="Times New Roman" w:hAnsi="Times New Roman" w:eastAsia="宋体" w:cs="Times New Roman"/>
                <w:sz w:val="18"/>
                <w:szCs w:val="18"/>
              </w:rPr>
            </w:pPr>
          </w:p>
        </w:tc>
      </w:tr>
      <w:tr w14:paraId="6BCC1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F976A6">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3E4C7FC8">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29AB218">
            <w:pPr>
              <w:spacing w:before="0" w:after="0" w:line="240" w:lineRule="exact"/>
              <w:jc w:val="right"/>
              <w:rPr>
                <w:rFonts w:hint="default" w:ascii="Times New Roman" w:hAnsi="Times New Roman" w:eastAsia="宋体" w:cs="Times New Roman"/>
                <w:sz w:val="18"/>
                <w:szCs w:val="18"/>
              </w:rPr>
            </w:pPr>
          </w:p>
        </w:tc>
      </w:tr>
      <w:tr w14:paraId="61851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5A8438">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50A7037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19,342.43</w:t>
            </w:r>
          </w:p>
        </w:tc>
        <w:tc>
          <w:tcPr>
            <w:tcW w:w="3213" w:type="dxa"/>
            <w:tcBorders>
              <w:top w:val="single" w:color="auto" w:sz="2" w:space="0"/>
              <w:left w:val="single" w:color="auto" w:sz="2" w:space="0"/>
              <w:bottom w:val="single" w:color="auto" w:sz="2" w:space="0"/>
              <w:right w:val="single" w:color="auto" w:sz="2" w:space="0"/>
            </w:tcBorders>
            <w:vAlign w:val="center"/>
          </w:tcPr>
          <w:p w14:paraId="2BCD5EB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w:t>
            </w:r>
          </w:p>
        </w:tc>
      </w:tr>
      <w:tr w14:paraId="59BBD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3B76F6">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1BA48221">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396B138">
            <w:pPr>
              <w:spacing w:before="0" w:after="0" w:line="240" w:lineRule="exact"/>
              <w:jc w:val="right"/>
              <w:rPr>
                <w:rFonts w:hint="default" w:ascii="Times New Roman" w:hAnsi="Times New Roman" w:eastAsia="宋体" w:cs="Times New Roman"/>
                <w:sz w:val="18"/>
                <w:szCs w:val="18"/>
              </w:rPr>
            </w:pPr>
          </w:p>
        </w:tc>
      </w:tr>
      <w:tr w14:paraId="6CD24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F3EBEB">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4D034C04">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B565244">
            <w:pPr>
              <w:spacing w:before="0" w:after="0" w:line="240" w:lineRule="exact"/>
              <w:jc w:val="right"/>
              <w:rPr>
                <w:rFonts w:hint="default" w:ascii="Times New Roman" w:hAnsi="Times New Roman" w:eastAsia="宋体" w:cs="Times New Roman"/>
                <w:sz w:val="18"/>
                <w:szCs w:val="18"/>
              </w:rPr>
            </w:pPr>
          </w:p>
        </w:tc>
      </w:tr>
      <w:tr w14:paraId="75BF4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0EA48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3D06C3B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19,342.43</w:t>
            </w:r>
          </w:p>
        </w:tc>
        <w:tc>
          <w:tcPr>
            <w:tcW w:w="3213" w:type="dxa"/>
            <w:tcBorders>
              <w:top w:val="single" w:color="auto" w:sz="2" w:space="0"/>
              <w:left w:val="single" w:color="auto" w:sz="2" w:space="0"/>
              <w:bottom w:val="single" w:color="auto" w:sz="2" w:space="0"/>
              <w:right w:val="single" w:color="auto" w:sz="2" w:space="0"/>
            </w:tcBorders>
            <w:vAlign w:val="center"/>
          </w:tcPr>
          <w:p w14:paraId="1D5DB5D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w:t>
            </w:r>
          </w:p>
        </w:tc>
      </w:tr>
      <w:tr w14:paraId="582EC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D139DF">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7F65612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243,679.54</w:t>
            </w:r>
          </w:p>
        </w:tc>
        <w:tc>
          <w:tcPr>
            <w:tcW w:w="3213" w:type="dxa"/>
            <w:tcBorders>
              <w:top w:val="single" w:color="auto" w:sz="2" w:space="0"/>
              <w:left w:val="single" w:color="auto" w:sz="2" w:space="0"/>
              <w:bottom w:val="single" w:color="auto" w:sz="2" w:space="0"/>
              <w:right w:val="single" w:color="auto" w:sz="2" w:space="0"/>
            </w:tcBorders>
            <w:vAlign w:val="center"/>
          </w:tcPr>
          <w:p w14:paraId="0B229B1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438,148.45</w:t>
            </w:r>
          </w:p>
        </w:tc>
      </w:tr>
      <w:tr w14:paraId="5E1CB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784482">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2E00DAC6">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F6649F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30,682,347.47</w:t>
            </w:r>
          </w:p>
        </w:tc>
      </w:tr>
      <w:tr w14:paraId="49294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69E2AD">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44C62AE7">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383BD5D">
            <w:pPr>
              <w:spacing w:before="0" w:after="0" w:line="240" w:lineRule="exact"/>
              <w:jc w:val="right"/>
              <w:rPr>
                <w:rFonts w:hint="default" w:ascii="Times New Roman" w:hAnsi="Times New Roman" w:eastAsia="宋体" w:cs="Times New Roman"/>
                <w:sz w:val="18"/>
                <w:szCs w:val="18"/>
              </w:rPr>
            </w:pPr>
          </w:p>
        </w:tc>
      </w:tr>
      <w:tr w14:paraId="047C3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4DA9C5">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550948CB">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636D0CB">
            <w:pPr>
              <w:spacing w:before="0" w:after="0" w:line="240" w:lineRule="exact"/>
              <w:jc w:val="right"/>
              <w:rPr>
                <w:rFonts w:hint="default" w:ascii="Times New Roman" w:hAnsi="Times New Roman" w:eastAsia="宋体" w:cs="Times New Roman"/>
                <w:sz w:val="18"/>
                <w:szCs w:val="18"/>
              </w:rPr>
            </w:pPr>
          </w:p>
        </w:tc>
      </w:tr>
      <w:tr w14:paraId="107DE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2B926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2AD3B98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243,679.54</w:t>
            </w:r>
          </w:p>
        </w:tc>
        <w:tc>
          <w:tcPr>
            <w:tcW w:w="3213" w:type="dxa"/>
            <w:tcBorders>
              <w:top w:val="single" w:color="auto" w:sz="2" w:space="0"/>
              <w:left w:val="single" w:color="auto" w:sz="2" w:space="0"/>
              <w:bottom w:val="single" w:color="auto" w:sz="2" w:space="0"/>
              <w:right w:val="single" w:color="auto" w:sz="2" w:space="0"/>
            </w:tcBorders>
            <w:vAlign w:val="center"/>
          </w:tcPr>
          <w:p w14:paraId="46D2BF1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31,120,495.92</w:t>
            </w:r>
          </w:p>
        </w:tc>
      </w:tr>
      <w:tr w14:paraId="62A3D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D81AC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6EA4FE5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-224,337.11</w:t>
            </w:r>
          </w:p>
        </w:tc>
        <w:tc>
          <w:tcPr>
            <w:tcW w:w="3213" w:type="dxa"/>
            <w:tcBorders>
              <w:top w:val="single" w:color="auto" w:sz="2" w:space="0"/>
              <w:left w:val="single" w:color="auto" w:sz="2" w:space="0"/>
              <w:bottom w:val="single" w:color="auto" w:sz="2" w:space="0"/>
              <w:right w:val="single" w:color="auto" w:sz="2" w:space="0"/>
            </w:tcBorders>
            <w:vAlign w:val="center"/>
          </w:tcPr>
          <w:p w14:paraId="3D0A696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-31,117,495.92</w:t>
            </w:r>
          </w:p>
        </w:tc>
      </w:tr>
      <w:tr w14:paraId="452BC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0973A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B21D69">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C008A5">
            <w:pPr>
              <w:rPr>
                <w:rFonts w:hint="default" w:ascii="Times New Roman" w:hAnsi="Times New Roman" w:cs="Times New Roman"/>
              </w:rPr>
            </w:pPr>
          </w:p>
        </w:tc>
      </w:tr>
      <w:tr w14:paraId="3A60D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7CF8EC">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2CB6AFA5">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8597F25">
            <w:pPr>
              <w:spacing w:before="0" w:after="0" w:line="240" w:lineRule="exact"/>
              <w:jc w:val="right"/>
              <w:rPr>
                <w:rFonts w:hint="default" w:ascii="Times New Roman" w:hAnsi="Times New Roman" w:eastAsia="宋体" w:cs="Times New Roman"/>
                <w:sz w:val="18"/>
                <w:szCs w:val="18"/>
              </w:rPr>
            </w:pPr>
          </w:p>
        </w:tc>
      </w:tr>
      <w:tr w14:paraId="747BB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B010CE">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14167E4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15,000,000.00</w:t>
            </w:r>
          </w:p>
        </w:tc>
        <w:tc>
          <w:tcPr>
            <w:tcW w:w="3213" w:type="dxa"/>
            <w:tcBorders>
              <w:top w:val="single" w:color="auto" w:sz="2" w:space="0"/>
              <w:left w:val="single" w:color="auto" w:sz="2" w:space="0"/>
              <w:bottom w:val="single" w:color="auto" w:sz="2" w:space="0"/>
              <w:right w:val="single" w:color="auto" w:sz="2" w:space="0"/>
            </w:tcBorders>
            <w:vAlign w:val="center"/>
          </w:tcPr>
          <w:p w14:paraId="4FBD8D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21,000,000.00</w:t>
            </w:r>
          </w:p>
        </w:tc>
      </w:tr>
      <w:tr w14:paraId="544DB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246590">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5D9C5712">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AB3CCCD">
            <w:pPr>
              <w:spacing w:before="0" w:after="0" w:line="240" w:lineRule="exact"/>
              <w:jc w:val="right"/>
              <w:rPr>
                <w:rFonts w:hint="default" w:ascii="Times New Roman" w:hAnsi="Times New Roman" w:eastAsia="宋体" w:cs="Times New Roman"/>
                <w:sz w:val="18"/>
                <w:szCs w:val="18"/>
              </w:rPr>
            </w:pPr>
          </w:p>
        </w:tc>
      </w:tr>
      <w:tr w14:paraId="1D816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EDC82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01F06B6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15,000,000.00</w:t>
            </w:r>
          </w:p>
        </w:tc>
        <w:tc>
          <w:tcPr>
            <w:tcW w:w="3213" w:type="dxa"/>
            <w:tcBorders>
              <w:top w:val="single" w:color="auto" w:sz="2" w:space="0"/>
              <w:left w:val="single" w:color="auto" w:sz="2" w:space="0"/>
              <w:bottom w:val="single" w:color="auto" w:sz="2" w:space="0"/>
              <w:right w:val="single" w:color="auto" w:sz="2" w:space="0"/>
            </w:tcBorders>
            <w:vAlign w:val="center"/>
          </w:tcPr>
          <w:p w14:paraId="53C0188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21,000,000.00</w:t>
            </w:r>
          </w:p>
        </w:tc>
      </w:tr>
      <w:tr w14:paraId="27F6E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2B5128">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52F02F1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20,010,000.00</w:t>
            </w:r>
          </w:p>
        </w:tc>
        <w:tc>
          <w:tcPr>
            <w:tcW w:w="3213" w:type="dxa"/>
            <w:tcBorders>
              <w:top w:val="single" w:color="auto" w:sz="2" w:space="0"/>
              <w:left w:val="single" w:color="auto" w:sz="2" w:space="0"/>
              <w:bottom w:val="single" w:color="auto" w:sz="2" w:space="0"/>
              <w:right w:val="single" w:color="auto" w:sz="2" w:space="0"/>
            </w:tcBorders>
            <w:vAlign w:val="center"/>
          </w:tcPr>
          <w:p w14:paraId="225ED2F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25,500,000.00</w:t>
            </w:r>
          </w:p>
        </w:tc>
      </w:tr>
      <w:tr w14:paraId="75C92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A388D9">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0EB39C9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441,079.51</w:t>
            </w:r>
          </w:p>
        </w:tc>
        <w:tc>
          <w:tcPr>
            <w:tcW w:w="3213" w:type="dxa"/>
            <w:tcBorders>
              <w:top w:val="single" w:color="auto" w:sz="2" w:space="0"/>
              <w:left w:val="single" w:color="auto" w:sz="2" w:space="0"/>
              <w:bottom w:val="single" w:color="auto" w:sz="2" w:space="0"/>
              <w:right w:val="single" w:color="auto" w:sz="2" w:space="0"/>
            </w:tcBorders>
            <w:vAlign w:val="center"/>
          </w:tcPr>
          <w:p w14:paraId="44472AD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596,411.13</w:t>
            </w:r>
          </w:p>
        </w:tc>
      </w:tr>
      <w:tr w14:paraId="1D060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A38E84">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45FB0EBB">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E25AA79">
            <w:pPr>
              <w:spacing w:before="0" w:after="0" w:line="240" w:lineRule="exact"/>
              <w:jc w:val="right"/>
              <w:rPr>
                <w:rFonts w:hint="default" w:ascii="Times New Roman" w:hAnsi="Times New Roman" w:eastAsia="宋体" w:cs="Times New Roman"/>
                <w:sz w:val="18"/>
                <w:szCs w:val="18"/>
              </w:rPr>
            </w:pPr>
          </w:p>
        </w:tc>
      </w:tr>
      <w:tr w14:paraId="71E7D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E5CD1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6545848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20,451,079.51</w:t>
            </w:r>
          </w:p>
        </w:tc>
        <w:tc>
          <w:tcPr>
            <w:tcW w:w="3213" w:type="dxa"/>
            <w:tcBorders>
              <w:top w:val="single" w:color="auto" w:sz="2" w:space="0"/>
              <w:left w:val="single" w:color="auto" w:sz="2" w:space="0"/>
              <w:bottom w:val="single" w:color="auto" w:sz="2" w:space="0"/>
              <w:right w:val="single" w:color="auto" w:sz="2" w:space="0"/>
            </w:tcBorders>
            <w:vAlign w:val="center"/>
          </w:tcPr>
          <w:p w14:paraId="00F2A2D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26,096,411.13</w:t>
            </w:r>
          </w:p>
        </w:tc>
      </w:tr>
      <w:tr w14:paraId="78C4C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4A7E8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3A3ADFC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-5,451,079.51</w:t>
            </w:r>
          </w:p>
        </w:tc>
        <w:tc>
          <w:tcPr>
            <w:tcW w:w="3213" w:type="dxa"/>
            <w:tcBorders>
              <w:top w:val="single" w:color="auto" w:sz="2" w:space="0"/>
              <w:left w:val="single" w:color="auto" w:sz="2" w:space="0"/>
              <w:bottom w:val="single" w:color="auto" w:sz="2" w:space="0"/>
              <w:right w:val="single" w:color="auto" w:sz="2" w:space="0"/>
            </w:tcBorders>
            <w:vAlign w:val="center"/>
          </w:tcPr>
          <w:p w14:paraId="71852A3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-5,096,411.13</w:t>
            </w:r>
          </w:p>
        </w:tc>
      </w:tr>
      <w:tr w14:paraId="5B295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172E8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14:paraId="59D05DFF">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4AF6F98">
            <w:pPr>
              <w:spacing w:before="0" w:after="0" w:line="240" w:lineRule="exact"/>
              <w:jc w:val="right"/>
              <w:rPr>
                <w:rFonts w:hint="default" w:ascii="Times New Roman" w:hAnsi="Times New Roman" w:eastAsia="宋体" w:cs="Times New Roman"/>
                <w:sz w:val="18"/>
                <w:szCs w:val="18"/>
              </w:rPr>
            </w:pPr>
          </w:p>
        </w:tc>
      </w:tr>
      <w:tr w14:paraId="345DB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45E36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46AB275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-6,344,972.52</w:t>
            </w:r>
          </w:p>
        </w:tc>
        <w:tc>
          <w:tcPr>
            <w:tcW w:w="3213" w:type="dxa"/>
            <w:tcBorders>
              <w:top w:val="single" w:color="auto" w:sz="2" w:space="0"/>
              <w:left w:val="single" w:color="auto" w:sz="2" w:space="0"/>
              <w:bottom w:val="single" w:color="auto" w:sz="2" w:space="0"/>
              <w:right w:val="single" w:color="auto" w:sz="2" w:space="0"/>
            </w:tcBorders>
            <w:vAlign w:val="center"/>
          </w:tcPr>
          <w:p w14:paraId="21B7D1F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23,398,101.30</w:t>
            </w:r>
          </w:p>
        </w:tc>
      </w:tr>
      <w:tr w14:paraId="02751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0EAB18">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601F50C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24,457,640.96</w:t>
            </w:r>
          </w:p>
        </w:tc>
        <w:tc>
          <w:tcPr>
            <w:tcW w:w="3213" w:type="dxa"/>
            <w:tcBorders>
              <w:top w:val="single" w:color="auto" w:sz="2" w:space="0"/>
              <w:left w:val="single" w:color="auto" w:sz="2" w:space="0"/>
              <w:bottom w:val="single" w:color="auto" w:sz="2" w:space="0"/>
              <w:right w:val="single" w:color="auto" w:sz="2" w:space="0"/>
            </w:tcBorders>
            <w:vAlign w:val="center"/>
          </w:tcPr>
          <w:p w14:paraId="5DCA22F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1,059,539.66</w:t>
            </w:r>
          </w:p>
        </w:tc>
      </w:tr>
      <w:tr w14:paraId="7FAE6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7875D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6BECDC1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18,112,668.44</w:t>
            </w:r>
          </w:p>
        </w:tc>
        <w:tc>
          <w:tcPr>
            <w:tcW w:w="3213" w:type="dxa"/>
            <w:tcBorders>
              <w:top w:val="single" w:color="auto" w:sz="2" w:space="0"/>
              <w:left w:val="single" w:color="auto" w:sz="2" w:space="0"/>
              <w:bottom w:val="single" w:color="auto" w:sz="2" w:space="0"/>
              <w:right w:val="single" w:color="auto" w:sz="2" w:space="0"/>
            </w:tcBorders>
            <w:vAlign w:val="center"/>
          </w:tcPr>
          <w:p w14:paraId="202A174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24,457,640.96</w:t>
            </w:r>
          </w:p>
        </w:tc>
      </w:tr>
    </w:tbl>
    <w:p w14:paraId="2CC1EDC5">
      <w:pPr>
        <w:pStyle w:val="3"/>
        <w:keepNext/>
        <w:keepLines/>
        <w:spacing w:before="300" w:after="300" w:line="280" w:lineRule="exact"/>
        <w:jc w:val="left"/>
        <w:outlineLvl w:val="2"/>
        <w:rPr>
          <w:rFonts w:ascii="宋体" w:hAnsi="宋体" w:eastAsia="宋体" w:cs="宋体"/>
          <w:b/>
          <w:bCs/>
          <w:sz w:val="21"/>
          <w:szCs w:val="21"/>
        </w:rPr>
      </w:pPr>
      <w:bookmarkStart w:id="224" w:name="_Toc989039"/>
      <w:r>
        <w:rPr>
          <w:rFonts w:ascii="宋体" w:hAnsi="宋体" w:eastAsia="宋体" w:cs="宋体"/>
          <w:b/>
          <w:bCs/>
          <w:sz w:val="21"/>
          <w:szCs w:val="21"/>
        </w:rPr>
        <w:t>7、合并所有者权益变动表</w:t>
      </w:r>
      <w:bookmarkEnd w:id="224"/>
    </w:p>
    <w:p w14:paraId="423BEBC1">
      <w:pPr>
        <w:spacing w:before="0" w:after="0" w:line="240" w:lineRule="exact"/>
        <w:jc w:val="left"/>
        <w:rPr>
          <w:rFonts w:ascii="宋体" w:hAnsi="宋体" w:eastAsia="宋体" w:cs="宋体"/>
          <w:sz w:val="18"/>
          <w:szCs w:val="18"/>
        </w:rPr>
      </w:pPr>
      <w:r>
        <w:rPr>
          <w:rFonts w:ascii="宋体" w:hAnsi="宋体" w:eastAsia="宋体" w:cs="宋体"/>
          <w:sz w:val="18"/>
          <w:szCs w:val="18"/>
        </w:rPr>
        <w:t>本期金额</w:t>
      </w:r>
    </w:p>
    <w:p w14:paraId="3ECD3218">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02"/>
        <w:gridCol w:w="602"/>
        <w:gridCol w:w="602"/>
        <w:gridCol w:w="602"/>
        <w:gridCol w:w="602"/>
        <w:gridCol w:w="602"/>
        <w:gridCol w:w="602"/>
        <w:gridCol w:w="602"/>
        <w:gridCol w:w="602"/>
        <w:gridCol w:w="602"/>
        <w:gridCol w:w="602"/>
        <w:gridCol w:w="602"/>
        <w:gridCol w:w="602"/>
        <w:gridCol w:w="602"/>
        <w:gridCol w:w="602"/>
      </w:tblGrid>
      <w:tr w14:paraId="79457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47EB8F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14:paraId="4776F2E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2025年度</w:t>
            </w:r>
          </w:p>
        </w:tc>
      </w:tr>
      <w:tr w14:paraId="648C8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FF8C2D6">
            <w:pPr>
              <w:rPr>
                <w:rFonts w:hint="default" w:ascii="Times New Roman" w:hAnsi="Times New Roman" w:cs="Times New Roman"/>
              </w:rPr>
            </w:pPr>
          </w:p>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49508A0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6F0352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8B6316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所有者权益合计</w:t>
            </w:r>
          </w:p>
        </w:tc>
      </w:tr>
      <w:tr w14:paraId="79F33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6ACDFD1">
            <w:pPr>
              <w:rPr>
                <w:rFonts w:hint="default" w:ascii="Times New Roman" w:hAnsi="Times New Roman" w:cs="Times New Roman"/>
              </w:rPr>
            </w:pP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EDFF83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036D301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1FAD34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0F2EF1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117773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D44713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B73433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E80B6D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F748C6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01D697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961DDD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F70E84E">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4F9FAA5">
            <w:pPr>
              <w:rPr>
                <w:rFonts w:hint="default" w:ascii="Times New Roman" w:hAnsi="Times New Roman" w:cs="Times New Roman"/>
              </w:rPr>
            </w:pPr>
          </w:p>
        </w:tc>
      </w:tr>
      <w:tr w14:paraId="60C5F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AA041AD">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541CF25">
            <w:pPr>
              <w:rPr>
                <w:rFonts w:hint="default" w:ascii="Times New Roman" w:hAnsi="Times New Roman" w:cs="Times New Roman"/>
              </w:rPr>
            </w:pP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067F985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39686F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F5C8DA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549CFFD">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65AA0CE">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F7DED67">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3A25B83">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7F3ED99">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279D172">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E8AE483">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5FF3DAA">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B10E127">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77DA6C4">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B801F93">
            <w:pPr>
              <w:rPr>
                <w:rFonts w:hint="default" w:ascii="Times New Roman" w:hAnsi="Times New Roman" w:cs="Times New Roman"/>
              </w:rPr>
            </w:pPr>
          </w:p>
        </w:tc>
      </w:tr>
      <w:tr w14:paraId="7FA4B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CB8594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一、上年期末余额</w:t>
            </w:r>
          </w:p>
        </w:tc>
        <w:tc>
          <w:tcPr>
            <w:tcW w:w="602" w:type="dxa"/>
            <w:tcBorders>
              <w:top w:val="single" w:color="auto" w:sz="2" w:space="0"/>
              <w:left w:val="single" w:color="auto" w:sz="2" w:space="0"/>
              <w:bottom w:val="single" w:color="auto" w:sz="2" w:space="0"/>
              <w:right w:val="single" w:color="auto" w:sz="2" w:space="0"/>
            </w:tcBorders>
            <w:vAlign w:val="center"/>
          </w:tcPr>
          <w:p w14:paraId="29AC780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c>
          <w:tcPr>
            <w:tcW w:w="602" w:type="dxa"/>
            <w:tcBorders>
              <w:top w:val="single" w:color="auto" w:sz="2" w:space="0"/>
              <w:left w:val="single" w:color="auto" w:sz="2" w:space="0"/>
              <w:bottom w:val="single" w:color="auto" w:sz="2" w:space="0"/>
              <w:right w:val="single" w:color="auto" w:sz="2" w:space="0"/>
            </w:tcBorders>
            <w:vAlign w:val="center"/>
          </w:tcPr>
          <w:p w14:paraId="1AA2A1E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22BAD3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F10C7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CFE8FF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594,541,559.87</w:t>
            </w:r>
          </w:p>
        </w:tc>
        <w:tc>
          <w:tcPr>
            <w:tcW w:w="602" w:type="dxa"/>
            <w:tcBorders>
              <w:top w:val="single" w:color="auto" w:sz="2" w:space="0"/>
              <w:left w:val="single" w:color="auto" w:sz="2" w:space="0"/>
              <w:bottom w:val="single" w:color="auto" w:sz="2" w:space="0"/>
              <w:right w:val="single" w:color="auto" w:sz="2" w:space="0"/>
            </w:tcBorders>
            <w:vAlign w:val="center"/>
          </w:tcPr>
          <w:p w14:paraId="67D63EE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3E28A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-46,388,548.35</w:t>
            </w:r>
          </w:p>
        </w:tc>
        <w:tc>
          <w:tcPr>
            <w:tcW w:w="602" w:type="dxa"/>
            <w:tcBorders>
              <w:top w:val="single" w:color="auto" w:sz="2" w:space="0"/>
              <w:left w:val="single" w:color="auto" w:sz="2" w:space="0"/>
              <w:bottom w:val="single" w:color="auto" w:sz="2" w:space="0"/>
              <w:right w:val="single" w:color="auto" w:sz="2" w:space="0"/>
            </w:tcBorders>
            <w:vAlign w:val="center"/>
          </w:tcPr>
          <w:p w14:paraId="5E9ECAB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4EAEA1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50,643,420.67</w:t>
            </w:r>
          </w:p>
        </w:tc>
        <w:tc>
          <w:tcPr>
            <w:tcW w:w="602" w:type="dxa"/>
            <w:tcBorders>
              <w:top w:val="single" w:color="auto" w:sz="2" w:space="0"/>
              <w:left w:val="single" w:color="auto" w:sz="2" w:space="0"/>
              <w:bottom w:val="single" w:color="auto" w:sz="2" w:space="0"/>
              <w:right w:val="single" w:color="auto" w:sz="2" w:space="0"/>
            </w:tcBorders>
            <w:vAlign w:val="center"/>
          </w:tcPr>
          <w:p w14:paraId="1201AD2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3E850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-321,594,027.95</w:t>
            </w:r>
          </w:p>
        </w:tc>
        <w:tc>
          <w:tcPr>
            <w:tcW w:w="602" w:type="dxa"/>
            <w:tcBorders>
              <w:top w:val="single" w:color="auto" w:sz="2" w:space="0"/>
              <w:left w:val="single" w:color="auto" w:sz="2" w:space="0"/>
              <w:bottom w:val="single" w:color="auto" w:sz="2" w:space="0"/>
              <w:right w:val="single" w:color="auto" w:sz="2" w:space="0"/>
            </w:tcBorders>
            <w:vAlign w:val="center"/>
          </w:tcPr>
          <w:p w14:paraId="75D2BA6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43FB78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542,358,105.24</w:t>
            </w:r>
          </w:p>
        </w:tc>
        <w:tc>
          <w:tcPr>
            <w:tcW w:w="602" w:type="dxa"/>
            <w:tcBorders>
              <w:top w:val="single" w:color="auto" w:sz="2" w:space="0"/>
              <w:left w:val="single" w:color="auto" w:sz="2" w:space="0"/>
              <w:bottom w:val="single" w:color="auto" w:sz="2" w:space="0"/>
              <w:right w:val="single" w:color="auto" w:sz="2" w:space="0"/>
            </w:tcBorders>
            <w:vAlign w:val="center"/>
          </w:tcPr>
          <w:p w14:paraId="2E174D9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-74,766,202.02</w:t>
            </w:r>
          </w:p>
        </w:tc>
        <w:tc>
          <w:tcPr>
            <w:tcW w:w="602" w:type="dxa"/>
            <w:tcBorders>
              <w:top w:val="single" w:color="auto" w:sz="2" w:space="0"/>
              <w:left w:val="single" w:color="auto" w:sz="2" w:space="0"/>
              <w:bottom w:val="single" w:color="auto" w:sz="2" w:space="0"/>
              <w:right w:val="single" w:color="auto" w:sz="2" w:space="0"/>
            </w:tcBorders>
            <w:vAlign w:val="center"/>
          </w:tcPr>
          <w:p w14:paraId="682453C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467,591,903.22</w:t>
            </w:r>
          </w:p>
        </w:tc>
      </w:tr>
      <w:tr w14:paraId="72E74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3737DE0">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加：会计政策变更</w:t>
            </w:r>
          </w:p>
        </w:tc>
        <w:tc>
          <w:tcPr>
            <w:tcW w:w="602" w:type="dxa"/>
            <w:tcBorders>
              <w:top w:val="single" w:color="auto" w:sz="2" w:space="0"/>
              <w:left w:val="single" w:color="auto" w:sz="2" w:space="0"/>
              <w:bottom w:val="single" w:color="auto" w:sz="2" w:space="0"/>
              <w:right w:val="single" w:color="auto" w:sz="2" w:space="0"/>
            </w:tcBorders>
            <w:vAlign w:val="center"/>
          </w:tcPr>
          <w:p w14:paraId="0F38E38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121C92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A9CD8E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2DD154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A98C45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4CE4F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9351F2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419B2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619A83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51C1C8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3F1B4B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2E830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F05CAF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D45210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AAE3EF">
            <w:pPr>
              <w:spacing w:before="0" w:after="0" w:line="240" w:lineRule="exact"/>
              <w:jc w:val="right"/>
              <w:rPr>
                <w:rFonts w:hint="default" w:ascii="Times New Roman" w:hAnsi="Times New Roman" w:eastAsia="宋体" w:cs="Times New Roman"/>
                <w:sz w:val="18"/>
                <w:szCs w:val="18"/>
              </w:rPr>
            </w:pPr>
          </w:p>
        </w:tc>
      </w:tr>
      <w:tr w14:paraId="2650E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4960E2B1">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前期差错更正</w:t>
            </w:r>
          </w:p>
        </w:tc>
        <w:tc>
          <w:tcPr>
            <w:tcW w:w="602" w:type="dxa"/>
            <w:tcBorders>
              <w:top w:val="single" w:color="auto" w:sz="2" w:space="0"/>
              <w:left w:val="single" w:color="auto" w:sz="2" w:space="0"/>
              <w:bottom w:val="single" w:color="auto" w:sz="2" w:space="0"/>
              <w:right w:val="single" w:color="auto" w:sz="2" w:space="0"/>
            </w:tcBorders>
            <w:vAlign w:val="center"/>
          </w:tcPr>
          <w:p w14:paraId="5591521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3E86D8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28F669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032B03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F43E0B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41160F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9084B4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6262A6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6F8230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F07216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F5A48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69AB6A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68CD0B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BCBD98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9CBABBD">
            <w:pPr>
              <w:spacing w:before="0" w:after="0" w:line="240" w:lineRule="exact"/>
              <w:jc w:val="right"/>
              <w:rPr>
                <w:rFonts w:hint="default" w:ascii="Times New Roman" w:hAnsi="Times New Roman" w:eastAsia="宋体" w:cs="Times New Roman"/>
                <w:sz w:val="18"/>
                <w:szCs w:val="18"/>
              </w:rPr>
            </w:pPr>
          </w:p>
        </w:tc>
      </w:tr>
      <w:tr w14:paraId="11F99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6037AAEA">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02" w:type="dxa"/>
            <w:tcBorders>
              <w:top w:val="single" w:color="auto" w:sz="2" w:space="0"/>
              <w:left w:val="single" w:color="auto" w:sz="2" w:space="0"/>
              <w:bottom w:val="single" w:color="auto" w:sz="2" w:space="0"/>
              <w:right w:val="single" w:color="auto" w:sz="2" w:space="0"/>
            </w:tcBorders>
            <w:vAlign w:val="center"/>
          </w:tcPr>
          <w:p w14:paraId="2431866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5DFF4D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B6C5F7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7A9A04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0E4392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DFA552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D467AC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02F799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6C297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F9C923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A28091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0634DE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0EF9E5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C81E14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8433180">
            <w:pPr>
              <w:spacing w:before="0" w:after="0" w:line="240" w:lineRule="exact"/>
              <w:jc w:val="right"/>
              <w:rPr>
                <w:rFonts w:hint="default" w:ascii="Times New Roman" w:hAnsi="Times New Roman" w:eastAsia="宋体" w:cs="Times New Roman"/>
                <w:sz w:val="18"/>
                <w:szCs w:val="18"/>
              </w:rPr>
            </w:pPr>
          </w:p>
        </w:tc>
      </w:tr>
      <w:tr w14:paraId="0294D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22FDE5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二、本年期初余额</w:t>
            </w:r>
          </w:p>
        </w:tc>
        <w:tc>
          <w:tcPr>
            <w:tcW w:w="602" w:type="dxa"/>
            <w:tcBorders>
              <w:top w:val="single" w:color="auto" w:sz="2" w:space="0"/>
              <w:left w:val="single" w:color="auto" w:sz="2" w:space="0"/>
              <w:bottom w:val="single" w:color="auto" w:sz="2" w:space="0"/>
              <w:right w:val="single" w:color="auto" w:sz="2" w:space="0"/>
            </w:tcBorders>
            <w:vAlign w:val="center"/>
          </w:tcPr>
          <w:p w14:paraId="0851ED9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c>
          <w:tcPr>
            <w:tcW w:w="602" w:type="dxa"/>
            <w:tcBorders>
              <w:top w:val="single" w:color="auto" w:sz="2" w:space="0"/>
              <w:left w:val="single" w:color="auto" w:sz="2" w:space="0"/>
              <w:bottom w:val="single" w:color="auto" w:sz="2" w:space="0"/>
              <w:right w:val="single" w:color="auto" w:sz="2" w:space="0"/>
            </w:tcBorders>
            <w:vAlign w:val="center"/>
          </w:tcPr>
          <w:p w14:paraId="73B56ED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93EBD9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61F5FE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E216EF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594,541,559.87</w:t>
            </w:r>
          </w:p>
        </w:tc>
        <w:tc>
          <w:tcPr>
            <w:tcW w:w="602" w:type="dxa"/>
            <w:tcBorders>
              <w:top w:val="single" w:color="auto" w:sz="2" w:space="0"/>
              <w:left w:val="single" w:color="auto" w:sz="2" w:space="0"/>
              <w:bottom w:val="single" w:color="auto" w:sz="2" w:space="0"/>
              <w:right w:val="single" w:color="auto" w:sz="2" w:space="0"/>
            </w:tcBorders>
            <w:vAlign w:val="center"/>
          </w:tcPr>
          <w:p w14:paraId="54FEF53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0966ED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-46,388,548.35</w:t>
            </w:r>
          </w:p>
        </w:tc>
        <w:tc>
          <w:tcPr>
            <w:tcW w:w="602" w:type="dxa"/>
            <w:tcBorders>
              <w:top w:val="single" w:color="auto" w:sz="2" w:space="0"/>
              <w:left w:val="single" w:color="auto" w:sz="2" w:space="0"/>
              <w:bottom w:val="single" w:color="auto" w:sz="2" w:space="0"/>
              <w:right w:val="single" w:color="auto" w:sz="2" w:space="0"/>
            </w:tcBorders>
            <w:vAlign w:val="center"/>
          </w:tcPr>
          <w:p w14:paraId="22B196D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379127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50,643,420.67</w:t>
            </w:r>
          </w:p>
        </w:tc>
        <w:tc>
          <w:tcPr>
            <w:tcW w:w="602" w:type="dxa"/>
            <w:tcBorders>
              <w:top w:val="single" w:color="auto" w:sz="2" w:space="0"/>
              <w:left w:val="single" w:color="auto" w:sz="2" w:space="0"/>
              <w:bottom w:val="single" w:color="auto" w:sz="2" w:space="0"/>
              <w:right w:val="single" w:color="auto" w:sz="2" w:space="0"/>
            </w:tcBorders>
            <w:vAlign w:val="center"/>
          </w:tcPr>
          <w:p w14:paraId="51BB604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5B961D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-321,594,027.95</w:t>
            </w:r>
          </w:p>
        </w:tc>
        <w:tc>
          <w:tcPr>
            <w:tcW w:w="602" w:type="dxa"/>
            <w:tcBorders>
              <w:top w:val="single" w:color="auto" w:sz="2" w:space="0"/>
              <w:left w:val="single" w:color="auto" w:sz="2" w:space="0"/>
              <w:bottom w:val="single" w:color="auto" w:sz="2" w:space="0"/>
              <w:right w:val="single" w:color="auto" w:sz="2" w:space="0"/>
            </w:tcBorders>
            <w:vAlign w:val="center"/>
          </w:tcPr>
          <w:p w14:paraId="54B72BD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2C60F0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542,358,105.24</w:t>
            </w:r>
          </w:p>
        </w:tc>
        <w:tc>
          <w:tcPr>
            <w:tcW w:w="602" w:type="dxa"/>
            <w:tcBorders>
              <w:top w:val="single" w:color="auto" w:sz="2" w:space="0"/>
              <w:left w:val="single" w:color="auto" w:sz="2" w:space="0"/>
              <w:bottom w:val="single" w:color="auto" w:sz="2" w:space="0"/>
              <w:right w:val="single" w:color="auto" w:sz="2" w:space="0"/>
            </w:tcBorders>
            <w:vAlign w:val="center"/>
          </w:tcPr>
          <w:p w14:paraId="636DF12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-74,766,202.02</w:t>
            </w:r>
          </w:p>
        </w:tc>
        <w:tc>
          <w:tcPr>
            <w:tcW w:w="602" w:type="dxa"/>
            <w:tcBorders>
              <w:top w:val="single" w:color="auto" w:sz="2" w:space="0"/>
              <w:left w:val="single" w:color="auto" w:sz="2" w:space="0"/>
              <w:bottom w:val="single" w:color="auto" w:sz="2" w:space="0"/>
              <w:right w:val="single" w:color="auto" w:sz="2" w:space="0"/>
            </w:tcBorders>
            <w:vAlign w:val="center"/>
          </w:tcPr>
          <w:p w14:paraId="2A93455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467,591,903.22</w:t>
            </w:r>
          </w:p>
        </w:tc>
      </w:tr>
      <w:tr w14:paraId="58CEA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5ED4B0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vAlign w:val="center"/>
          </w:tcPr>
          <w:p w14:paraId="5074CDD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95421D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3A1C9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33DFE9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B5D823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3,488,938.90</w:t>
            </w:r>
          </w:p>
        </w:tc>
        <w:tc>
          <w:tcPr>
            <w:tcW w:w="602" w:type="dxa"/>
            <w:tcBorders>
              <w:top w:val="single" w:color="auto" w:sz="2" w:space="0"/>
              <w:left w:val="single" w:color="auto" w:sz="2" w:space="0"/>
              <w:bottom w:val="single" w:color="auto" w:sz="2" w:space="0"/>
              <w:right w:val="single" w:color="auto" w:sz="2" w:space="0"/>
            </w:tcBorders>
            <w:vAlign w:val="center"/>
          </w:tcPr>
          <w:p w14:paraId="64A0D0F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22CA93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-125,555.44</w:t>
            </w:r>
          </w:p>
        </w:tc>
        <w:tc>
          <w:tcPr>
            <w:tcW w:w="602" w:type="dxa"/>
            <w:tcBorders>
              <w:top w:val="single" w:color="auto" w:sz="2" w:space="0"/>
              <w:left w:val="single" w:color="auto" w:sz="2" w:space="0"/>
              <w:bottom w:val="single" w:color="auto" w:sz="2" w:space="0"/>
              <w:right w:val="single" w:color="auto" w:sz="2" w:space="0"/>
            </w:tcBorders>
            <w:vAlign w:val="center"/>
          </w:tcPr>
          <w:p w14:paraId="44AA3D3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8AE82F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331,375.21</w:t>
            </w:r>
          </w:p>
        </w:tc>
        <w:tc>
          <w:tcPr>
            <w:tcW w:w="602" w:type="dxa"/>
            <w:tcBorders>
              <w:top w:val="single" w:color="auto" w:sz="2" w:space="0"/>
              <w:left w:val="single" w:color="auto" w:sz="2" w:space="0"/>
              <w:bottom w:val="single" w:color="auto" w:sz="2" w:space="0"/>
              <w:right w:val="single" w:color="auto" w:sz="2" w:space="0"/>
            </w:tcBorders>
            <w:vAlign w:val="center"/>
          </w:tcPr>
          <w:p w14:paraId="50C2717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E893B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24,014,653.07</w:t>
            </w:r>
          </w:p>
        </w:tc>
        <w:tc>
          <w:tcPr>
            <w:tcW w:w="602" w:type="dxa"/>
            <w:tcBorders>
              <w:top w:val="single" w:color="auto" w:sz="2" w:space="0"/>
              <w:left w:val="single" w:color="auto" w:sz="2" w:space="0"/>
              <w:bottom w:val="single" w:color="auto" w:sz="2" w:space="0"/>
              <w:right w:val="single" w:color="auto" w:sz="2" w:space="0"/>
            </w:tcBorders>
            <w:vAlign w:val="center"/>
          </w:tcPr>
          <w:p w14:paraId="5CB4283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05C14A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27,709,411.74</w:t>
            </w:r>
          </w:p>
        </w:tc>
        <w:tc>
          <w:tcPr>
            <w:tcW w:w="602" w:type="dxa"/>
            <w:tcBorders>
              <w:top w:val="single" w:color="auto" w:sz="2" w:space="0"/>
              <w:left w:val="single" w:color="auto" w:sz="2" w:space="0"/>
              <w:bottom w:val="single" w:color="auto" w:sz="2" w:space="0"/>
              <w:right w:val="single" w:color="auto" w:sz="2" w:space="0"/>
            </w:tcBorders>
            <w:vAlign w:val="center"/>
          </w:tcPr>
          <w:p w14:paraId="5DA1A58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-7,484,388.43</w:t>
            </w:r>
          </w:p>
        </w:tc>
        <w:tc>
          <w:tcPr>
            <w:tcW w:w="602" w:type="dxa"/>
            <w:tcBorders>
              <w:top w:val="single" w:color="auto" w:sz="2" w:space="0"/>
              <w:left w:val="single" w:color="auto" w:sz="2" w:space="0"/>
              <w:bottom w:val="single" w:color="auto" w:sz="2" w:space="0"/>
              <w:right w:val="single" w:color="auto" w:sz="2" w:space="0"/>
            </w:tcBorders>
            <w:vAlign w:val="center"/>
          </w:tcPr>
          <w:p w14:paraId="0192405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20,225,023.31</w:t>
            </w:r>
          </w:p>
        </w:tc>
      </w:tr>
      <w:tr w14:paraId="72BEE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4CF3BB4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（一）综合收益总额</w:t>
            </w:r>
          </w:p>
        </w:tc>
        <w:tc>
          <w:tcPr>
            <w:tcW w:w="602" w:type="dxa"/>
            <w:tcBorders>
              <w:top w:val="single" w:color="auto" w:sz="2" w:space="0"/>
              <w:left w:val="single" w:color="auto" w:sz="2" w:space="0"/>
              <w:bottom w:val="single" w:color="auto" w:sz="2" w:space="0"/>
              <w:right w:val="single" w:color="auto" w:sz="2" w:space="0"/>
            </w:tcBorders>
            <w:vAlign w:val="center"/>
          </w:tcPr>
          <w:p w14:paraId="5BA2C26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F78982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FE8C50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B90D01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8206A9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E9D3CA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D15697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-125,555.44</w:t>
            </w:r>
          </w:p>
        </w:tc>
        <w:tc>
          <w:tcPr>
            <w:tcW w:w="602" w:type="dxa"/>
            <w:tcBorders>
              <w:top w:val="single" w:color="auto" w:sz="2" w:space="0"/>
              <w:left w:val="single" w:color="auto" w:sz="2" w:space="0"/>
              <w:bottom w:val="single" w:color="auto" w:sz="2" w:space="0"/>
              <w:right w:val="single" w:color="auto" w:sz="2" w:space="0"/>
            </w:tcBorders>
            <w:vAlign w:val="center"/>
          </w:tcPr>
          <w:p w14:paraId="6EF633B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57008F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2EC782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548EAC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24,346,028.28</w:t>
            </w:r>
          </w:p>
        </w:tc>
        <w:tc>
          <w:tcPr>
            <w:tcW w:w="602" w:type="dxa"/>
            <w:tcBorders>
              <w:top w:val="single" w:color="auto" w:sz="2" w:space="0"/>
              <w:left w:val="single" w:color="auto" w:sz="2" w:space="0"/>
              <w:bottom w:val="single" w:color="auto" w:sz="2" w:space="0"/>
              <w:right w:val="single" w:color="auto" w:sz="2" w:space="0"/>
            </w:tcBorders>
            <w:vAlign w:val="center"/>
          </w:tcPr>
          <w:p w14:paraId="3D925D5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0641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24,220,472.84</w:t>
            </w:r>
          </w:p>
        </w:tc>
        <w:tc>
          <w:tcPr>
            <w:tcW w:w="602" w:type="dxa"/>
            <w:tcBorders>
              <w:top w:val="single" w:color="auto" w:sz="2" w:space="0"/>
              <w:left w:val="single" w:color="auto" w:sz="2" w:space="0"/>
              <w:bottom w:val="single" w:color="auto" w:sz="2" w:space="0"/>
              <w:right w:val="single" w:color="auto" w:sz="2" w:space="0"/>
            </w:tcBorders>
            <w:vAlign w:val="center"/>
          </w:tcPr>
          <w:p w14:paraId="73FA2E3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-9,558,758.24</w:t>
            </w:r>
          </w:p>
        </w:tc>
        <w:tc>
          <w:tcPr>
            <w:tcW w:w="602" w:type="dxa"/>
            <w:tcBorders>
              <w:top w:val="single" w:color="auto" w:sz="2" w:space="0"/>
              <w:left w:val="single" w:color="auto" w:sz="2" w:space="0"/>
              <w:bottom w:val="single" w:color="auto" w:sz="2" w:space="0"/>
              <w:right w:val="single" w:color="auto" w:sz="2" w:space="0"/>
            </w:tcBorders>
            <w:vAlign w:val="center"/>
          </w:tcPr>
          <w:p w14:paraId="4A1C667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14,661,714.60</w:t>
            </w:r>
          </w:p>
        </w:tc>
      </w:tr>
      <w:tr w14:paraId="67696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79C61C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（二）所有者投入和减少资本</w:t>
            </w:r>
          </w:p>
        </w:tc>
        <w:tc>
          <w:tcPr>
            <w:tcW w:w="602" w:type="dxa"/>
            <w:tcBorders>
              <w:top w:val="single" w:color="auto" w:sz="2" w:space="0"/>
              <w:left w:val="single" w:color="auto" w:sz="2" w:space="0"/>
              <w:bottom w:val="single" w:color="auto" w:sz="2" w:space="0"/>
              <w:right w:val="single" w:color="auto" w:sz="2" w:space="0"/>
            </w:tcBorders>
            <w:vAlign w:val="center"/>
          </w:tcPr>
          <w:p w14:paraId="52E3621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8E7E1A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9A8AAD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1E9BAF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AAFE00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3,488,938.90</w:t>
            </w:r>
          </w:p>
        </w:tc>
        <w:tc>
          <w:tcPr>
            <w:tcW w:w="602" w:type="dxa"/>
            <w:tcBorders>
              <w:top w:val="single" w:color="auto" w:sz="2" w:space="0"/>
              <w:left w:val="single" w:color="auto" w:sz="2" w:space="0"/>
              <w:bottom w:val="single" w:color="auto" w:sz="2" w:space="0"/>
              <w:right w:val="single" w:color="auto" w:sz="2" w:space="0"/>
            </w:tcBorders>
            <w:vAlign w:val="center"/>
          </w:tcPr>
          <w:p w14:paraId="09515C2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A44EFA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5B767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364446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1FB581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938D98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07D8E3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3D9BE1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3,488,938.90</w:t>
            </w:r>
          </w:p>
        </w:tc>
        <w:tc>
          <w:tcPr>
            <w:tcW w:w="602" w:type="dxa"/>
            <w:tcBorders>
              <w:top w:val="single" w:color="auto" w:sz="2" w:space="0"/>
              <w:left w:val="single" w:color="auto" w:sz="2" w:space="0"/>
              <w:bottom w:val="single" w:color="auto" w:sz="2" w:space="0"/>
              <w:right w:val="single" w:color="auto" w:sz="2" w:space="0"/>
            </w:tcBorders>
            <w:vAlign w:val="center"/>
          </w:tcPr>
          <w:p w14:paraId="463CC08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2,074,369.81</w:t>
            </w:r>
          </w:p>
        </w:tc>
        <w:tc>
          <w:tcPr>
            <w:tcW w:w="602" w:type="dxa"/>
            <w:tcBorders>
              <w:top w:val="single" w:color="auto" w:sz="2" w:space="0"/>
              <w:left w:val="single" w:color="auto" w:sz="2" w:space="0"/>
              <w:bottom w:val="single" w:color="auto" w:sz="2" w:space="0"/>
              <w:right w:val="single" w:color="auto" w:sz="2" w:space="0"/>
            </w:tcBorders>
            <w:vAlign w:val="center"/>
          </w:tcPr>
          <w:p w14:paraId="7AB7495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5,563,308.71</w:t>
            </w:r>
          </w:p>
        </w:tc>
      </w:tr>
      <w:tr w14:paraId="668EC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D4ADEC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1．所有者投入的普通股</w:t>
            </w:r>
          </w:p>
        </w:tc>
        <w:tc>
          <w:tcPr>
            <w:tcW w:w="602" w:type="dxa"/>
            <w:tcBorders>
              <w:top w:val="single" w:color="auto" w:sz="2" w:space="0"/>
              <w:left w:val="single" w:color="auto" w:sz="2" w:space="0"/>
              <w:bottom w:val="single" w:color="auto" w:sz="2" w:space="0"/>
              <w:right w:val="single" w:color="auto" w:sz="2" w:space="0"/>
            </w:tcBorders>
            <w:vAlign w:val="center"/>
          </w:tcPr>
          <w:p w14:paraId="39606F6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EAB37C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9B6768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338161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91BF6D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76E2CA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4B8987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CFB4F7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B264A4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914A31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F42056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B472CF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94ED9C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6B7278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5,381,800.00</w:t>
            </w:r>
          </w:p>
        </w:tc>
        <w:tc>
          <w:tcPr>
            <w:tcW w:w="602" w:type="dxa"/>
            <w:tcBorders>
              <w:top w:val="single" w:color="auto" w:sz="2" w:space="0"/>
              <w:left w:val="single" w:color="auto" w:sz="2" w:space="0"/>
              <w:bottom w:val="single" w:color="auto" w:sz="2" w:space="0"/>
              <w:right w:val="single" w:color="auto" w:sz="2" w:space="0"/>
            </w:tcBorders>
            <w:vAlign w:val="center"/>
          </w:tcPr>
          <w:p w14:paraId="547C321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5,381,800.00</w:t>
            </w:r>
          </w:p>
        </w:tc>
      </w:tr>
      <w:tr w14:paraId="78FA1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6A9CBE3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vAlign w:val="center"/>
          </w:tcPr>
          <w:p w14:paraId="71BB412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D12A1D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6549D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14A1C5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2BEFDE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5860E3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18CCBE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E11CC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7B6290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0C328F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CBE3F0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B090B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8A967B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748BB7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4D08098">
            <w:pPr>
              <w:spacing w:before="0" w:after="0" w:line="240" w:lineRule="exact"/>
              <w:jc w:val="right"/>
              <w:rPr>
                <w:rFonts w:hint="default" w:ascii="Times New Roman" w:hAnsi="Times New Roman" w:eastAsia="宋体" w:cs="Times New Roman"/>
                <w:sz w:val="18"/>
                <w:szCs w:val="18"/>
              </w:rPr>
            </w:pPr>
          </w:p>
        </w:tc>
      </w:tr>
      <w:tr w14:paraId="0BFC5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555BEB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vAlign w:val="center"/>
          </w:tcPr>
          <w:p w14:paraId="28D6367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EBD47D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4D734B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93D024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C350D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974CF9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2E6A3A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F5B111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34F281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05545B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B7A187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EFA1F1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0F0A9C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78D6D0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44F7FE9">
            <w:pPr>
              <w:spacing w:before="0" w:after="0" w:line="240" w:lineRule="exact"/>
              <w:jc w:val="right"/>
              <w:rPr>
                <w:rFonts w:hint="default" w:ascii="Times New Roman" w:hAnsi="Times New Roman" w:eastAsia="宋体" w:cs="Times New Roman"/>
                <w:sz w:val="18"/>
                <w:szCs w:val="18"/>
              </w:rPr>
            </w:pPr>
          </w:p>
        </w:tc>
      </w:tr>
      <w:tr w14:paraId="152D8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6AD83E3B">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14:paraId="18BA251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6DA227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204679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5AED0B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C751F6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3,488,938.90</w:t>
            </w:r>
          </w:p>
        </w:tc>
        <w:tc>
          <w:tcPr>
            <w:tcW w:w="602" w:type="dxa"/>
            <w:tcBorders>
              <w:top w:val="single" w:color="auto" w:sz="2" w:space="0"/>
              <w:left w:val="single" w:color="auto" w:sz="2" w:space="0"/>
              <w:bottom w:val="single" w:color="auto" w:sz="2" w:space="0"/>
              <w:right w:val="single" w:color="auto" w:sz="2" w:space="0"/>
            </w:tcBorders>
            <w:vAlign w:val="center"/>
          </w:tcPr>
          <w:p w14:paraId="38FDB71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1CD9DA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06CAD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71DA39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54381B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48499F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D995D6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D86D87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3,488,938.90</w:t>
            </w:r>
          </w:p>
        </w:tc>
        <w:tc>
          <w:tcPr>
            <w:tcW w:w="602" w:type="dxa"/>
            <w:tcBorders>
              <w:top w:val="single" w:color="auto" w:sz="2" w:space="0"/>
              <w:left w:val="single" w:color="auto" w:sz="2" w:space="0"/>
              <w:bottom w:val="single" w:color="auto" w:sz="2" w:space="0"/>
              <w:right w:val="single" w:color="auto" w:sz="2" w:space="0"/>
            </w:tcBorders>
            <w:vAlign w:val="center"/>
          </w:tcPr>
          <w:p w14:paraId="2E2B641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-3,307,430.19</w:t>
            </w:r>
          </w:p>
        </w:tc>
        <w:tc>
          <w:tcPr>
            <w:tcW w:w="602" w:type="dxa"/>
            <w:tcBorders>
              <w:top w:val="single" w:color="auto" w:sz="2" w:space="0"/>
              <w:left w:val="single" w:color="auto" w:sz="2" w:space="0"/>
              <w:bottom w:val="single" w:color="auto" w:sz="2" w:space="0"/>
              <w:right w:val="single" w:color="auto" w:sz="2" w:space="0"/>
            </w:tcBorders>
            <w:vAlign w:val="center"/>
          </w:tcPr>
          <w:p w14:paraId="0B35917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181,508.71</w:t>
            </w:r>
          </w:p>
        </w:tc>
      </w:tr>
      <w:tr w14:paraId="0BD06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F23CEC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（三）利润分配</w:t>
            </w:r>
          </w:p>
        </w:tc>
        <w:tc>
          <w:tcPr>
            <w:tcW w:w="602" w:type="dxa"/>
            <w:tcBorders>
              <w:top w:val="single" w:color="auto" w:sz="2" w:space="0"/>
              <w:left w:val="single" w:color="auto" w:sz="2" w:space="0"/>
              <w:bottom w:val="single" w:color="auto" w:sz="2" w:space="0"/>
              <w:right w:val="single" w:color="auto" w:sz="2" w:space="0"/>
            </w:tcBorders>
            <w:vAlign w:val="center"/>
          </w:tcPr>
          <w:p w14:paraId="0FBDA40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A6B92D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6B26E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1770E0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198E72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29D341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15EB9C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ED05A3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F394D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331,375.21</w:t>
            </w:r>
          </w:p>
        </w:tc>
        <w:tc>
          <w:tcPr>
            <w:tcW w:w="602" w:type="dxa"/>
            <w:tcBorders>
              <w:top w:val="single" w:color="auto" w:sz="2" w:space="0"/>
              <w:left w:val="single" w:color="auto" w:sz="2" w:space="0"/>
              <w:bottom w:val="single" w:color="auto" w:sz="2" w:space="0"/>
              <w:right w:val="single" w:color="auto" w:sz="2" w:space="0"/>
            </w:tcBorders>
            <w:vAlign w:val="center"/>
          </w:tcPr>
          <w:p w14:paraId="152BBF9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485361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-331,375.21</w:t>
            </w:r>
          </w:p>
        </w:tc>
        <w:tc>
          <w:tcPr>
            <w:tcW w:w="602" w:type="dxa"/>
            <w:tcBorders>
              <w:top w:val="single" w:color="auto" w:sz="2" w:space="0"/>
              <w:left w:val="single" w:color="auto" w:sz="2" w:space="0"/>
              <w:bottom w:val="single" w:color="auto" w:sz="2" w:space="0"/>
              <w:right w:val="single" w:color="auto" w:sz="2" w:space="0"/>
            </w:tcBorders>
            <w:vAlign w:val="center"/>
          </w:tcPr>
          <w:p w14:paraId="34B9B56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08BF58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C1F89C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46F69D2">
            <w:pPr>
              <w:spacing w:before="0" w:after="0" w:line="240" w:lineRule="exact"/>
              <w:jc w:val="right"/>
              <w:rPr>
                <w:rFonts w:hint="default" w:ascii="Times New Roman" w:hAnsi="Times New Roman" w:eastAsia="宋体" w:cs="Times New Roman"/>
                <w:sz w:val="18"/>
                <w:szCs w:val="18"/>
              </w:rPr>
            </w:pPr>
          </w:p>
        </w:tc>
      </w:tr>
      <w:tr w14:paraId="7177E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4E9B63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1．提取盈余公积</w:t>
            </w:r>
          </w:p>
        </w:tc>
        <w:tc>
          <w:tcPr>
            <w:tcW w:w="602" w:type="dxa"/>
            <w:tcBorders>
              <w:top w:val="single" w:color="auto" w:sz="2" w:space="0"/>
              <w:left w:val="single" w:color="auto" w:sz="2" w:space="0"/>
              <w:bottom w:val="single" w:color="auto" w:sz="2" w:space="0"/>
              <w:right w:val="single" w:color="auto" w:sz="2" w:space="0"/>
            </w:tcBorders>
            <w:vAlign w:val="center"/>
          </w:tcPr>
          <w:p w14:paraId="702DBB9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2F4DC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30E1E1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F0CFCA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3847EB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090626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C5864E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558289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863FC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331,375.21</w:t>
            </w:r>
          </w:p>
        </w:tc>
        <w:tc>
          <w:tcPr>
            <w:tcW w:w="602" w:type="dxa"/>
            <w:tcBorders>
              <w:top w:val="single" w:color="auto" w:sz="2" w:space="0"/>
              <w:left w:val="single" w:color="auto" w:sz="2" w:space="0"/>
              <w:bottom w:val="single" w:color="auto" w:sz="2" w:space="0"/>
              <w:right w:val="single" w:color="auto" w:sz="2" w:space="0"/>
            </w:tcBorders>
            <w:vAlign w:val="center"/>
          </w:tcPr>
          <w:p w14:paraId="41E53F6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DE8A16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-331,375.21</w:t>
            </w:r>
          </w:p>
        </w:tc>
        <w:tc>
          <w:tcPr>
            <w:tcW w:w="602" w:type="dxa"/>
            <w:tcBorders>
              <w:top w:val="single" w:color="auto" w:sz="2" w:space="0"/>
              <w:left w:val="single" w:color="auto" w:sz="2" w:space="0"/>
              <w:bottom w:val="single" w:color="auto" w:sz="2" w:space="0"/>
              <w:right w:val="single" w:color="auto" w:sz="2" w:space="0"/>
            </w:tcBorders>
            <w:vAlign w:val="center"/>
          </w:tcPr>
          <w:p w14:paraId="521F432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EDFD97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E84E6B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89F9F27">
            <w:pPr>
              <w:spacing w:before="0" w:after="0" w:line="240" w:lineRule="exact"/>
              <w:jc w:val="right"/>
              <w:rPr>
                <w:rFonts w:hint="default" w:ascii="Times New Roman" w:hAnsi="Times New Roman" w:eastAsia="宋体" w:cs="Times New Roman"/>
                <w:sz w:val="18"/>
                <w:szCs w:val="18"/>
              </w:rPr>
            </w:pPr>
          </w:p>
        </w:tc>
      </w:tr>
      <w:tr w14:paraId="4A3EB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7B7EDB5B">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2．提取一般风险准备</w:t>
            </w:r>
          </w:p>
        </w:tc>
        <w:tc>
          <w:tcPr>
            <w:tcW w:w="602" w:type="dxa"/>
            <w:tcBorders>
              <w:top w:val="single" w:color="auto" w:sz="2" w:space="0"/>
              <w:left w:val="single" w:color="auto" w:sz="2" w:space="0"/>
              <w:bottom w:val="single" w:color="auto" w:sz="2" w:space="0"/>
              <w:right w:val="single" w:color="auto" w:sz="2" w:space="0"/>
            </w:tcBorders>
            <w:vAlign w:val="center"/>
          </w:tcPr>
          <w:p w14:paraId="6329608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D61B4F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173C28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2D35EF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AD74E2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B8EB0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DA1046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39DA67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EA4E2B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E52589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7C3701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25999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0C824B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F64AD3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DD89530">
            <w:pPr>
              <w:spacing w:before="0" w:after="0" w:line="240" w:lineRule="exact"/>
              <w:jc w:val="right"/>
              <w:rPr>
                <w:rFonts w:hint="default" w:ascii="Times New Roman" w:hAnsi="Times New Roman" w:eastAsia="宋体" w:cs="Times New Roman"/>
                <w:sz w:val="18"/>
                <w:szCs w:val="18"/>
              </w:rPr>
            </w:pPr>
          </w:p>
        </w:tc>
      </w:tr>
      <w:tr w14:paraId="0FFCA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3740601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3．对所有者（或股东）的分配</w:t>
            </w:r>
          </w:p>
        </w:tc>
        <w:tc>
          <w:tcPr>
            <w:tcW w:w="602" w:type="dxa"/>
            <w:tcBorders>
              <w:top w:val="single" w:color="auto" w:sz="2" w:space="0"/>
              <w:left w:val="single" w:color="auto" w:sz="2" w:space="0"/>
              <w:bottom w:val="single" w:color="auto" w:sz="2" w:space="0"/>
              <w:right w:val="single" w:color="auto" w:sz="2" w:space="0"/>
            </w:tcBorders>
            <w:vAlign w:val="center"/>
          </w:tcPr>
          <w:p w14:paraId="40C90C1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62AD92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88E951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5B5C20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223EEB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6DDEAE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E3C21B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31CF4D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93B58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37F24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4F7CE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2CEC70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CE9219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2E90B4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64D4BC">
            <w:pPr>
              <w:spacing w:before="0" w:after="0" w:line="240" w:lineRule="exact"/>
              <w:jc w:val="right"/>
              <w:rPr>
                <w:rFonts w:hint="default" w:ascii="Times New Roman" w:hAnsi="Times New Roman" w:eastAsia="宋体" w:cs="Times New Roman"/>
                <w:sz w:val="18"/>
                <w:szCs w:val="18"/>
              </w:rPr>
            </w:pPr>
          </w:p>
        </w:tc>
      </w:tr>
      <w:tr w14:paraId="646F8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B074C1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14:paraId="000B9C6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C0FC39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32B41D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3DC6EE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E58833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718805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72DBC4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BD7EFE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0CC5A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8BA8D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C074F8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72594D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2F6FE5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2218E4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60CECDF">
            <w:pPr>
              <w:spacing w:before="0" w:after="0" w:line="240" w:lineRule="exact"/>
              <w:jc w:val="right"/>
              <w:rPr>
                <w:rFonts w:hint="default" w:ascii="Times New Roman" w:hAnsi="Times New Roman" w:eastAsia="宋体" w:cs="Times New Roman"/>
                <w:sz w:val="18"/>
                <w:szCs w:val="18"/>
              </w:rPr>
            </w:pPr>
          </w:p>
        </w:tc>
      </w:tr>
      <w:tr w14:paraId="7CEF0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0F8D8C8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（四）所有者权益内部结转</w:t>
            </w:r>
          </w:p>
        </w:tc>
        <w:tc>
          <w:tcPr>
            <w:tcW w:w="602" w:type="dxa"/>
            <w:tcBorders>
              <w:top w:val="single" w:color="auto" w:sz="2" w:space="0"/>
              <w:left w:val="single" w:color="auto" w:sz="2" w:space="0"/>
              <w:bottom w:val="single" w:color="auto" w:sz="2" w:space="0"/>
              <w:right w:val="single" w:color="auto" w:sz="2" w:space="0"/>
            </w:tcBorders>
            <w:vAlign w:val="center"/>
          </w:tcPr>
          <w:p w14:paraId="184A2B3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1A9C86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6E4776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282751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77EB87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8FAA20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D4C214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44928A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847EAA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71F771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852F1A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07F042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68237F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756FE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888F11E">
            <w:pPr>
              <w:spacing w:before="0" w:after="0" w:line="240" w:lineRule="exact"/>
              <w:jc w:val="right"/>
              <w:rPr>
                <w:rFonts w:hint="default" w:ascii="Times New Roman" w:hAnsi="Times New Roman" w:eastAsia="宋体" w:cs="Times New Roman"/>
                <w:sz w:val="18"/>
                <w:szCs w:val="18"/>
              </w:rPr>
            </w:pPr>
          </w:p>
        </w:tc>
      </w:tr>
      <w:tr w14:paraId="43321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018EB78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1．资本公积转增资本（或股本）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14:paraId="109BE66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DD9750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4851B7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D0E99B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529F9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0D00CE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BDE0D0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FCC941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AF0DB2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76519D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F72C0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5FA9C5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B960EC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1780F4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7C0A99C">
            <w:pPr>
              <w:spacing w:before="0" w:after="0" w:line="240" w:lineRule="exact"/>
              <w:jc w:val="right"/>
              <w:rPr>
                <w:rFonts w:hint="default" w:ascii="Times New Roman" w:hAnsi="Times New Roman" w:eastAsia="宋体" w:cs="Times New Roman"/>
                <w:sz w:val="18"/>
                <w:szCs w:val="18"/>
              </w:rPr>
            </w:pPr>
          </w:p>
        </w:tc>
      </w:tr>
      <w:tr w14:paraId="51689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C38404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2．盈余公积转增资本（或股本）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14:paraId="6C1B774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5A211B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12B823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C66C9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FF04F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C732C0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658E62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4A6C8D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4A75C7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FFC069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448E08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E9872D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80C8CD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87DB3A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699F388">
            <w:pPr>
              <w:spacing w:before="0" w:after="0" w:line="240" w:lineRule="exact"/>
              <w:jc w:val="right"/>
              <w:rPr>
                <w:rFonts w:hint="default" w:ascii="Times New Roman" w:hAnsi="Times New Roman" w:eastAsia="宋体" w:cs="Times New Roman"/>
                <w:sz w:val="18"/>
                <w:szCs w:val="18"/>
              </w:rPr>
            </w:pPr>
          </w:p>
        </w:tc>
      </w:tr>
      <w:tr w14:paraId="6AE05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C70FFC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3．盈余公积弥补亏损</w:t>
            </w:r>
          </w:p>
        </w:tc>
        <w:tc>
          <w:tcPr>
            <w:tcW w:w="602" w:type="dxa"/>
            <w:tcBorders>
              <w:top w:val="single" w:color="auto" w:sz="2" w:space="0"/>
              <w:left w:val="single" w:color="auto" w:sz="2" w:space="0"/>
              <w:bottom w:val="single" w:color="auto" w:sz="2" w:space="0"/>
              <w:right w:val="single" w:color="auto" w:sz="2" w:space="0"/>
            </w:tcBorders>
            <w:vAlign w:val="center"/>
          </w:tcPr>
          <w:p w14:paraId="221ECFD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138571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3A53B0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6EEA3B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2823FC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6E3A63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C8A228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40187B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35F662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ACFE72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DAD3B0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98E2C3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F39EF8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FADAB0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390F136">
            <w:pPr>
              <w:spacing w:before="0" w:after="0" w:line="240" w:lineRule="exact"/>
              <w:jc w:val="right"/>
              <w:rPr>
                <w:rFonts w:hint="default" w:ascii="Times New Roman" w:hAnsi="Times New Roman" w:eastAsia="宋体" w:cs="Times New Roman"/>
                <w:sz w:val="18"/>
                <w:szCs w:val="18"/>
              </w:rPr>
            </w:pPr>
          </w:p>
        </w:tc>
      </w:tr>
      <w:tr w14:paraId="097DC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516F22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vAlign w:val="center"/>
          </w:tcPr>
          <w:p w14:paraId="525F756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F613FB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C43F51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012546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F5B44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BB8CB3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4A268B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97F91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862539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9E31E0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7DCD1A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D42039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F65CB2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0E3E8E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2DFF78">
            <w:pPr>
              <w:spacing w:before="0" w:after="0" w:line="240" w:lineRule="exact"/>
              <w:jc w:val="right"/>
              <w:rPr>
                <w:rFonts w:hint="default" w:ascii="Times New Roman" w:hAnsi="Times New Roman" w:eastAsia="宋体" w:cs="Times New Roman"/>
                <w:sz w:val="18"/>
                <w:szCs w:val="18"/>
              </w:rPr>
            </w:pPr>
          </w:p>
        </w:tc>
      </w:tr>
      <w:tr w14:paraId="50876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397C994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5．其他综合收益结转留存收益</w:t>
            </w:r>
          </w:p>
        </w:tc>
        <w:tc>
          <w:tcPr>
            <w:tcW w:w="602" w:type="dxa"/>
            <w:tcBorders>
              <w:top w:val="single" w:color="auto" w:sz="2" w:space="0"/>
              <w:left w:val="single" w:color="auto" w:sz="2" w:space="0"/>
              <w:bottom w:val="single" w:color="auto" w:sz="2" w:space="0"/>
              <w:right w:val="single" w:color="auto" w:sz="2" w:space="0"/>
            </w:tcBorders>
            <w:vAlign w:val="center"/>
          </w:tcPr>
          <w:p w14:paraId="3D0AF5B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23CDB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4ABDE6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291D2E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3EFBE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00CB53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1249A4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0FC63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F47F02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3ECD07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31820B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41F9C0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32D5F1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E96039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F294095">
            <w:pPr>
              <w:spacing w:before="0" w:after="0" w:line="240" w:lineRule="exact"/>
              <w:jc w:val="right"/>
              <w:rPr>
                <w:rFonts w:hint="default" w:ascii="Times New Roman" w:hAnsi="Times New Roman" w:eastAsia="宋体" w:cs="Times New Roman"/>
                <w:sz w:val="18"/>
                <w:szCs w:val="18"/>
              </w:rPr>
            </w:pPr>
          </w:p>
        </w:tc>
      </w:tr>
      <w:tr w14:paraId="19413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64E37B5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6．其他</w:t>
            </w:r>
          </w:p>
        </w:tc>
        <w:tc>
          <w:tcPr>
            <w:tcW w:w="602" w:type="dxa"/>
            <w:tcBorders>
              <w:top w:val="single" w:color="auto" w:sz="2" w:space="0"/>
              <w:left w:val="single" w:color="auto" w:sz="2" w:space="0"/>
              <w:bottom w:val="single" w:color="auto" w:sz="2" w:space="0"/>
              <w:right w:val="single" w:color="auto" w:sz="2" w:space="0"/>
            </w:tcBorders>
            <w:vAlign w:val="center"/>
          </w:tcPr>
          <w:p w14:paraId="2F78F8B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812547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77EF3F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F3475E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62B5E5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01641D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2B2525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D7A193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138D7C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F9C77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B682EF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AC20E4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2519B7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4A85BC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22FCA14">
            <w:pPr>
              <w:spacing w:before="0" w:after="0" w:line="240" w:lineRule="exact"/>
              <w:jc w:val="right"/>
              <w:rPr>
                <w:rFonts w:hint="default" w:ascii="Times New Roman" w:hAnsi="Times New Roman" w:eastAsia="宋体" w:cs="Times New Roman"/>
                <w:sz w:val="18"/>
                <w:szCs w:val="18"/>
              </w:rPr>
            </w:pPr>
          </w:p>
        </w:tc>
      </w:tr>
      <w:tr w14:paraId="184E1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664824D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（五）专项储备</w:t>
            </w:r>
          </w:p>
        </w:tc>
        <w:tc>
          <w:tcPr>
            <w:tcW w:w="602" w:type="dxa"/>
            <w:tcBorders>
              <w:top w:val="single" w:color="auto" w:sz="2" w:space="0"/>
              <w:left w:val="single" w:color="auto" w:sz="2" w:space="0"/>
              <w:bottom w:val="single" w:color="auto" w:sz="2" w:space="0"/>
              <w:right w:val="single" w:color="auto" w:sz="2" w:space="0"/>
            </w:tcBorders>
            <w:vAlign w:val="center"/>
          </w:tcPr>
          <w:p w14:paraId="16F509B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98BDDE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1A4AFD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BE1B7B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1EE03D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648025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480CA9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3624CA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9DA38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44F6C7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43E276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37E9B4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FC479B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0F5FFC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66FE362">
            <w:pPr>
              <w:spacing w:before="0" w:after="0" w:line="240" w:lineRule="exact"/>
              <w:jc w:val="right"/>
              <w:rPr>
                <w:rFonts w:hint="default" w:ascii="Times New Roman" w:hAnsi="Times New Roman" w:eastAsia="宋体" w:cs="Times New Roman"/>
                <w:sz w:val="18"/>
                <w:szCs w:val="18"/>
              </w:rPr>
            </w:pPr>
          </w:p>
        </w:tc>
      </w:tr>
      <w:tr w14:paraId="35D2F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62D0ACF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1．本期提取</w:t>
            </w:r>
          </w:p>
        </w:tc>
        <w:tc>
          <w:tcPr>
            <w:tcW w:w="602" w:type="dxa"/>
            <w:tcBorders>
              <w:top w:val="single" w:color="auto" w:sz="2" w:space="0"/>
              <w:left w:val="single" w:color="auto" w:sz="2" w:space="0"/>
              <w:bottom w:val="single" w:color="auto" w:sz="2" w:space="0"/>
              <w:right w:val="single" w:color="auto" w:sz="2" w:space="0"/>
            </w:tcBorders>
            <w:vAlign w:val="center"/>
          </w:tcPr>
          <w:p w14:paraId="514E425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D7F713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2E4F7C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72A5EE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314CFF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41AF08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70A00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C55039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72C80C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528BDB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B0CCB1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5BB81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E837F2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4FC8E4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256894">
            <w:pPr>
              <w:spacing w:before="0" w:after="0" w:line="240" w:lineRule="exact"/>
              <w:jc w:val="right"/>
              <w:rPr>
                <w:rFonts w:hint="default" w:ascii="Times New Roman" w:hAnsi="Times New Roman" w:eastAsia="宋体" w:cs="Times New Roman"/>
                <w:sz w:val="18"/>
                <w:szCs w:val="18"/>
              </w:rPr>
            </w:pPr>
          </w:p>
        </w:tc>
      </w:tr>
      <w:tr w14:paraId="3D346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0FC38A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2．本期使用</w:t>
            </w:r>
          </w:p>
        </w:tc>
        <w:tc>
          <w:tcPr>
            <w:tcW w:w="602" w:type="dxa"/>
            <w:tcBorders>
              <w:top w:val="single" w:color="auto" w:sz="2" w:space="0"/>
              <w:left w:val="single" w:color="auto" w:sz="2" w:space="0"/>
              <w:bottom w:val="single" w:color="auto" w:sz="2" w:space="0"/>
              <w:right w:val="single" w:color="auto" w:sz="2" w:space="0"/>
            </w:tcBorders>
            <w:vAlign w:val="center"/>
          </w:tcPr>
          <w:p w14:paraId="073FE96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755B25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E0DED9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A7B03D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787281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11B01C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5C438C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85731F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FD0B7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875142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602583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41AD45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535E4D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33D2D1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061ECEA">
            <w:pPr>
              <w:spacing w:before="0" w:after="0" w:line="240" w:lineRule="exact"/>
              <w:jc w:val="right"/>
              <w:rPr>
                <w:rFonts w:hint="default" w:ascii="Times New Roman" w:hAnsi="Times New Roman" w:eastAsia="宋体" w:cs="Times New Roman"/>
                <w:sz w:val="18"/>
                <w:szCs w:val="18"/>
              </w:rPr>
            </w:pPr>
          </w:p>
        </w:tc>
      </w:tr>
      <w:tr w14:paraId="16473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3D3001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（六）其他</w:t>
            </w:r>
          </w:p>
        </w:tc>
        <w:tc>
          <w:tcPr>
            <w:tcW w:w="602" w:type="dxa"/>
            <w:tcBorders>
              <w:top w:val="single" w:color="auto" w:sz="2" w:space="0"/>
              <w:left w:val="single" w:color="auto" w:sz="2" w:space="0"/>
              <w:bottom w:val="single" w:color="auto" w:sz="2" w:space="0"/>
              <w:right w:val="single" w:color="auto" w:sz="2" w:space="0"/>
            </w:tcBorders>
            <w:vAlign w:val="center"/>
          </w:tcPr>
          <w:p w14:paraId="1D098C2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99794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12BF5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C94AAE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0A86A3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EA79D8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D6954C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556B74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F70199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4CFAC7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DC47B8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28C464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2E3DC8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AA27B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C8BBFB0">
            <w:pPr>
              <w:spacing w:before="0" w:after="0" w:line="240" w:lineRule="exact"/>
              <w:jc w:val="right"/>
              <w:rPr>
                <w:rFonts w:hint="default" w:ascii="Times New Roman" w:hAnsi="Times New Roman" w:eastAsia="宋体" w:cs="Times New Roman"/>
                <w:sz w:val="18"/>
                <w:szCs w:val="18"/>
              </w:rPr>
            </w:pPr>
          </w:p>
        </w:tc>
      </w:tr>
      <w:tr w14:paraId="584F5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6E609FD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四、本期期末余额</w:t>
            </w:r>
          </w:p>
        </w:tc>
        <w:tc>
          <w:tcPr>
            <w:tcW w:w="602" w:type="dxa"/>
            <w:tcBorders>
              <w:top w:val="single" w:color="auto" w:sz="2" w:space="0"/>
              <w:left w:val="single" w:color="auto" w:sz="2" w:space="0"/>
              <w:bottom w:val="single" w:color="auto" w:sz="2" w:space="0"/>
              <w:right w:val="single" w:color="auto" w:sz="2" w:space="0"/>
            </w:tcBorders>
            <w:vAlign w:val="center"/>
          </w:tcPr>
          <w:p w14:paraId="759D444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c>
          <w:tcPr>
            <w:tcW w:w="602" w:type="dxa"/>
            <w:tcBorders>
              <w:top w:val="single" w:color="auto" w:sz="2" w:space="0"/>
              <w:left w:val="single" w:color="auto" w:sz="2" w:space="0"/>
              <w:bottom w:val="single" w:color="auto" w:sz="2" w:space="0"/>
              <w:right w:val="single" w:color="auto" w:sz="2" w:space="0"/>
            </w:tcBorders>
            <w:vAlign w:val="center"/>
          </w:tcPr>
          <w:p w14:paraId="7A6000C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56A596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2638FA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E2C35B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598,030,498.77</w:t>
            </w:r>
          </w:p>
        </w:tc>
        <w:tc>
          <w:tcPr>
            <w:tcW w:w="602" w:type="dxa"/>
            <w:tcBorders>
              <w:top w:val="single" w:color="auto" w:sz="2" w:space="0"/>
              <w:left w:val="single" w:color="auto" w:sz="2" w:space="0"/>
              <w:bottom w:val="single" w:color="auto" w:sz="2" w:space="0"/>
              <w:right w:val="single" w:color="auto" w:sz="2" w:space="0"/>
            </w:tcBorders>
            <w:vAlign w:val="center"/>
          </w:tcPr>
          <w:p w14:paraId="5117335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C2D155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-46,514,103.79</w:t>
            </w:r>
          </w:p>
        </w:tc>
        <w:tc>
          <w:tcPr>
            <w:tcW w:w="602" w:type="dxa"/>
            <w:tcBorders>
              <w:top w:val="single" w:color="auto" w:sz="2" w:space="0"/>
              <w:left w:val="single" w:color="auto" w:sz="2" w:space="0"/>
              <w:bottom w:val="single" w:color="auto" w:sz="2" w:space="0"/>
              <w:right w:val="single" w:color="auto" w:sz="2" w:space="0"/>
            </w:tcBorders>
            <w:vAlign w:val="center"/>
          </w:tcPr>
          <w:p w14:paraId="6B634F3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06D3CF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50,974,795.88</w:t>
            </w:r>
          </w:p>
        </w:tc>
        <w:tc>
          <w:tcPr>
            <w:tcW w:w="602" w:type="dxa"/>
            <w:tcBorders>
              <w:top w:val="single" w:color="auto" w:sz="2" w:space="0"/>
              <w:left w:val="single" w:color="auto" w:sz="2" w:space="0"/>
              <w:bottom w:val="single" w:color="auto" w:sz="2" w:space="0"/>
              <w:right w:val="single" w:color="auto" w:sz="2" w:space="0"/>
            </w:tcBorders>
            <w:vAlign w:val="center"/>
          </w:tcPr>
          <w:p w14:paraId="6C19D27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B5238E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-297,579,374.88</w:t>
            </w:r>
          </w:p>
        </w:tc>
        <w:tc>
          <w:tcPr>
            <w:tcW w:w="602" w:type="dxa"/>
            <w:tcBorders>
              <w:top w:val="single" w:color="auto" w:sz="2" w:space="0"/>
              <w:left w:val="single" w:color="auto" w:sz="2" w:space="0"/>
              <w:bottom w:val="single" w:color="auto" w:sz="2" w:space="0"/>
              <w:right w:val="single" w:color="auto" w:sz="2" w:space="0"/>
            </w:tcBorders>
            <w:vAlign w:val="center"/>
          </w:tcPr>
          <w:p w14:paraId="519B54C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9CAD94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570,067,516.98</w:t>
            </w:r>
          </w:p>
        </w:tc>
        <w:tc>
          <w:tcPr>
            <w:tcW w:w="602" w:type="dxa"/>
            <w:tcBorders>
              <w:top w:val="single" w:color="auto" w:sz="2" w:space="0"/>
              <w:left w:val="single" w:color="auto" w:sz="2" w:space="0"/>
              <w:bottom w:val="single" w:color="auto" w:sz="2" w:space="0"/>
              <w:right w:val="single" w:color="auto" w:sz="2" w:space="0"/>
            </w:tcBorders>
            <w:vAlign w:val="center"/>
          </w:tcPr>
          <w:p w14:paraId="0F9900C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-82,250,590.45</w:t>
            </w:r>
          </w:p>
        </w:tc>
        <w:tc>
          <w:tcPr>
            <w:tcW w:w="602" w:type="dxa"/>
            <w:tcBorders>
              <w:top w:val="single" w:color="auto" w:sz="2" w:space="0"/>
              <w:left w:val="single" w:color="auto" w:sz="2" w:space="0"/>
              <w:bottom w:val="single" w:color="auto" w:sz="2" w:space="0"/>
              <w:right w:val="single" w:color="auto" w:sz="2" w:space="0"/>
            </w:tcBorders>
            <w:vAlign w:val="center"/>
          </w:tcPr>
          <w:p w14:paraId="54BCCFD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487,816,926.53</w:t>
            </w:r>
          </w:p>
        </w:tc>
      </w:tr>
    </w:tbl>
    <w:p w14:paraId="42C7F451">
      <w:pPr>
        <w:spacing w:before="0" w:after="0" w:line="240" w:lineRule="exact"/>
        <w:jc w:val="left"/>
        <w:rPr>
          <w:rFonts w:ascii="宋体" w:hAnsi="宋体" w:eastAsia="宋体" w:cs="宋体"/>
          <w:sz w:val="18"/>
          <w:szCs w:val="18"/>
        </w:rPr>
      </w:pPr>
      <w:r>
        <w:rPr>
          <w:rFonts w:ascii="宋体" w:hAnsi="宋体" w:eastAsia="宋体" w:cs="宋体"/>
          <w:sz w:val="18"/>
          <w:szCs w:val="18"/>
        </w:rPr>
        <w:t>上期金额</w:t>
      </w:r>
    </w:p>
    <w:p w14:paraId="3FEC3D4B">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02"/>
        <w:gridCol w:w="602"/>
        <w:gridCol w:w="602"/>
        <w:gridCol w:w="602"/>
        <w:gridCol w:w="602"/>
        <w:gridCol w:w="602"/>
        <w:gridCol w:w="602"/>
        <w:gridCol w:w="602"/>
        <w:gridCol w:w="602"/>
        <w:gridCol w:w="602"/>
        <w:gridCol w:w="602"/>
        <w:gridCol w:w="602"/>
        <w:gridCol w:w="602"/>
        <w:gridCol w:w="602"/>
        <w:gridCol w:w="602"/>
      </w:tblGrid>
      <w:tr w14:paraId="5C268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3BD377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14:paraId="5487454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2024年度</w:t>
            </w:r>
          </w:p>
        </w:tc>
      </w:tr>
      <w:tr w14:paraId="2D903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A045FF6">
            <w:pPr>
              <w:rPr>
                <w:rFonts w:hint="default" w:ascii="Times New Roman" w:hAnsi="Times New Roman" w:cs="Times New Roman"/>
              </w:rPr>
            </w:pPr>
          </w:p>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02D9EB2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569E78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6CA2E7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所有者权益合计</w:t>
            </w:r>
          </w:p>
        </w:tc>
      </w:tr>
      <w:tr w14:paraId="01657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4A1AE56">
            <w:pPr>
              <w:rPr>
                <w:rFonts w:hint="default" w:ascii="Times New Roman" w:hAnsi="Times New Roman" w:cs="Times New Roman"/>
              </w:rPr>
            </w:pP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51D3FB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00AB157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EF3170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F60FB4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861F05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3573AF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224DFD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8EB377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E0B7E6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D6A6F8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D26A31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2BEEA68">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B5E2B67">
            <w:pPr>
              <w:rPr>
                <w:rFonts w:hint="default" w:ascii="Times New Roman" w:hAnsi="Times New Roman" w:cs="Times New Roman"/>
              </w:rPr>
            </w:pPr>
          </w:p>
        </w:tc>
      </w:tr>
      <w:tr w14:paraId="5DF24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96D0911">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2C5B6D5">
            <w:pPr>
              <w:rPr>
                <w:rFonts w:hint="default" w:ascii="Times New Roman" w:hAnsi="Times New Roman" w:cs="Times New Roman"/>
              </w:rPr>
            </w:pP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221F6F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7BA6BED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3530FA3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57E8C75">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5AF37D2">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5F8590B">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6E9DBD4">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987B363">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F29DB40">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08B05F6">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C558525">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CA14F1A">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90555F7">
            <w:pPr>
              <w:rPr>
                <w:rFonts w:hint="default" w:ascii="Times New Roman" w:hAnsi="Times New Roman" w:cs="Times New Roman"/>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78BCFA3">
            <w:pPr>
              <w:rPr>
                <w:rFonts w:hint="default" w:ascii="Times New Roman" w:hAnsi="Times New Roman" w:cs="Times New Roman"/>
              </w:rPr>
            </w:pPr>
          </w:p>
        </w:tc>
      </w:tr>
      <w:tr w14:paraId="535EA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491D474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一、上年期末余额</w:t>
            </w:r>
          </w:p>
        </w:tc>
        <w:tc>
          <w:tcPr>
            <w:tcW w:w="602" w:type="dxa"/>
            <w:tcBorders>
              <w:top w:val="single" w:color="auto" w:sz="2" w:space="0"/>
              <w:left w:val="single" w:color="auto" w:sz="2" w:space="0"/>
              <w:bottom w:val="single" w:color="auto" w:sz="2" w:space="0"/>
              <w:right w:val="single" w:color="auto" w:sz="2" w:space="0"/>
            </w:tcBorders>
            <w:vAlign w:val="center"/>
          </w:tcPr>
          <w:p w14:paraId="54AA9D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c>
          <w:tcPr>
            <w:tcW w:w="602" w:type="dxa"/>
            <w:tcBorders>
              <w:top w:val="single" w:color="auto" w:sz="2" w:space="0"/>
              <w:left w:val="single" w:color="auto" w:sz="2" w:space="0"/>
              <w:bottom w:val="single" w:color="auto" w:sz="2" w:space="0"/>
              <w:right w:val="single" w:color="auto" w:sz="2" w:space="0"/>
            </w:tcBorders>
            <w:vAlign w:val="center"/>
          </w:tcPr>
          <w:p w14:paraId="2C002D4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A1F583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995BD8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2D7CE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600,268,565.98</w:t>
            </w:r>
          </w:p>
        </w:tc>
        <w:tc>
          <w:tcPr>
            <w:tcW w:w="602" w:type="dxa"/>
            <w:tcBorders>
              <w:top w:val="single" w:color="auto" w:sz="2" w:space="0"/>
              <w:left w:val="single" w:color="auto" w:sz="2" w:space="0"/>
              <w:bottom w:val="single" w:color="auto" w:sz="2" w:space="0"/>
              <w:right w:val="single" w:color="auto" w:sz="2" w:space="0"/>
            </w:tcBorders>
            <w:vAlign w:val="center"/>
          </w:tcPr>
          <w:p w14:paraId="0D4B80D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E2B776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-46,462,910.94</w:t>
            </w:r>
          </w:p>
        </w:tc>
        <w:tc>
          <w:tcPr>
            <w:tcW w:w="602" w:type="dxa"/>
            <w:tcBorders>
              <w:top w:val="single" w:color="auto" w:sz="2" w:space="0"/>
              <w:left w:val="single" w:color="auto" w:sz="2" w:space="0"/>
              <w:bottom w:val="single" w:color="auto" w:sz="2" w:space="0"/>
              <w:right w:val="single" w:color="auto" w:sz="2" w:space="0"/>
            </w:tcBorders>
            <w:vAlign w:val="center"/>
          </w:tcPr>
          <w:p w14:paraId="66BC09C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98778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47,110,231.52</w:t>
            </w:r>
          </w:p>
        </w:tc>
        <w:tc>
          <w:tcPr>
            <w:tcW w:w="602" w:type="dxa"/>
            <w:tcBorders>
              <w:top w:val="single" w:color="auto" w:sz="2" w:space="0"/>
              <w:left w:val="single" w:color="auto" w:sz="2" w:space="0"/>
              <w:bottom w:val="single" w:color="auto" w:sz="2" w:space="0"/>
              <w:right w:val="single" w:color="auto" w:sz="2" w:space="0"/>
            </w:tcBorders>
            <w:vAlign w:val="center"/>
          </w:tcPr>
          <w:p w14:paraId="6D4FAC2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B7E0CD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-345,477,748.45</w:t>
            </w:r>
          </w:p>
        </w:tc>
        <w:tc>
          <w:tcPr>
            <w:tcW w:w="602" w:type="dxa"/>
            <w:tcBorders>
              <w:top w:val="single" w:color="auto" w:sz="2" w:space="0"/>
              <w:left w:val="single" w:color="auto" w:sz="2" w:space="0"/>
              <w:bottom w:val="single" w:color="auto" w:sz="2" w:space="0"/>
              <w:right w:val="single" w:color="auto" w:sz="2" w:space="0"/>
            </w:tcBorders>
            <w:vAlign w:val="center"/>
          </w:tcPr>
          <w:p w14:paraId="4BB7ADE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01B2A1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520,593,839.11</w:t>
            </w:r>
          </w:p>
        </w:tc>
        <w:tc>
          <w:tcPr>
            <w:tcW w:w="602" w:type="dxa"/>
            <w:tcBorders>
              <w:top w:val="single" w:color="auto" w:sz="2" w:space="0"/>
              <w:left w:val="single" w:color="auto" w:sz="2" w:space="0"/>
              <w:bottom w:val="single" w:color="auto" w:sz="2" w:space="0"/>
              <w:right w:val="single" w:color="auto" w:sz="2" w:space="0"/>
            </w:tcBorders>
            <w:vAlign w:val="center"/>
          </w:tcPr>
          <w:p w14:paraId="09C0A68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-64,333,593.36</w:t>
            </w:r>
          </w:p>
        </w:tc>
        <w:tc>
          <w:tcPr>
            <w:tcW w:w="602" w:type="dxa"/>
            <w:tcBorders>
              <w:top w:val="single" w:color="auto" w:sz="2" w:space="0"/>
              <w:left w:val="single" w:color="auto" w:sz="2" w:space="0"/>
              <w:bottom w:val="single" w:color="auto" w:sz="2" w:space="0"/>
              <w:right w:val="single" w:color="auto" w:sz="2" w:space="0"/>
            </w:tcBorders>
            <w:vAlign w:val="center"/>
          </w:tcPr>
          <w:p w14:paraId="56236A3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456,260,245.75</w:t>
            </w:r>
          </w:p>
        </w:tc>
      </w:tr>
      <w:tr w14:paraId="496C0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73EE7279">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加：会计政策变更</w:t>
            </w:r>
          </w:p>
        </w:tc>
        <w:tc>
          <w:tcPr>
            <w:tcW w:w="602" w:type="dxa"/>
            <w:tcBorders>
              <w:top w:val="single" w:color="auto" w:sz="2" w:space="0"/>
              <w:left w:val="single" w:color="auto" w:sz="2" w:space="0"/>
              <w:bottom w:val="single" w:color="auto" w:sz="2" w:space="0"/>
              <w:right w:val="single" w:color="auto" w:sz="2" w:space="0"/>
            </w:tcBorders>
            <w:vAlign w:val="center"/>
          </w:tcPr>
          <w:p w14:paraId="7AF3573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BE6A3C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1BF0F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1F3B3C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A4A9D2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4433A9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616CB2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4C3E66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727F8B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0D3910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9D9B6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89C2E0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B891F5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3C38A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53F01F8">
            <w:pPr>
              <w:spacing w:before="0" w:after="0" w:line="240" w:lineRule="exact"/>
              <w:jc w:val="right"/>
              <w:rPr>
                <w:rFonts w:hint="default" w:ascii="Times New Roman" w:hAnsi="Times New Roman" w:eastAsia="宋体" w:cs="Times New Roman"/>
                <w:sz w:val="18"/>
                <w:szCs w:val="18"/>
              </w:rPr>
            </w:pPr>
          </w:p>
        </w:tc>
      </w:tr>
      <w:tr w14:paraId="57AAC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A65D4C9">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前期差错更正</w:t>
            </w:r>
          </w:p>
        </w:tc>
        <w:tc>
          <w:tcPr>
            <w:tcW w:w="602" w:type="dxa"/>
            <w:tcBorders>
              <w:top w:val="single" w:color="auto" w:sz="2" w:space="0"/>
              <w:left w:val="single" w:color="auto" w:sz="2" w:space="0"/>
              <w:bottom w:val="single" w:color="auto" w:sz="2" w:space="0"/>
              <w:right w:val="single" w:color="auto" w:sz="2" w:space="0"/>
            </w:tcBorders>
            <w:vAlign w:val="center"/>
          </w:tcPr>
          <w:p w14:paraId="4561D38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78C7CD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F9CDD3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42BA0A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623796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52830F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50B648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960E75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2A3555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53E885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223020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3BBF17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986C74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F70C8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894F40E">
            <w:pPr>
              <w:spacing w:before="0" w:after="0" w:line="240" w:lineRule="exact"/>
              <w:jc w:val="right"/>
              <w:rPr>
                <w:rFonts w:hint="default" w:ascii="Times New Roman" w:hAnsi="Times New Roman" w:eastAsia="宋体" w:cs="Times New Roman"/>
                <w:sz w:val="18"/>
                <w:szCs w:val="18"/>
              </w:rPr>
            </w:pPr>
          </w:p>
        </w:tc>
      </w:tr>
      <w:tr w14:paraId="16072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2FE4F60">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02" w:type="dxa"/>
            <w:tcBorders>
              <w:top w:val="single" w:color="auto" w:sz="2" w:space="0"/>
              <w:left w:val="single" w:color="auto" w:sz="2" w:space="0"/>
              <w:bottom w:val="single" w:color="auto" w:sz="2" w:space="0"/>
              <w:right w:val="single" w:color="auto" w:sz="2" w:space="0"/>
            </w:tcBorders>
            <w:vAlign w:val="center"/>
          </w:tcPr>
          <w:p w14:paraId="05C2D5D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6419D1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D7E8AB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8A0449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C85D5E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9D9854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3C90B4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B818B6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159627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0BB041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31D600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C8545E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A13632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BD034D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B9C2C7">
            <w:pPr>
              <w:spacing w:before="0" w:after="0" w:line="240" w:lineRule="exact"/>
              <w:jc w:val="right"/>
              <w:rPr>
                <w:rFonts w:hint="default" w:ascii="Times New Roman" w:hAnsi="Times New Roman" w:eastAsia="宋体" w:cs="Times New Roman"/>
                <w:sz w:val="18"/>
                <w:szCs w:val="18"/>
              </w:rPr>
            </w:pPr>
          </w:p>
        </w:tc>
      </w:tr>
      <w:tr w14:paraId="4AE6E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4ACFBE4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二、本年期初余额</w:t>
            </w:r>
          </w:p>
        </w:tc>
        <w:tc>
          <w:tcPr>
            <w:tcW w:w="602" w:type="dxa"/>
            <w:tcBorders>
              <w:top w:val="single" w:color="auto" w:sz="2" w:space="0"/>
              <w:left w:val="single" w:color="auto" w:sz="2" w:space="0"/>
              <w:bottom w:val="single" w:color="auto" w:sz="2" w:space="0"/>
              <w:right w:val="single" w:color="auto" w:sz="2" w:space="0"/>
            </w:tcBorders>
            <w:vAlign w:val="center"/>
          </w:tcPr>
          <w:p w14:paraId="60D0B0D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c>
          <w:tcPr>
            <w:tcW w:w="602" w:type="dxa"/>
            <w:tcBorders>
              <w:top w:val="single" w:color="auto" w:sz="2" w:space="0"/>
              <w:left w:val="single" w:color="auto" w:sz="2" w:space="0"/>
              <w:bottom w:val="single" w:color="auto" w:sz="2" w:space="0"/>
              <w:right w:val="single" w:color="auto" w:sz="2" w:space="0"/>
            </w:tcBorders>
            <w:vAlign w:val="center"/>
          </w:tcPr>
          <w:p w14:paraId="4D0596C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64E39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C6A60A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51A5F9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600,268,565.98</w:t>
            </w:r>
          </w:p>
        </w:tc>
        <w:tc>
          <w:tcPr>
            <w:tcW w:w="602" w:type="dxa"/>
            <w:tcBorders>
              <w:top w:val="single" w:color="auto" w:sz="2" w:space="0"/>
              <w:left w:val="single" w:color="auto" w:sz="2" w:space="0"/>
              <w:bottom w:val="single" w:color="auto" w:sz="2" w:space="0"/>
              <w:right w:val="single" w:color="auto" w:sz="2" w:space="0"/>
            </w:tcBorders>
            <w:vAlign w:val="center"/>
          </w:tcPr>
          <w:p w14:paraId="6D17EEE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39B4CC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-46,462,910.94</w:t>
            </w:r>
          </w:p>
        </w:tc>
        <w:tc>
          <w:tcPr>
            <w:tcW w:w="602" w:type="dxa"/>
            <w:tcBorders>
              <w:top w:val="single" w:color="auto" w:sz="2" w:space="0"/>
              <w:left w:val="single" w:color="auto" w:sz="2" w:space="0"/>
              <w:bottom w:val="single" w:color="auto" w:sz="2" w:space="0"/>
              <w:right w:val="single" w:color="auto" w:sz="2" w:space="0"/>
            </w:tcBorders>
            <w:vAlign w:val="center"/>
          </w:tcPr>
          <w:p w14:paraId="3C2DB90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50114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47,110,231.52</w:t>
            </w:r>
          </w:p>
        </w:tc>
        <w:tc>
          <w:tcPr>
            <w:tcW w:w="602" w:type="dxa"/>
            <w:tcBorders>
              <w:top w:val="single" w:color="auto" w:sz="2" w:space="0"/>
              <w:left w:val="single" w:color="auto" w:sz="2" w:space="0"/>
              <w:bottom w:val="single" w:color="auto" w:sz="2" w:space="0"/>
              <w:right w:val="single" w:color="auto" w:sz="2" w:space="0"/>
            </w:tcBorders>
            <w:vAlign w:val="center"/>
          </w:tcPr>
          <w:p w14:paraId="21300A1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C183D6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-345,477,748.45</w:t>
            </w:r>
          </w:p>
        </w:tc>
        <w:tc>
          <w:tcPr>
            <w:tcW w:w="602" w:type="dxa"/>
            <w:tcBorders>
              <w:top w:val="single" w:color="auto" w:sz="2" w:space="0"/>
              <w:left w:val="single" w:color="auto" w:sz="2" w:space="0"/>
              <w:bottom w:val="single" w:color="auto" w:sz="2" w:space="0"/>
              <w:right w:val="single" w:color="auto" w:sz="2" w:space="0"/>
            </w:tcBorders>
            <w:vAlign w:val="center"/>
          </w:tcPr>
          <w:p w14:paraId="51E01BE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208E21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520,593,839.11</w:t>
            </w:r>
          </w:p>
        </w:tc>
        <w:tc>
          <w:tcPr>
            <w:tcW w:w="602" w:type="dxa"/>
            <w:tcBorders>
              <w:top w:val="single" w:color="auto" w:sz="2" w:space="0"/>
              <w:left w:val="single" w:color="auto" w:sz="2" w:space="0"/>
              <w:bottom w:val="single" w:color="auto" w:sz="2" w:space="0"/>
              <w:right w:val="single" w:color="auto" w:sz="2" w:space="0"/>
            </w:tcBorders>
            <w:vAlign w:val="center"/>
          </w:tcPr>
          <w:p w14:paraId="7F20CDF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-64,333,593.36</w:t>
            </w:r>
          </w:p>
        </w:tc>
        <w:tc>
          <w:tcPr>
            <w:tcW w:w="602" w:type="dxa"/>
            <w:tcBorders>
              <w:top w:val="single" w:color="auto" w:sz="2" w:space="0"/>
              <w:left w:val="single" w:color="auto" w:sz="2" w:space="0"/>
              <w:bottom w:val="single" w:color="auto" w:sz="2" w:space="0"/>
              <w:right w:val="single" w:color="auto" w:sz="2" w:space="0"/>
            </w:tcBorders>
            <w:vAlign w:val="center"/>
          </w:tcPr>
          <w:p w14:paraId="69CC3E5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456,260,245.75</w:t>
            </w:r>
          </w:p>
        </w:tc>
      </w:tr>
      <w:tr w14:paraId="23BF2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7E9C49D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vAlign w:val="center"/>
          </w:tcPr>
          <w:p w14:paraId="177DDB3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0CF39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BF6BF5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2D0FAE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8D5629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-5,727,006.11</w:t>
            </w:r>
          </w:p>
        </w:tc>
        <w:tc>
          <w:tcPr>
            <w:tcW w:w="602" w:type="dxa"/>
            <w:tcBorders>
              <w:top w:val="single" w:color="auto" w:sz="2" w:space="0"/>
              <w:left w:val="single" w:color="auto" w:sz="2" w:space="0"/>
              <w:bottom w:val="single" w:color="auto" w:sz="2" w:space="0"/>
              <w:right w:val="single" w:color="auto" w:sz="2" w:space="0"/>
            </w:tcBorders>
            <w:vAlign w:val="center"/>
          </w:tcPr>
          <w:p w14:paraId="7EB6C0B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35E2CD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74,362.59</w:t>
            </w:r>
          </w:p>
        </w:tc>
        <w:tc>
          <w:tcPr>
            <w:tcW w:w="602" w:type="dxa"/>
            <w:tcBorders>
              <w:top w:val="single" w:color="auto" w:sz="2" w:space="0"/>
              <w:left w:val="single" w:color="auto" w:sz="2" w:space="0"/>
              <w:bottom w:val="single" w:color="auto" w:sz="2" w:space="0"/>
              <w:right w:val="single" w:color="auto" w:sz="2" w:space="0"/>
            </w:tcBorders>
            <w:vAlign w:val="center"/>
          </w:tcPr>
          <w:p w14:paraId="0DFC715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DB8DE6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3,533,189.15</w:t>
            </w:r>
          </w:p>
        </w:tc>
        <w:tc>
          <w:tcPr>
            <w:tcW w:w="602" w:type="dxa"/>
            <w:tcBorders>
              <w:top w:val="single" w:color="auto" w:sz="2" w:space="0"/>
              <w:left w:val="single" w:color="auto" w:sz="2" w:space="0"/>
              <w:bottom w:val="single" w:color="auto" w:sz="2" w:space="0"/>
              <w:right w:val="single" w:color="auto" w:sz="2" w:space="0"/>
            </w:tcBorders>
            <w:vAlign w:val="center"/>
          </w:tcPr>
          <w:p w14:paraId="52842FB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F9768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23,883,720.50</w:t>
            </w:r>
          </w:p>
        </w:tc>
        <w:tc>
          <w:tcPr>
            <w:tcW w:w="602" w:type="dxa"/>
            <w:tcBorders>
              <w:top w:val="single" w:color="auto" w:sz="2" w:space="0"/>
              <w:left w:val="single" w:color="auto" w:sz="2" w:space="0"/>
              <w:bottom w:val="single" w:color="auto" w:sz="2" w:space="0"/>
              <w:right w:val="single" w:color="auto" w:sz="2" w:space="0"/>
            </w:tcBorders>
            <w:vAlign w:val="center"/>
          </w:tcPr>
          <w:p w14:paraId="2CB9DEA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27B3C4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21,764,266.13</w:t>
            </w:r>
          </w:p>
        </w:tc>
        <w:tc>
          <w:tcPr>
            <w:tcW w:w="602" w:type="dxa"/>
            <w:tcBorders>
              <w:top w:val="single" w:color="auto" w:sz="2" w:space="0"/>
              <w:left w:val="single" w:color="auto" w:sz="2" w:space="0"/>
              <w:bottom w:val="single" w:color="auto" w:sz="2" w:space="0"/>
              <w:right w:val="single" w:color="auto" w:sz="2" w:space="0"/>
            </w:tcBorders>
            <w:vAlign w:val="center"/>
          </w:tcPr>
          <w:p w14:paraId="20476B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-10,432,608.66</w:t>
            </w:r>
          </w:p>
        </w:tc>
        <w:tc>
          <w:tcPr>
            <w:tcW w:w="602" w:type="dxa"/>
            <w:tcBorders>
              <w:top w:val="single" w:color="auto" w:sz="2" w:space="0"/>
              <w:left w:val="single" w:color="auto" w:sz="2" w:space="0"/>
              <w:bottom w:val="single" w:color="auto" w:sz="2" w:space="0"/>
              <w:right w:val="single" w:color="auto" w:sz="2" w:space="0"/>
            </w:tcBorders>
            <w:vAlign w:val="center"/>
          </w:tcPr>
          <w:p w14:paraId="625BBFB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11,331,657.47</w:t>
            </w:r>
          </w:p>
        </w:tc>
      </w:tr>
      <w:tr w14:paraId="1F584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0D38844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（一）综合收益总额</w:t>
            </w:r>
          </w:p>
        </w:tc>
        <w:tc>
          <w:tcPr>
            <w:tcW w:w="602" w:type="dxa"/>
            <w:tcBorders>
              <w:top w:val="single" w:color="auto" w:sz="2" w:space="0"/>
              <w:left w:val="single" w:color="auto" w:sz="2" w:space="0"/>
              <w:bottom w:val="single" w:color="auto" w:sz="2" w:space="0"/>
              <w:right w:val="single" w:color="auto" w:sz="2" w:space="0"/>
            </w:tcBorders>
            <w:vAlign w:val="center"/>
          </w:tcPr>
          <w:p w14:paraId="794EF0E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14F41C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EC07FA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4E8A64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0E27FA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E68A79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A9F73E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74,362.59</w:t>
            </w:r>
          </w:p>
        </w:tc>
        <w:tc>
          <w:tcPr>
            <w:tcW w:w="602" w:type="dxa"/>
            <w:tcBorders>
              <w:top w:val="single" w:color="auto" w:sz="2" w:space="0"/>
              <w:left w:val="single" w:color="auto" w:sz="2" w:space="0"/>
              <w:bottom w:val="single" w:color="auto" w:sz="2" w:space="0"/>
              <w:right w:val="single" w:color="auto" w:sz="2" w:space="0"/>
            </w:tcBorders>
            <w:vAlign w:val="center"/>
          </w:tcPr>
          <w:p w14:paraId="254DF50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5D966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B956E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F0B2A6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27,416,909.65</w:t>
            </w:r>
          </w:p>
        </w:tc>
        <w:tc>
          <w:tcPr>
            <w:tcW w:w="602" w:type="dxa"/>
            <w:tcBorders>
              <w:top w:val="single" w:color="auto" w:sz="2" w:space="0"/>
              <w:left w:val="single" w:color="auto" w:sz="2" w:space="0"/>
              <w:bottom w:val="single" w:color="auto" w:sz="2" w:space="0"/>
              <w:right w:val="single" w:color="auto" w:sz="2" w:space="0"/>
            </w:tcBorders>
            <w:vAlign w:val="center"/>
          </w:tcPr>
          <w:p w14:paraId="17E03B1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64F15A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27,491,272.24</w:t>
            </w:r>
          </w:p>
        </w:tc>
        <w:tc>
          <w:tcPr>
            <w:tcW w:w="602" w:type="dxa"/>
            <w:tcBorders>
              <w:top w:val="single" w:color="auto" w:sz="2" w:space="0"/>
              <w:left w:val="single" w:color="auto" w:sz="2" w:space="0"/>
              <w:bottom w:val="single" w:color="auto" w:sz="2" w:space="0"/>
              <w:right w:val="single" w:color="auto" w:sz="2" w:space="0"/>
            </w:tcBorders>
            <w:vAlign w:val="center"/>
          </w:tcPr>
          <w:p w14:paraId="5F1B294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-10,809,416.20</w:t>
            </w:r>
          </w:p>
        </w:tc>
        <w:tc>
          <w:tcPr>
            <w:tcW w:w="602" w:type="dxa"/>
            <w:tcBorders>
              <w:top w:val="single" w:color="auto" w:sz="2" w:space="0"/>
              <w:left w:val="single" w:color="auto" w:sz="2" w:space="0"/>
              <w:bottom w:val="single" w:color="auto" w:sz="2" w:space="0"/>
              <w:right w:val="single" w:color="auto" w:sz="2" w:space="0"/>
            </w:tcBorders>
            <w:vAlign w:val="center"/>
          </w:tcPr>
          <w:p w14:paraId="64EBD42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16,681,856.04</w:t>
            </w:r>
          </w:p>
        </w:tc>
      </w:tr>
      <w:tr w14:paraId="20B02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CF9781F">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（二）所有者投入和减少资本</w:t>
            </w:r>
          </w:p>
        </w:tc>
        <w:tc>
          <w:tcPr>
            <w:tcW w:w="602" w:type="dxa"/>
            <w:tcBorders>
              <w:top w:val="single" w:color="auto" w:sz="2" w:space="0"/>
              <w:left w:val="single" w:color="auto" w:sz="2" w:space="0"/>
              <w:bottom w:val="single" w:color="auto" w:sz="2" w:space="0"/>
              <w:right w:val="single" w:color="auto" w:sz="2" w:space="0"/>
            </w:tcBorders>
            <w:vAlign w:val="center"/>
          </w:tcPr>
          <w:p w14:paraId="2428A52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95719B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CC6494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8F485D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4E69D6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-5,727,006.11</w:t>
            </w:r>
          </w:p>
        </w:tc>
        <w:tc>
          <w:tcPr>
            <w:tcW w:w="602" w:type="dxa"/>
            <w:tcBorders>
              <w:top w:val="single" w:color="auto" w:sz="2" w:space="0"/>
              <w:left w:val="single" w:color="auto" w:sz="2" w:space="0"/>
              <w:bottom w:val="single" w:color="auto" w:sz="2" w:space="0"/>
              <w:right w:val="single" w:color="auto" w:sz="2" w:space="0"/>
            </w:tcBorders>
            <w:vAlign w:val="center"/>
          </w:tcPr>
          <w:p w14:paraId="25F10A5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4D6C9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922B7F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D13F64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EE681D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75AB23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D5A283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5B61B5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-5,727,006.11</w:t>
            </w:r>
          </w:p>
        </w:tc>
        <w:tc>
          <w:tcPr>
            <w:tcW w:w="602" w:type="dxa"/>
            <w:tcBorders>
              <w:top w:val="single" w:color="auto" w:sz="2" w:space="0"/>
              <w:left w:val="single" w:color="auto" w:sz="2" w:space="0"/>
              <w:bottom w:val="single" w:color="auto" w:sz="2" w:space="0"/>
              <w:right w:val="single" w:color="auto" w:sz="2" w:space="0"/>
            </w:tcBorders>
            <w:vAlign w:val="center"/>
          </w:tcPr>
          <w:p w14:paraId="32AAD87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376,807.54</w:t>
            </w:r>
          </w:p>
        </w:tc>
        <w:tc>
          <w:tcPr>
            <w:tcW w:w="602" w:type="dxa"/>
            <w:tcBorders>
              <w:top w:val="single" w:color="auto" w:sz="2" w:space="0"/>
              <w:left w:val="single" w:color="auto" w:sz="2" w:space="0"/>
              <w:bottom w:val="single" w:color="auto" w:sz="2" w:space="0"/>
              <w:right w:val="single" w:color="auto" w:sz="2" w:space="0"/>
            </w:tcBorders>
            <w:vAlign w:val="center"/>
          </w:tcPr>
          <w:p w14:paraId="5431F4D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-5,350,198.57</w:t>
            </w:r>
          </w:p>
        </w:tc>
      </w:tr>
      <w:tr w14:paraId="6E7E7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157E94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1．所有者投入的普通股</w:t>
            </w:r>
          </w:p>
        </w:tc>
        <w:tc>
          <w:tcPr>
            <w:tcW w:w="602" w:type="dxa"/>
            <w:tcBorders>
              <w:top w:val="single" w:color="auto" w:sz="2" w:space="0"/>
              <w:left w:val="single" w:color="auto" w:sz="2" w:space="0"/>
              <w:bottom w:val="single" w:color="auto" w:sz="2" w:space="0"/>
              <w:right w:val="single" w:color="auto" w:sz="2" w:space="0"/>
            </w:tcBorders>
            <w:vAlign w:val="center"/>
          </w:tcPr>
          <w:p w14:paraId="57CD055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006E50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F7F781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DF3835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C1B8AE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800061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F9891C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3FB036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AEF574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D6E17C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8BE376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13D677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256443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772D90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36C51C8">
            <w:pPr>
              <w:spacing w:before="0" w:after="0" w:line="240" w:lineRule="exact"/>
              <w:jc w:val="right"/>
              <w:rPr>
                <w:rFonts w:hint="default" w:ascii="Times New Roman" w:hAnsi="Times New Roman" w:eastAsia="宋体" w:cs="Times New Roman"/>
                <w:sz w:val="18"/>
                <w:szCs w:val="18"/>
              </w:rPr>
            </w:pPr>
          </w:p>
        </w:tc>
      </w:tr>
      <w:tr w14:paraId="0570F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7B07F83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vAlign w:val="center"/>
          </w:tcPr>
          <w:p w14:paraId="19DAAB3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4608E7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AA6C0A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70EF0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826698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6B914A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328420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47C9B3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CA6B36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70B7F6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1A5318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8AD71D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BAD06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2301A8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5739AC4">
            <w:pPr>
              <w:spacing w:before="0" w:after="0" w:line="240" w:lineRule="exact"/>
              <w:jc w:val="right"/>
              <w:rPr>
                <w:rFonts w:hint="default" w:ascii="Times New Roman" w:hAnsi="Times New Roman" w:eastAsia="宋体" w:cs="Times New Roman"/>
                <w:sz w:val="18"/>
                <w:szCs w:val="18"/>
              </w:rPr>
            </w:pPr>
          </w:p>
        </w:tc>
      </w:tr>
      <w:tr w14:paraId="0D022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7E2FB79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vAlign w:val="center"/>
          </w:tcPr>
          <w:p w14:paraId="13A9A17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72D068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67FBD2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45EDF1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5E7DE8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FD2705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DD2338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E39CD8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4E7C73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E73A9E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63ACA6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17A048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26380C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B99D6D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0224C4">
            <w:pPr>
              <w:spacing w:before="0" w:after="0" w:line="240" w:lineRule="exact"/>
              <w:jc w:val="right"/>
              <w:rPr>
                <w:rFonts w:hint="default" w:ascii="Times New Roman" w:hAnsi="Times New Roman" w:eastAsia="宋体" w:cs="Times New Roman"/>
                <w:sz w:val="18"/>
                <w:szCs w:val="18"/>
              </w:rPr>
            </w:pPr>
          </w:p>
        </w:tc>
      </w:tr>
      <w:tr w14:paraId="55B80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69D1388">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14:paraId="1AF3641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B0A9E4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5146C6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657914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EEF040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-5,727,006.11</w:t>
            </w:r>
          </w:p>
        </w:tc>
        <w:tc>
          <w:tcPr>
            <w:tcW w:w="602" w:type="dxa"/>
            <w:tcBorders>
              <w:top w:val="single" w:color="auto" w:sz="2" w:space="0"/>
              <w:left w:val="single" w:color="auto" w:sz="2" w:space="0"/>
              <w:bottom w:val="single" w:color="auto" w:sz="2" w:space="0"/>
              <w:right w:val="single" w:color="auto" w:sz="2" w:space="0"/>
            </w:tcBorders>
            <w:vAlign w:val="center"/>
          </w:tcPr>
          <w:p w14:paraId="4361D42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E7EE45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647D1D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E94583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18FBA5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F3D4BE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45115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178A66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-5,727,006.11</w:t>
            </w:r>
          </w:p>
        </w:tc>
        <w:tc>
          <w:tcPr>
            <w:tcW w:w="602" w:type="dxa"/>
            <w:tcBorders>
              <w:top w:val="single" w:color="auto" w:sz="2" w:space="0"/>
              <w:left w:val="single" w:color="auto" w:sz="2" w:space="0"/>
              <w:bottom w:val="single" w:color="auto" w:sz="2" w:space="0"/>
              <w:right w:val="single" w:color="auto" w:sz="2" w:space="0"/>
            </w:tcBorders>
            <w:vAlign w:val="center"/>
          </w:tcPr>
          <w:p w14:paraId="358C7E0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376,807.54</w:t>
            </w:r>
          </w:p>
        </w:tc>
        <w:tc>
          <w:tcPr>
            <w:tcW w:w="602" w:type="dxa"/>
            <w:tcBorders>
              <w:top w:val="single" w:color="auto" w:sz="2" w:space="0"/>
              <w:left w:val="single" w:color="auto" w:sz="2" w:space="0"/>
              <w:bottom w:val="single" w:color="auto" w:sz="2" w:space="0"/>
              <w:right w:val="single" w:color="auto" w:sz="2" w:space="0"/>
            </w:tcBorders>
            <w:vAlign w:val="center"/>
          </w:tcPr>
          <w:p w14:paraId="658FE76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-5,350,198.57</w:t>
            </w:r>
          </w:p>
        </w:tc>
      </w:tr>
      <w:tr w14:paraId="4784C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40AAD49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（三）利润分配</w:t>
            </w:r>
          </w:p>
        </w:tc>
        <w:tc>
          <w:tcPr>
            <w:tcW w:w="602" w:type="dxa"/>
            <w:tcBorders>
              <w:top w:val="single" w:color="auto" w:sz="2" w:space="0"/>
              <w:left w:val="single" w:color="auto" w:sz="2" w:space="0"/>
              <w:bottom w:val="single" w:color="auto" w:sz="2" w:space="0"/>
              <w:right w:val="single" w:color="auto" w:sz="2" w:space="0"/>
            </w:tcBorders>
            <w:vAlign w:val="center"/>
          </w:tcPr>
          <w:p w14:paraId="760E66C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2DD62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5C68F5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2005F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D2B36F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29E42B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980190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E0FD3C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58CF0A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3,533,189.15</w:t>
            </w:r>
          </w:p>
        </w:tc>
        <w:tc>
          <w:tcPr>
            <w:tcW w:w="602" w:type="dxa"/>
            <w:tcBorders>
              <w:top w:val="single" w:color="auto" w:sz="2" w:space="0"/>
              <w:left w:val="single" w:color="auto" w:sz="2" w:space="0"/>
              <w:bottom w:val="single" w:color="auto" w:sz="2" w:space="0"/>
              <w:right w:val="single" w:color="auto" w:sz="2" w:space="0"/>
            </w:tcBorders>
            <w:vAlign w:val="center"/>
          </w:tcPr>
          <w:p w14:paraId="18F9510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A2B53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-3,533,189.15</w:t>
            </w:r>
          </w:p>
        </w:tc>
        <w:tc>
          <w:tcPr>
            <w:tcW w:w="602" w:type="dxa"/>
            <w:tcBorders>
              <w:top w:val="single" w:color="auto" w:sz="2" w:space="0"/>
              <w:left w:val="single" w:color="auto" w:sz="2" w:space="0"/>
              <w:bottom w:val="single" w:color="auto" w:sz="2" w:space="0"/>
              <w:right w:val="single" w:color="auto" w:sz="2" w:space="0"/>
            </w:tcBorders>
            <w:vAlign w:val="center"/>
          </w:tcPr>
          <w:p w14:paraId="0CBDC05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4DC984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4E9FC8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B550462">
            <w:pPr>
              <w:spacing w:before="0" w:after="0" w:line="240" w:lineRule="exact"/>
              <w:jc w:val="right"/>
              <w:rPr>
                <w:rFonts w:hint="default" w:ascii="Times New Roman" w:hAnsi="Times New Roman" w:eastAsia="宋体" w:cs="Times New Roman"/>
                <w:sz w:val="18"/>
                <w:szCs w:val="18"/>
              </w:rPr>
            </w:pPr>
          </w:p>
        </w:tc>
      </w:tr>
      <w:tr w14:paraId="62AEC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0121CB53">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1．提取盈余公积</w:t>
            </w:r>
          </w:p>
        </w:tc>
        <w:tc>
          <w:tcPr>
            <w:tcW w:w="602" w:type="dxa"/>
            <w:tcBorders>
              <w:top w:val="single" w:color="auto" w:sz="2" w:space="0"/>
              <w:left w:val="single" w:color="auto" w:sz="2" w:space="0"/>
              <w:bottom w:val="single" w:color="auto" w:sz="2" w:space="0"/>
              <w:right w:val="single" w:color="auto" w:sz="2" w:space="0"/>
            </w:tcBorders>
            <w:vAlign w:val="center"/>
          </w:tcPr>
          <w:p w14:paraId="553A5A3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39148E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91B6C3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889DB0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2CF8E7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3C8C2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6D99D4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0D9BCA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432E6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3,533,189.15</w:t>
            </w:r>
          </w:p>
        </w:tc>
        <w:tc>
          <w:tcPr>
            <w:tcW w:w="602" w:type="dxa"/>
            <w:tcBorders>
              <w:top w:val="single" w:color="auto" w:sz="2" w:space="0"/>
              <w:left w:val="single" w:color="auto" w:sz="2" w:space="0"/>
              <w:bottom w:val="single" w:color="auto" w:sz="2" w:space="0"/>
              <w:right w:val="single" w:color="auto" w:sz="2" w:space="0"/>
            </w:tcBorders>
            <w:vAlign w:val="center"/>
          </w:tcPr>
          <w:p w14:paraId="54F7CB6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20ADC2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-3,533,189.15</w:t>
            </w:r>
          </w:p>
        </w:tc>
        <w:tc>
          <w:tcPr>
            <w:tcW w:w="602" w:type="dxa"/>
            <w:tcBorders>
              <w:top w:val="single" w:color="auto" w:sz="2" w:space="0"/>
              <w:left w:val="single" w:color="auto" w:sz="2" w:space="0"/>
              <w:bottom w:val="single" w:color="auto" w:sz="2" w:space="0"/>
              <w:right w:val="single" w:color="auto" w:sz="2" w:space="0"/>
            </w:tcBorders>
            <w:vAlign w:val="center"/>
          </w:tcPr>
          <w:p w14:paraId="0E3A7D3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FFF383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D20E3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643E085">
            <w:pPr>
              <w:spacing w:before="0" w:after="0" w:line="240" w:lineRule="exact"/>
              <w:jc w:val="right"/>
              <w:rPr>
                <w:rFonts w:hint="default" w:ascii="Times New Roman" w:hAnsi="Times New Roman" w:eastAsia="宋体" w:cs="Times New Roman"/>
                <w:sz w:val="18"/>
                <w:szCs w:val="18"/>
              </w:rPr>
            </w:pPr>
          </w:p>
        </w:tc>
      </w:tr>
      <w:tr w14:paraId="7AF2C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301BE6F">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2．提取一般风险准备</w:t>
            </w:r>
          </w:p>
        </w:tc>
        <w:tc>
          <w:tcPr>
            <w:tcW w:w="602" w:type="dxa"/>
            <w:tcBorders>
              <w:top w:val="single" w:color="auto" w:sz="2" w:space="0"/>
              <w:left w:val="single" w:color="auto" w:sz="2" w:space="0"/>
              <w:bottom w:val="single" w:color="auto" w:sz="2" w:space="0"/>
              <w:right w:val="single" w:color="auto" w:sz="2" w:space="0"/>
            </w:tcBorders>
            <w:vAlign w:val="center"/>
          </w:tcPr>
          <w:p w14:paraId="5316BF9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79A80E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DD5E39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7E3FAA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02465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2A82BD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545B3B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7F035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7E7979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5352A6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AE3A1B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6AF109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B7F423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488BEA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97D364">
            <w:pPr>
              <w:spacing w:before="0" w:after="0" w:line="240" w:lineRule="exact"/>
              <w:jc w:val="right"/>
              <w:rPr>
                <w:rFonts w:hint="default" w:ascii="Times New Roman" w:hAnsi="Times New Roman" w:eastAsia="宋体" w:cs="Times New Roman"/>
                <w:sz w:val="18"/>
                <w:szCs w:val="18"/>
              </w:rPr>
            </w:pPr>
          </w:p>
        </w:tc>
      </w:tr>
      <w:tr w14:paraId="235C5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A577AB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3．对所有者（或股东）的分配</w:t>
            </w:r>
          </w:p>
        </w:tc>
        <w:tc>
          <w:tcPr>
            <w:tcW w:w="602" w:type="dxa"/>
            <w:tcBorders>
              <w:top w:val="single" w:color="auto" w:sz="2" w:space="0"/>
              <w:left w:val="single" w:color="auto" w:sz="2" w:space="0"/>
              <w:bottom w:val="single" w:color="auto" w:sz="2" w:space="0"/>
              <w:right w:val="single" w:color="auto" w:sz="2" w:space="0"/>
            </w:tcBorders>
            <w:vAlign w:val="center"/>
          </w:tcPr>
          <w:p w14:paraId="068D8A0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B42BED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050E98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DBB6B7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5A8768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8ACE4B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985956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C95AD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DC788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30ABE7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15F937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B02C41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61C37B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26BCA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47C3803">
            <w:pPr>
              <w:spacing w:before="0" w:after="0" w:line="240" w:lineRule="exact"/>
              <w:jc w:val="right"/>
              <w:rPr>
                <w:rFonts w:hint="default" w:ascii="Times New Roman" w:hAnsi="Times New Roman" w:eastAsia="宋体" w:cs="Times New Roman"/>
                <w:sz w:val="18"/>
                <w:szCs w:val="18"/>
              </w:rPr>
            </w:pPr>
          </w:p>
        </w:tc>
      </w:tr>
      <w:tr w14:paraId="4FD15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6A6E9D9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14:paraId="7CA415D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6D09FF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CD321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DCA5FD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198413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3C9387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04D04E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C0F108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CA08DE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318CA8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97DEEF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9121F2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3F0BD2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4AB64C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65776EB">
            <w:pPr>
              <w:spacing w:before="0" w:after="0" w:line="240" w:lineRule="exact"/>
              <w:jc w:val="right"/>
              <w:rPr>
                <w:rFonts w:hint="default" w:ascii="Times New Roman" w:hAnsi="Times New Roman" w:eastAsia="宋体" w:cs="Times New Roman"/>
                <w:sz w:val="18"/>
                <w:szCs w:val="18"/>
              </w:rPr>
            </w:pPr>
          </w:p>
        </w:tc>
      </w:tr>
      <w:tr w14:paraId="2D8D6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35EA9D2F">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（四）所有者权益内部结转</w:t>
            </w:r>
          </w:p>
        </w:tc>
        <w:tc>
          <w:tcPr>
            <w:tcW w:w="602" w:type="dxa"/>
            <w:tcBorders>
              <w:top w:val="single" w:color="auto" w:sz="2" w:space="0"/>
              <w:left w:val="single" w:color="auto" w:sz="2" w:space="0"/>
              <w:bottom w:val="single" w:color="auto" w:sz="2" w:space="0"/>
              <w:right w:val="single" w:color="auto" w:sz="2" w:space="0"/>
            </w:tcBorders>
            <w:vAlign w:val="center"/>
          </w:tcPr>
          <w:p w14:paraId="608EB8F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0C22A9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DD3315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3FEF1C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08737E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08A033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7011D9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26B7C7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92FC1B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135C77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85FC49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4CF730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C6C786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2C0578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D6052E">
            <w:pPr>
              <w:spacing w:before="0" w:after="0" w:line="240" w:lineRule="exact"/>
              <w:jc w:val="right"/>
              <w:rPr>
                <w:rFonts w:hint="default" w:ascii="Times New Roman" w:hAnsi="Times New Roman" w:eastAsia="宋体" w:cs="Times New Roman"/>
                <w:sz w:val="18"/>
                <w:szCs w:val="18"/>
              </w:rPr>
            </w:pPr>
          </w:p>
        </w:tc>
      </w:tr>
      <w:tr w14:paraId="43AA9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F44BDEF">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1．资本公积转增资本（或股本）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14:paraId="0AAA772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4995E2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894B9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3A281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CE3003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A43D4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66E538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A0D579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FC09BF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5E3896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32AE32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F30B95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C88DD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181EB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E7AE1CC">
            <w:pPr>
              <w:spacing w:before="0" w:after="0" w:line="240" w:lineRule="exact"/>
              <w:jc w:val="right"/>
              <w:rPr>
                <w:rFonts w:hint="default" w:ascii="Times New Roman" w:hAnsi="Times New Roman" w:eastAsia="宋体" w:cs="Times New Roman"/>
                <w:sz w:val="18"/>
                <w:szCs w:val="18"/>
              </w:rPr>
            </w:pPr>
          </w:p>
        </w:tc>
      </w:tr>
      <w:tr w14:paraId="39542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366B669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2．盈余公积转增资本（或股本）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14:paraId="1910359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9DA291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0937C5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7F023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F9E365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E3DC55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575558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0CF902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981792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F22081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0C005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860933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CC99C5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08E32C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14C6BBE">
            <w:pPr>
              <w:spacing w:before="0" w:after="0" w:line="240" w:lineRule="exact"/>
              <w:jc w:val="right"/>
              <w:rPr>
                <w:rFonts w:hint="default" w:ascii="Times New Roman" w:hAnsi="Times New Roman" w:eastAsia="宋体" w:cs="Times New Roman"/>
                <w:sz w:val="18"/>
                <w:szCs w:val="18"/>
              </w:rPr>
            </w:pPr>
          </w:p>
        </w:tc>
      </w:tr>
      <w:tr w14:paraId="27CA2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71A2E5C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3．盈余公积弥补亏损</w:t>
            </w:r>
          </w:p>
        </w:tc>
        <w:tc>
          <w:tcPr>
            <w:tcW w:w="602" w:type="dxa"/>
            <w:tcBorders>
              <w:top w:val="single" w:color="auto" w:sz="2" w:space="0"/>
              <w:left w:val="single" w:color="auto" w:sz="2" w:space="0"/>
              <w:bottom w:val="single" w:color="auto" w:sz="2" w:space="0"/>
              <w:right w:val="single" w:color="auto" w:sz="2" w:space="0"/>
            </w:tcBorders>
            <w:vAlign w:val="center"/>
          </w:tcPr>
          <w:p w14:paraId="3C6B341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39BB1F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208853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8AC62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F4F1DE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94910F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FED95B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0AA762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3827A5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C07E21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D3AD24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C511EE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0FB5A6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273850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A5B73EB">
            <w:pPr>
              <w:spacing w:before="0" w:after="0" w:line="240" w:lineRule="exact"/>
              <w:jc w:val="right"/>
              <w:rPr>
                <w:rFonts w:hint="default" w:ascii="Times New Roman" w:hAnsi="Times New Roman" w:eastAsia="宋体" w:cs="Times New Roman"/>
                <w:sz w:val="18"/>
                <w:szCs w:val="18"/>
              </w:rPr>
            </w:pPr>
          </w:p>
        </w:tc>
      </w:tr>
      <w:tr w14:paraId="0C7A6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080F0AA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vAlign w:val="center"/>
          </w:tcPr>
          <w:p w14:paraId="224C1F7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6F56D7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F0E88C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63D9D0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1BA03D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35562A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D42C23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A3BE23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C8F8E0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D9330F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4C99FF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2FB35F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F79303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63309B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3DEF4C8">
            <w:pPr>
              <w:spacing w:before="0" w:after="0" w:line="240" w:lineRule="exact"/>
              <w:jc w:val="right"/>
              <w:rPr>
                <w:rFonts w:hint="default" w:ascii="Times New Roman" w:hAnsi="Times New Roman" w:eastAsia="宋体" w:cs="Times New Roman"/>
                <w:sz w:val="18"/>
                <w:szCs w:val="18"/>
              </w:rPr>
            </w:pPr>
          </w:p>
        </w:tc>
      </w:tr>
      <w:tr w14:paraId="3787B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51FBEE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5．其他综合收益结转留存收益</w:t>
            </w:r>
          </w:p>
        </w:tc>
        <w:tc>
          <w:tcPr>
            <w:tcW w:w="602" w:type="dxa"/>
            <w:tcBorders>
              <w:top w:val="single" w:color="auto" w:sz="2" w:space="0"/>
              <w:left w:val="single" w:color="auto" w:sz="2" w:space="0"/>
              <w:bottom w:val="single" w:color="auto" w:sz="2" w:space="0"/>
              <w:right w:val="single" w:color="auto" w:sz="2" w:space="0"/>
            </w:tcBorders>
            <w:vAlign w:val="center"/>
          </w:tcPr>
          <w:p w14:paraId="569E262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CE4B90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768F2B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BC5DB7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9BB424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546E34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FCC65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66613F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C2E23E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8CAD87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D43B05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DE0CBA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B3A302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0BB3A4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B5BCF4F">
            <w:pPr>
              <w:spacing w:before="0" w:after="0" w:line="240" w:lineRule="exact"/>
              <w:jc w:val="right"/>
              <w:rPr>
                <w:rFonts w:hint="default" w:ascii="Times New Roman" w:hAnsi="Times New Roman" w:eastAsia="宋体" w:cs="Times New Roman"/>
                <w:sz w:val="18"/>
                <w:szCs w:val="18"/>
              </w:rPr>
            </w:pPr>
          </w:p>
        </w:tc>
      </w:tr>
      <w:tr w14:paraId="1ABF1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DE5517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6．其他</w:t>
            </w:r>
          </w:p>
        </w:tc>
        <w:tc>
          <w:tcPr>
            <w:tcW w:w="602" w:type="dxa"/>
            <w:tcBorders>
              <w:top w:val="single" w:color="auto" w:sz="2" w:space="0"/>
              <w:left w:val="single" w:color="auto" w:sz="2" w:space="0"/>
              <w:bottom w:val="single" w:color="auto" w:sz="2" w:space="0"/>
              <w:right w:val="single" w:color="auto" w:sz="2" w:space="0"/>
            </w:tcBorders>
            <w:vAlign w:val="center"/>
          </w:tcPr>
          <w:p w14:paraId="417E20E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E2564F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969E1B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F88E05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FDBA6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4DB793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552E03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8901E0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DCCAB0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8F8D58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5EE905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969B4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A345E0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42D3DC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94DCE77">
            <w:pPr>
              <w:spacing w:before="0" w:after="0" w:line="240" w:lineRule="exact"/>
              <w:jc w:val="right"/>
              <w:rPr>
                <w:rFonts w:hint="default" w:ascii="Times New Roman" w:hAnsi="Times New Roman" w:eastAsia="宋体" w:cs="Times New Roman"/>
                <w:sz w:val="18"/>
                <w:szCs w:val="18"/>
              </w:rPr>
            </w:pPr>
          </w:p>
        </w:tc>
      </w:tr>
      <w:tr w14:paraId="68054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4BBEDB8">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（五）专项储备</w:t>
            </w:r>
          </w:p>
        </w:tc>
        <w:tc>
          <w:tcPr>
            <w:tcW w:w="602" w:type="dxa"/>
            <w:tcBorders>
              <w:top w:val="single" w:color="auto" w:sz="2" w:space="0"/>
              <w:left w:val="single" w:color="auto" w:sz="2" w:space="0"/>
              <w:bottom w:val="single" w:color="auto" w:sz="2" w:space="0"/>
              <w:right w:val="single" w:color="auto" w:sz="2" w:space="0"/>
            </w:tcBorders>
            <w:vAlign w:val="center"/>
          </w:tcPr>
          <w:p w14:paraId="4FE6443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75485C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2622C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5ECFE5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928034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9A06D4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0D093C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73A0A9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D2C105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593794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41389A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3822D2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455BA9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1FF9FE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37CDF3E">
            <w:pPr>
              <w:spacing w:before="0" w:after="0" w:line="240" w:lineRule="exact"/>
              <w:jc w:val="right"/>
              <w:rPr>
                <w:rFonts w:hint="default" w:ascii="Times New Roman" w:hAnsi="Times New Roman" w:eastAsia="宋体" w:cs="Times New Roman"/>
                <w:sz w:val="18"/>
                <w:szCs w:val="18"/>
              </w:rPr>
            </w:pPr>
          </w:p>
        </w:tc>
      </w:tr>
      <w:tr w14:paraId="26B6F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44FF98C">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1．本期提取</w:t>
            </w:r>
          </w:p>
        </w:tc>
        <w:tc>
          <w:tcPr>
            <w:tcW w:w="602" w:type="dxa"/>
            <w:tcBorders>
              <w:top w:val="single" w:color="auto" w:sz="2" w:space="0"/>
              <w:left w:val="single" w:color="auto" w:sz="2" w:space="0"/>
              <w:bottom w:val="single" w:color="auto" w:sz="2" w:space="0"/>
              <w:right w:val="single" w:color="auto" w:sz="2" w:space="0"/>
            </w:tcBorders>
            <w:vAlign w:val="center"/>
          </w:tcPr>
          <w:p w14:paraId="790B89C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F5665B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41072B">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4131A0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5DE158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920657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BB773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9143A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B8D4C3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DAEE61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470F1F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34EED1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6864C3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2DA546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7A96A80">
            <w:pPr>
              <w:spacing w:before="0" w:after="0" w:line="240" w:lineRule="exact"/>
              <w:jc w:val="right"/>
              <w:rPr>
                <w:rFonts w:hint="default" w:ascii="Times New Roman" w:hAnsi="Times New Roman" w:eastAsia="宋体" w:cs="Times New Roman"/>
                <w:sz w:val="18"/>
                <w:szCs w:val="18"/>
              </w:rPr>
            </w:pPr>
          </w:p>
        </w:tc>
      </w:tr>
      <w:tr w14:paraId="2AA02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83FCF6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2．本期使用</w:t>
            </w:r>
          </w:p>
        </w:tc>
        <w:tc>
          <w:tcPr>
            <w:tcW w:w="602" w:type="dxa"/>
            <w:tcBorders>
              <w:top w:val="single" w:color="auto" w:sz="2" w:space="0"/>
              <w:left w:val="single" w:color="auto" w:sz="2" w:space="0"/>
              <w:bottom w:val="single" w:color="auto" w:sz="2" w:space="0"/>
              <w:right w:val="single" w:color="auto" w:sz="2" w:space="0"/>
            </w:tcBorders>
            <w:vAlign w:val="center"/>
          </w:tcPr>
          <w:p w14:paraId="53686A39">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E05CBE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3E14F7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D462DD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CEC8A5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488CD0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225D10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9973FF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745F5A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F8E9DF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ADC4124">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6BBA11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AA3484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1F5C3C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6BEC8A6">
            <w:pPr>
              <w:spacing w:before="0" w:after="0" w:line="240" w:lineRule="exact"/>
              <w:jc w:val="right"/>
              <w:rPr>
                <w:rFonts w:hint="default" w:ascii="Times New Roman" w:hAnsi="Times New Roman" w:eastAsia="宋体" w:cs="Times New Roman"/>
                <w:sz w:val="18"/>
                <w:szCs w:val="18"/>
              </w:rPr>
            </w:pPr>
          </w:p>
        </w:tc>
      </w:tr>
      <w:tr w14:paraId="3F408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7D77D02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（六）其他</w:t>
            </w:r>
          </w:p>
        </w:tc>
        <w:tc>
          <w:tcPr>
            <w:tcW w:w="602" w:type="dxa"/>
            <w:tcBorders>
              <w:top w:val="single" w:color="auto" w:sz="2" w:space="0"/>
              <w:left w:val="single" w:color="auto" w:sz="2" w:space="0"/>
              <w:bottom w:val="single" w:color="auto" w:sz="2" w:space="0"/>
              <w:right w:val="single" w:color="auto" w:sz="2" w:space="0"/>
            </w:tcBorders>
            <w:vAlign w:val="center"/>
          </w:tcPr>
          <w:p w14:paraId="6C64E5F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C025E9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88B0A9C">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D7601A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4865AA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445456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9A4FBD5">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B83A632">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9A62AD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5FB3146">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72D97B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2F85AC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AEB094A">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39DAD7E">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208302E">
            <w:pPr>
              <w:spacing w:before="0" w:after="0" w:line="240" w:lineRule="exact"/>
              <w:jc w:val="right"/>
              <w:rPr>
                <w:rFonts w:hint="default" w:ascii="Times New Roman" w:hAnsi="Times New Roman" w:eastAsia="宋体" w:cs="Times New Roman"/>
                <w:sz w:val="18"/>
                <w:szCs w:val="18"/>
              </w:rPr>
            </w:pPr>
          </w:p>
        </w:tc>
      </w:tr>
      <w:tr w14:paraId="55F1D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14E236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四、本期期末余额</w:t>
            </w:r>
          </w:p>
        </w:tc>
        <w:tc>
          <w:tcPr>
            <w:tcW w:w="602" w:type="dxa"/>
            <w:tcBorders>
              <w:top w:val="single" w:color="auto" w:sz="2" w:space="0"/>
              <w:left w:val="single" w:color="auto" w:sz="2" w:space="0"/>
              <w:bottom w:val="single" w:color="auto" w:sz="2" w:space="0"/>
              <w:right w:val="single" w:color="auto" w:sz="2" w:space="0"/>
            </w:tcBorders>
            <w:vAlign w:val="center"/>
          </w:tcPr>
          <w:p w14:paraId="4E67298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c>
          <w:tcPr>
            <w:tcW w:w="602" w:type="dxa"/>
            <w:tcBorders>
              <w:top w:val="single" w:color="auto" w:sz="2" w:space="0"/>
              <w:left w:val="single" w:color="auto" w:sz="2" w:space="0"/>
              <w:bottom w:val="single" w:color="auto" w:sz="2" w:space="0"/>
              <w:right w:val="single" w:color="auto" w:sz="2" w:space="0"/>
            </w:tcBorders>
            <w:vAlign w:val="center"/>
          </w:tcPr>
          <w:p w14:paraId="749E856F">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07BB738">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4456460">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62B00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594,541,559.87</w:t>
            </w:r>
          </w:p>
        </w:tc>
        <w:tc>
          <w:tcPr>
            <w:tcW w:w="602" w:type="dxa"/>
            <w:tcBorders>
              <w:top w:val="single" w:color="auto" w:sz="2" w:space="0"/>
              <w:left w:val="single" w:color="auto" w:sz="2" w:space="0"/>
              <w:bottom w:val="single" w:color="auto" w:sz="2" w:space="0"/>
              <w:right w:val="single" w:color="auto" w:sz="2" w:space="0"/>
            </w:tcBorders>
            <w:vAlign w:val="center"/>
          </w:tcPr>
          <w:p w14:paraId="6A3AB767">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33A193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-46,388,548.35</w:t>
            </w:r>
          </w:p>
        </w:tc>
        <w:tc>
          <w:tcPr>
            <w:tcW w:w="602" w:type="dxa"/>
            <w:tcBorders>
              <w:top w:val="single" w:color="auto" w:sz="2" w:space="0"/>
              <w:left w:val="single" w:color="auto" w:sz="2" w:space="0"/>
              <w:bottom w:val="single" w:color="auto" w:sz="2" w:space="0"/>
              <w:right w:val="single" w:color="auto" w:sz="2" w:space="0"/>
            </w:tcBorders>
            <w:vAlign w:val="center"/>
          </w:tcPr>
          <w:p w14:paraId="5C2F55ED">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B169C3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50,643,420.67</w:t>
            </w:r>
          </w:p>
        </w:tc>
        <w:tc>
          <w:tcPr>
            <w:tcW w:w="602" w:type="dxa"/>
            <w:tcBorders>
              <w:top w:val="single" w:color="auto" w:sz="2" w:space="0"/>
              <w:left w:val="single" w:color="auto" w:sz="2" w:space="0"/>
              <w:bottom w:val="single" w:color="auto" w:sz="2" w:space="0"/>
              <w:right w:val="single" w:color="auto" w:sz="2" w:space="0"/>
            </w:tcBorders>
            <w:vAlign w:val="center"/>
          </w:tcPr>
          <w:p w14:paraId="4BD373B3">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F32FCC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-321,594,027.95</w:t>
            </w:r>
          </w:p>
        </w:tc>
        <w:tc>
          <w:tcPr>
            <w:tcW w:w="602" w:type="dxa"/>
            <w:tcBorders>
              <w:top w:val="single" w:color="auto" w:sz="2" w:space="0"/>
              <w:left w:val="single" w:color="auto" w:sz="2" w:space="0"/>
              <w:bottom w:val="single" w:color="auto" w:sz="2" w:space="0"/>
              <w:right w:val="single" w:color="auto" w:sz="2" w:space="0"/>
            </w:tcBorders>
            <w:vAlign w:val="center"/>
          </w:tcPr>
          <w:p w14:paraId="02872E81">
            <w:pPr>
              <w:spacing w:before="0" w:after="0" w:line="240" w:lineRule="exact"/>
              <w:jc w:val="right"/>
              <w:rPr>
                <w:rFonts w:hint="default"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6DBFEE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542,358,105.24</w:t>
            </w:r>
          </w:p>
        </w:tc>
        <w:tc>
          <w:tcPr>
            <w:tcW w:w="602" w:type="dxa"/>
            <w:tcBorders>
              <w:top w:val="single" w:color="auto" w:sz="2" w:space="0"/>
              <w:left w:val="single" w:color="auto" w:sz="2" w:space="0"/>
              <w:bottom w:val="single" w:color="auto" w:sz="2" w:space="0"/>
              <w:right w:val="single" w:color="auto" w:sz="2" w:space="0"/>
            </w:tcBorders>
            <w:vAlign w:val="center"/>
          </w:tcPr>
          <w:p w14:paraId="6004DE7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-74,766,202.02</w:t>
            </w:r>
          </w:p>
        </w:tc>
        <w:tc>
          <w:tcPr>
            <w:tcW w:w="602" w:type="dxa"/>
            <w:tcBorders>
              <w:top w:val="single" w:color="auto" w:sz="2" w:space="0"/>
              <w:left w:val="single" w:color="auto" w:sz="2" w:space="0"/>
              <w:bottom w:val="single" w:color="auto" w:sz="2" w:space="0"/>
              <w:right w:val="single" w:color="auto" w:sz="2" w:space="0"/>
            </w:tcBorders>
            <w:vAlign w:val="center"/>
          </w:tcPr>
          <w:p w14:paraId="23FCD9F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467,591,903.22</w:t>
            </w:r>
          </w:p>
        </w:tc>
      </w:tr>
    </w:tbl>
    <w:p w14:paraId="53FEBDAF">
      <w:pPr>
        <w:pStyle w:val="3"/>
        <w:keepNext/>
        <w:keepLines/>
        <w:spacing w:before="300" w:after="300" w:line="280" w:lineRule="exact"/>
        <w:jc w:val="left"/>
        <w:outlineLvl w:val="2"/>
        <w:rPr>
          <w:rFonts w:ascii="宋体" w:hAnsi="宋体" w:eastAsia="宋体" w:cs="宋体"/>
          <w:b/>
          <w:bCs/>
          <w:sz w:val="21"/>
          <w:szCs w:val="21"/>
        </w:rPr>
      </w:pPr>
      <w:bookmarkStart w:id="225" w:name="_Toc989040"/>
      <w:r>
        <w:rPr>
          <w:rFonts w:ascii="宋体" w:hAnsi="宋体" w:eastAsia="宋体" w:cs="宋体"/>
          <w:b/>
          <w:bCs/>
          <w:sz w:val="21"/>
          <w:szCs w:val="21"/>
        </w:rPr>
        <w:t>8、母公司所有者权益变动表</w:t>
      </w:r>
      <w:bookmarkEnd w:id="225"/>
    </w:p>
    <w:p w14:paraId="0D184F1C">
      <w:pPr>
        <w:spacing w:before="40" w:after="40" w:line="240" w:lineRule="exact"/>
        <w:jc w:val="left"/>
        <w:rPr>
          <w:rFonts w:ascii="宋体" w:hAnsi="宋体" w:eastAsia="宋体" w:cs="宋体"/>
          <w:sz w:val="18"/>
          <w:szCs w:val="18"/>
        </w:rPr>
      </w:pPr>
      <w:r>
        <w:rPr>
          <w:rFonts w:ascii="宋体" w:hAnsi="宋体" w:eastAsia="宋体" w:cs="宋体"/>
          <w:sz w:val="18"/>
          <w:szCs w:val="18"/>
        </w:rPr>
        <w:t>本期金额</w:t>
      </w:r>
    </w:p>
    <w:p w14:paraId="3EE5DACC">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14:paraId="19964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32B0CE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14:paraId="20CEDD7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2025年度</w:t>
            </w:r>
          </w:p>
        </w:tc>
      </w:tr>
      <w:tr w14:paraId="0C8F5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0370CB1">
            <w:pPr>
              <w:rPr>
                <w:rFonts w:hint="default" w:ascii="Times New Roman" w:hAnsi="Times New Roman" w:cs="Times New Roman"/>
              </w:rPr>
            </w:pP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5399E7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377483E6">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0C1CFF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80A408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879259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CAB32D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C7F600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E8AE14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7D5503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117847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所有者权益合计</w:t>
            </w:r>
          </w:p>
        </w:tc>
      </w:tr>
      <w:tr w14:paraId="3E379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FCD5CBE">
            <w:pPr>
              <w:rPr>
                <w:rFonts w:hint="default" w:ascii="Times New Roman" w:hAnsi="Times New Roman" w:cs="Times New Roman"/>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77E449E">
            <w:pPr>
              <w:rPr>
                <w:rFonts w:hint="default" w:ascii="Times New Roman" w:hAnsi="Times New Roman" w:cs="Times New Roman"/>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25F2AE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67A113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EBF1BEC">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77B87CE">
            <w:pPr>
              <w:rPr>
                <w:rFonts w:hint="default" w:ascii="Times New Roman" w:hAnsi="Times New Roman" w:cs="Times New Roman"/>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C4D53D6">
            <w:pPr>
              <w:rPr>
                <w:rFonts w:hint="default" w:ascii="Times New Roman" w:hAnsi="Times New Roman" w:cs="Times New Roman"/>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ADB0B8A">
            <w:pPr>
              <w:rPr>
                <w:rFonts w:hint="default" w:ascii="Times New Roman" w:hAnsi="Times New Roman" w:cs="Times New Roman"/>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14:paraId="22336F3D">
            <w:pPr>
              <w:rPr>
                <w:rFonts w:hint="default" w:ascii="Times New Roman" w:hAnsi="Times New Roman" w:cs="Times New Roman"/>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F40378E">
            <w:pPr>
              <w:rPr>
                <w:rFonts w:hint="default" w:ascii="Times New Roman" w:hAnsi="Times New Roman" w:cs="Times New Roman"/>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1022DC0">
            <w:pPr>
              <w:rPr>
                <w:rFonts w:hint="default" w:ascii="Times New Roman" w:hAnsi="Times New Roman" w:cs="Times New Roman"/>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14:paraId="31D80B90">
            <w:pPr>
              <w:rPr>
                <w:rFonts w:hint="default" w:ascii="Times New Roman" w:hAnsi="Times New Roman" w:cs="Times New Roman"/>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6EF25B8">
            <w:pPr>
              <w:rPr>
                <w:rFonts w:hint="default" w:ascii="Times New Roman" w:hAnsi="Times New Roman" w:cs="Times New Roman"/>
              </w:rPr>
            </w:pPr>
          </w:p>
        </w:tc>
      </w:tr>
      <w:tr w14:paraId="5EBAB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9955D3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一、上年期末余额</w:t>
            </w:r>
          </w:p>
        </w:tc>
        <w:tc>
          <w:tcPr>
            <w:tcW w:w="741" w:type="dxa"/>
            <w:tcBorders>
              <w:top w:val="single" w:color="auto" w:sz="2" w:space="0"/>
              <w:left w:val="single" w:color="auto" w:sz="2" w:space="0"/>
              <w:bottom w:val="single" w:color="auto" w:sz="2" w:space="0"/>
              <w:right w:val="single" w:color="auto" w:sz="2" w:space="0"/>
            </w:tcBorders>
            <w:vAlign w:val="center"/>
          </w:tcPr>
          <w:p w14:paraId="3814957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c>
          <w:tcPr>
            <w:tcW w:w="741" w:type="dxa"/>
            <w:tcBorders>
              <w:top w:val="single" w:color="auto" w:sz="2" w:space="0"/>
              <w:left w:val="single" w:color="auto" w:sz="2" w:space="0"/>
              <w:bottom w:val="single" w:color="auto" w:sz="2" w:space="0"/>
              <w:right w:val="single" w:color="auto" w:sz="2" w:space="0"/>
            </w:tcBorders>
            <w:vAlign w:val="center"/>
          </w:tcPr>
          <w:p w14:paraId="6B98CF0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75DB56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A46D4F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A1F8B2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517,060,773.29</w:t>
            </w:r>
          </w:p>
        </w:tc>
        <w:tc>
          <w:tcPr>
            <w:tcW w:w="741" w:type="dxa"/>
            <w:tcBorders>
              <w:top w:val="single" w:color="auto" w:sz="2" w:space="0"/>
              <w:left w:val="single" w:color="auto" w:sz="2" w:space="0"/>
              <w:bottom w:val="single" w:color="auto" w:sz="2" w:space="0"/>
              <w:right w:val="single" w:color="auto" w:sz="2" w:space="0"/>
            </w:tcBorders>
            <w:vAlign w:val="center"/>
          </w:tcPr>
          <w:p w14:paraId="02B2BD9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B3EBFD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-42,500,000.00</w:t>
            </w:r>
          </w:p>
        </w:tc>
        <w:tc>
          <w:tcPr>
            <w:tcW w:w="741" w:type="dxa"/>
            <w:tcBorders>
              <w:top w:val="single" w:color="auto" w:sz="2" w:space="0"/>
              <w:left w:val="single" w:color="auto" w:sz="2" w:space="0"/>
              <w:bottom w:val="single" w:color="auto" w:sz="2" w:space="0"/>
              <w:right w:val="single" w:color="auto" w:sz="2" w:space="0"/>
            </w:tcBorders>
            <w:vAlign w:val="center"/>
          </w:tcPr>
          <w:p w14:paraId="5F63A15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38FC0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51,453,270.95</w:t>
            </w:r>
          </w:p>
        </w:tc>
        <w:tc>
          <w:tcPr>
            <w:tcW w:w="741" w:type="dxa"/>
            <w:tcBorders>
              <w:top w:val="single" w:color="auto" w:sz="2" w:space="0"/>
              <w:left w:val="single" w:color="auto" w:sz="2" w:space="0"/>
              <w:bottom w:val="single" w:color="auto" w:sz="2" w:space="0"/>
              <w:right w:val="single" w:color="auto" w:sz="2" w:space="0"/>
            </w:tcBorders>
            <w:vAlign w:val="center"/>
          </w:tcPr>
          <w:p w14:paraId="381628D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-41,889,215.05</w:t>
            </w:r>
          </w:p>
        </w:tc>
        <w:tc>
          <w:tcPr>
            <w:tcW w:w="741" w:type="dxa"/>
            <w:tcBorders>
              <w:top w:val="single" w:color="auto" w:sz="2" w:space="0"/>
              <w:left w:val="single" w:color="auto" w:sz="2" w:space="0"/>
              <w:bottom w:val="single" w:color="auto" w:sz="2" w:space="0"/>
              <w:right w:val="single" w:color="auto" w:sz="2" w:space="0"/>
            </w:tcBorders>
            <w:vAlign w:val="center"/>
          </w:tcPr>
          <w:p w14:paraId="05AA42A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8722DF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749,280,530.19</w:t>
            </w:r>
          </w:p>
        </w:tc>
      </w:tr>
      <w:tr w14:paraId="468BD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573F8AB">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加：会计政策变更</w:t>
            </w:r>
          </w:p>
        </w:tc>
        <w:tc>
          <w:tcPr>
            <w:tcW w:w="741" w:type="dxa"/>
            <w:tcBorders>
              <w:top w:val="single" w:color="auto" w:sz="2" w:space="0"/>
              <w:left w:val="single" w:color="auto" w:sz="2" w:space="0"/>
              <w:bottom w:val="single" w:color="auto" w:sz="2" w:space="0"/>
              <w:right w:val="single" w:color="auto" w:sz="2" w:space="0"/>
            </w:tcBorders>
            <w:vAlign w:val="center"/>
          </w:tcPr>
          <w:p w14:paraId="7DE7C43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40019B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B99970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5FC1DD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B09181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CB13F4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128C2B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FA9A9C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EF5797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7DD10C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A8DC7E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E4941E7">
            <w:pPr>
              <w:spacing w:before="0" w:after="0" w:line="240" w:lineRule="exact"/>
              <w:jc w:val="right"/>
              <w:rPr>
                <w:rFonts w:hint="default" w:ascii="Times New Roman" w:hAnsi="Times New Roman" w:eastAsia="宋体" w:cs="Times New Roman"/>
                <w:sz w:val="18"/>
                <w:szCs w:val="18"/>
              </w:rPr>
            </w:pPr>
          </w:p>
        </w:tc>
      </w:tr>
      <w:tr w14:paraId="571F4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E7590AC">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前期差错更正</w:t>
            </w:r>
          </w:p>
        </w:tc>
        <w:tc>
          <w:tcPr>
            <w:tcW w:w="741" w:type="dxa"/>
            <w:tcBorders>
              <w:top w:val="single" w:color="auto" w:sz="2" w:space="0"/>
              <w:left w:val="single" w:color="auto" w:sz="2" w:space="0"/>
              <w:bottom w:val="single" w:color="auto" w:sz="2" w:space="0"/>
              <w:right w:val="single" w:color="auto" w:sz="2" w:space="0"/>
            </w:tcBorders>
            <w:vAlign w:val="center"/>
          </w:tcPr>
          <w:p w14:paraId="62BDE74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0D943E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154D3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E29DF8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C0DA7C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5C7744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A8017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53EF05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E8EB0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CAE119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776C2A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211A8E3">
            <w:pPr>
              <w:spacing w:before="0" w:after="0" w:line="240" w:lineRule="exact"/>
              <w:jc w:val="right"/>
              <w:rPr>
                <w:rFonts w:hint="default" w:ascii="Times New Roman" w:hAnsi="Times New Roman" w:eastAsia="宋体" w:cs="Times New Roman"/>
                <w:sz w:val="18"/>
                <w:szCs w:val="18"/>
              </w:rPr>
            </w:pPr>
          </w:p>
        </w:tc>
      </w:tr>
      <w:tr w14:paraId="655D4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DA9F182">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741" w:type="dxa"/>
            <w:tcBorders>
              <w:top w:val="single" w:color="auto" w:sz="2" w:space="0"/>
              <w:left w:val="single" w:color="auto" w:sz="2" w:space="0"/>
              <w:bottom w:val="single" w:color="auto" w:sz="2" w:space="0"/>
              <w:right w:val="single" w:color="auto" w:sz="2" w:space="0"/>
            </w:tcBorders>
            <w:vAlign w:val="center"/>
          </w:tcPr>
          <w:p w14:paraId="7C6CA09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CCD848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221D73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099929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13B796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93502D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B67FF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475DFA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921F26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5E0495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95ABD2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9F71050">
            <w:pPr>
              <w:spacing w:before="0" w:after="0" w:line="240" w:lineRule="exact"/>
              <w:jc w:val="right"/>
              <w:rPr>
                <w:rFonts w:hint="default" w:ascii="Times New Roman" w:hAnsi="Times New Roman" w:eastAsia="宋体" w:cs="Times New Roman"/>
                <w:sz w:val="18"/>
                <w:szCs w:val="18"/>
              </w:rPr>
            </w:pPr>
          </w:p>
        </w:tc>
      </w:tr>
      <w:tr w14:paraId="3FE1E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A2E8E3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二、本年期初余额</w:t>
            </w:r>
          </w:p>
        </w:tc>
        <w:tc>
          <w:tcPr>
            <w:tcW w:w="741" w:type="dxa"/>
            <w:tcBorders>
              <w:top w:val="single" w:color="auto" w:sz="2" w:space="0"/>
              <w:left w:val="single" w:color="auto" w:sz="2" w:space="0"/>
              <w:bottom w:val="single" w:color="auto" w:sz="2" w:space="0"/>
              <w:right w:val="single" w:color="auto" w:sz="2" w:space="0"/>
            </w:tcBorders>
            <w:vAlign w:val="center"/>
          </w:tcPr>
          <w:p w14:paraId="6F65CAE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c>
          <w:tcPr>
            <w:tcW w:w="741" w:type="dxa"/>
            <w:tcBorders>
              <w:top w:val="single" w:color="auto" w:sz="2" w:space="0"/>
              <w:left w:val="single" w:color="auto" w:sz="2" w:space="0"/>
              <w:bottom w:val="single" w:color="auto" w:sz="2" w:space="0"/>
              <w:right w:val="single" w:color="auto" w:sz="2" w:space="0"/>
            </w:tcBorders>
            <w:vAlign w:val="center"/>
          </w:tcPr>
          <w:p w14:paraId="34BDD85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E3536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21B2BB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299577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517,060,773.29</w:t>
            </w:r>
          </w:p>
        </w:tc>
        <w:tc>
          <w:tcPr>
            <w:tcW w:w="741" w:type="dxa"/>
            <w:tcBorders>
              <w:top w:val="single" w:color="auto" w:sz="2" w:space="0"/>
              <w:left w:val="single" w:color="auto" w:sz="2" w:space="0"/>
              <w:bottom w:val="single" w:color="auto" w:sz="2" w:space="0"/>
              <w:right w:val="single" w:color="auto" w:sz="2" w:space="0"/>
            </w:tcBorders>
            <w:vAlign w:val="center"/>
          </w:tcPr>
          <w:p w14:paraId="2C6B95A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3EDA98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-42,500,000.00</w:t>
            </w:r>
          </w:p>
        </w:tc>
        <w:tc>
          <w:tcPr>
            <w:tcW w:w="741" w:type="dxa"/>
            <w:tcBorders>
              <w:top w:val="single" w:color="auto" w:sz="2" w:space="0"/>
              <w:left w:val="single" w:color="auto" w:sz="2" w:space="0"/>
              <w:bottom w:val="single" w:color="auto" w:sz="2" w:space="0"/>
              <w:right w:val="single" w:color="auto" w:sz="2" w:space="0"/>
            </w:tcBorders>
            <w:vAlign w:val="center"/>
          </w:tcPr>
          <w:p w14:paraId="695D81D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80B5A8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51,453,270.95</w:t>
            </w:r>
          </w:p>
        </w:tc>
        <w:tc>
          <w:tcPr>
            <w:tcW w:w="741" w:type="dxa"/>
            <w:tcBorders>
              <w:top w:val="single" w:color="auto" w:sz="2" w:space="0"/>
              <w:left w:val="single" w:color="auto" w:sz="2" w:space="0"/>
              <w:bottom w:val="single" w:color="auto" w:sz="2" w:space="0"/>
              <w:right w:val="single" w:color="auto" w:sz="2" w:space="0"/>
            </w:tcBorders>
            <w:vAlign w:val="center"/>
          </w:tcPr>
          <w:p w14:paraId="0DE135C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-41,889,215.05</w:t>
            </w:r>
          </w:p>
        </w:tc>
        <w:tc>
          <w:tcPr>
            <w:tcW w:w="741" w:type="dxa"/>
            <w:tcBorders>
              <w:top w:val="single" w:color="auto" w:sz="2" w:space="0"/>
              <w:left w:val="single" w:color="auto" w:sz="2" w:space="0"/>
              <w:bottom w:val="single" w:color="auto" w:sz="2" w:space="0"/>
              <w:right w:val="single" w:color="auto" w:sz="2" w:space="0"/>
            </w:tcBorders>
            <w:vAlign w:val="center"/>
          </w:tcPr>
          <w:p w14:paraId="0665B0F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B3C2FA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749,280,530.19</w:t>
            </w:r>
          </w:p>
        </w:tc>
      </w:tr>
      <w:tr w14:paraId="6761B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B5DB02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vAlign w:val="center"/>
          </w:tcPr>
          <w:p w14:paraId="31449BB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B0919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149BA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F9ADC2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9C06AA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E58680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00457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C37931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426A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331,375.21</w:t>
            </w:r>
          </w:p>
        </w:tc>
        <w:tc>
          <w:tcPr>
            <w:tcW w:w="741" w:type="dxa"/>
            <w:tcBorders>
              <w:top w:val="single" w:color="auto" w:sz="2" w:space="0"/>
              <w:left w:val="single" w:color="auto" w:sz="2" w:space="0"/>
              <w:bottom w:val="single" w:color="auto" w:sz="2" w:space="0"/>
              <w:right w:val="single" w:color="auto" w:sz="2" w:space="0"/>
            </w:tcBorders>
            <w:vAlign w:val="center"/>
          </w:tcPr>
          <w:p w14:paraId="1C771FE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44,871,591.90</w:t>
            </w:r>
          </w:p>
        </w:tc>
        <w:tc>
          <w:tcPr>
            <w:tcW w:w="741" w:type="dxa"/>
            <w:tcBorders>
              <w:top w:val="single" w:color="auto" w:sz="2" w:space="0"/>
              <w:left w:val="single" w:color="auto" w:sz="2" w:space="0"/>
              <w:bottom w:val="single" w:color="auto" w:sz="2" w:space="0"/>
              <w:right w:val="single" w:color="auto" w:sz="2" w:space="0"/>
            </w:tcBorders>
            <w:vAlign w:val="center"/>
          </w:tcPr>
          <w:p w14:paraId="07F595B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9AD26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45,202,967.11</w:t>
            </w:r>
          </w:p>
        </w:tc>
      </w:tr>
      <w:tr w14:paraId="6EEFC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8A5271F">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（一）综合收益总额</w:t>
            </w:r>
          </w:p>
        </w:tc>
        <w:tc>
          <w:tcPr>
            <w:tcW w:w="741" w:type="dxa"/>
            <w:tcBorders>
              <w:top w:val="single" w:color="auto" w:sz="2" w:space="0"/>
              <w:left w:val="single" w:color="auto" w:sz="2" w:space="0"/>
              <w:bottom w:val="single" w:color="auto" w:sz="2" w:space="0"/>
              <w:right w:val="single" w:color="auto" w:sz="2" w:space="0"/>
            </w:tcBorders>
            <w:vAlign w:val="center"/>
          </w:tcPr>
          <w:p w14:paraId="10D0213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394BAA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3B7F73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CB8E28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06B39C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F69C5A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7538FF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7825C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BD77F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92A79A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45,202,967.11</w:t>
            </w:r>
          </w:p>
        </w:tc>
        <w:tc>
          <w:tcPr>
            <w:tcW w:w="741" w:type="dxa"/>
            <w:tcBorders>
              <w:top w:val="single" w:color="auto" w:sz="2" w:space="0"/>
              <w:left w:val="single" w:color="auto" w:sz="2" w:space="0"/>
              <w:bottom w:val="single" w:color="auto" w:sz="2" w:space="0"/>
              <w:right w:val="single" w:color="auto" w:sz="2" w:space="0"/>
            </w:tcBorders>
            <w:vAlign w:val="center"/>
          </w:tcPr>
          <w:p w14:paraId="69ADC5C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4FD81A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45,202,967.11</w:t>
            </w:r>
          </w:p>
        </w:tc>
      </w:tr>
      <w:tr w14:paraId="16A37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8D93E8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（二）所有者投入和减少资本</w:t>
            </w:r>
          </w:p>
        </w:tc>
        <w:tc>
          <w:tcPr>
            <w:tcW w:w="741" w:type="dxa"/>
            <w:tcBorders>
              <w:top w:val="single" w:color="auto" w:sz="2" w:space="0"/>
              <w:left w:val="single" w:color="auto" w:sz="2" w:space="0"/>
              <w:bottom w:val="single" w:color="auto" w:sz="2" w:space="0"/>
              <w:right w:val="single" w:color="auto" w:sz="2" w:space="0"/>
            </w:tcBorders>
            <w:vAlign w:val="center"/>
          </w:tcPr>
          <w:p w14:paraId="1C12133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C2E789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155DC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AA26DE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B9E2D1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13EFD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903EE9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B9EABB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6E0E0C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90937C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0EFF1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7DD1D08">
            <w:pPr>
              <w:spacing w:before="0" w:after="0" w:line="240" w:lineRule="exact"/>
              <w:jc w:val="right"/>
              <w:rPr>
                <w:rFonts w:hint="default" w:ascii="Times New Roman" w:hAnsi="Times New Roman" w:eastAsia="宋体" w:cs="Times New Roman"/>
                <w:sz w:val="18"/>
                <w:szCs w:val="18"/>
              </w:rPr>
            </w:pPr>
          </w:p>
        </w:tc>
      </w:tr>
      <w:tr w14:paraId="0BF5B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468073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1．所有者投入的普通股</w:t>
            </w:r>
          </w:p>
        </w:tc>
        <w:tc>
          <w:tcPr>
            <w:tcW w:w="741" w:type="dxa"/>
            <w:tcBorders>
              <w:top w:val="single" w:color="auto" w:sz="2" w:space="0"/>
              <w:left w:val="single" w:color="auto" w:sz="2" w:space="0"/>
              <w:bottom w:val="single" w:color="auto" w:sz="2" w:space="0"/>
              <w:right w:val="single" w:color="auto" w:sz="2" w:space="0"/>
            </w:tcBorders>
            <w:vAlign w:val="center"/>
          </w:tcPr>
          <w:p w14:paraId="5423005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6E92A3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EC7C26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E6FAD5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AE4AD3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7BE2D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07062F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64049A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EA37A3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A0BA20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77139C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1411E8">
            <w:pPr>
              <w:spacing w:before="0" w:after="0" w:line="240" w:lineRule="exact"/>
              <w:jc w:val="right"/>
              <w:rPr>
                <w:rFonts w:hint="default" w:ascii="Times New Roman" w:hAnsi="Times New Roman" w:eastAsia="宋体" w:cs="Times New Roman"/>
                <w:sz w:val="18"/>
                <w:szCs w:val="18"/>
              </w:rPr>
            </w:pPr>
          </w:p>
        </w:tc>
      </w:tr>
      <w:tr w14:paraId="27391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6131A6E">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vAlign w:val="center"/>
          </w:tcPr>
          <w:p w14:paraId="6F4F52F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126B4D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A1231E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86EA25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486A12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2D3093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5805A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5E6AC8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CC4770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2F787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C9095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B7995E">
            <w:pPr>
              <w:spacing w:before="0" w:after="0" w:line="240" w:lineRule="exact"/>
              <w:jc w:val="right"/>
              <w:rPr>
                <w:rFonts w:hint="default" w:ascii="Times New Roman" w:hAnsi="Times New Roman" w:eastAsia="宋体" w:cs="Times New Roman"/>
                <w:sz w:val="18"/>
                <w:szCs w:val="18"/>
              </w:rPr>
            </w:pPr>
          </w:p>
        </w:tc>
      </w:tr>
      <w:tr w14:paraId="18B83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DBD98BF">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vAlign w:val="center"/>
          </w:tcPr>
          <w:p w14:paraId="2C841AD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7C3937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4415A1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9510B9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ED3E3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F93F7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95AF64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1FC55F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39CC22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F99BED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FEA8F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60F2D7B">
            <w:pPr>
              <w:spacing w:before="0" w:after="0" w:line="240" w:lineRule="exact"/>
              <w:jc w:val="right"/>
              <w:rPr>
                <w:rFonts w:hint="default" w:ascii="Times New Roman" w:hAnsi="Times New Roman" w:eastAsia="宋体" w:cs="Times New Roman"/>
                <w:sz w:val="18"/>
                <w:szCs w:val="18"/>
              </w:rPr>
            </w:pPr>
          </w:p>
        </w:tc>
      </w:tr>
      <w:tr w14:paraId="17BB9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48A8E6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4．其他</w:t>
            </w:r>
          </w:p>
        </w:tc>
        <w:tc>
          <w:tcPr>
            <w:tcW w:w="741" w:type="dxa"/>
            <w:tcBorders>
              <w:top w:val="single" w:color="auto" w:sz="2" w:space="0"/>
              <w:left w:val="single" w:color="auto" w:sz="2" w:space="0"/>
              <w:bottom w:val="single" w:color="auto" w:sz="2" w:space="0"/>
              <w:right w:val="single" w:color="auto" w:sz="2" w:space="0"/>
            </w:tcBorders>
            <w:vAlign w:val="center"/>
          </w:tcPr>
          <w:p w14:paraId="12884A0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0F7CF5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7E8B76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7397BA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AD945E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7A68C2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C8AF5F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32DCD3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98E686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A0A62E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36074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2BC79AE">
            <w:pPr>
              <w:spacing w:before="0" w:after="0" w:line="240" w:lineRule="exact"/>
              <w:jc w:val="right"/>
              <w:rPr>
                <w:rFonts w:hint="default" w:ascii="Times New Roman" w:hAnsi="Times New Roman" w:eastAsia="宋体" w:cs="Times New Roman"/>
                <w:sz w:val="18"/>
                <w:szCs w:val="18"/>
              </w:rPr>
            </w:pPr>
          </w:p>
        </w:tc>
      </w:tr>
      <w:tr w14:paraId="555E1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E8B9913">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（三）利润分配</w:t>
            </w:r>
          </w:p>
        </w:tc>
        <w:tc>
          <w:tcPr>
            <w:tcW w:w="741" w:type="dxa"/>
            <w:tcBorders>
              <w:top w:val="single" w:color="auto" w:sz="2" w:space="0"/>
              <w:left w:val="single" w:color="auto" w:sz="2" w:space="0"/>
              <w:bottom w:val="single" w:color="auto" w:sz="2" w:space="0"/>
              <w:right w:val="single" w:color="auto" w:sz="2" w:space="0"/>
            </w:tcBorders>
            <w:vAlign w:val="center"/>
          </w:tcPr>
          <w:p w14:paraId="7E0DA87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20EF88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51DF7F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973A64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C029D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E60D76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A3D4B4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E5B06E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6AB6B2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331,375.21</w:t>
            </w:r>
          </w:p>
        </w:tc>
        <w:tc>
          <w:tcPr>
            <w:tcW w:w="741" w:type="dxa"/>
            <w:tcBorders>
              <w:top w:val="single" w:color="auto" w:sz="2" w:space="0"/>
              <w:left w:val="single" w:color="auto" w:sz="2" w:space="0"/>
              <w:bottom w:val="single" w:color="auto" w:sz="2" w:space="0"/>
              <w:right w:val="single" w:color="auto" w:sz="2" w:space="0"/>
            </w:tcBorders>
            <w:vAlign w:val="center"/>
          </w:tcPr>
          <w:p w14:paraId="3955E6B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-331,375.21</w:t>
            </w:r>
          </w:p>
        </w:tc>
        <w:tc>
          <w:tcPr>
            <w:tcW w:w="741" w:type="dxa"/>
            <w:tcBorders>
              <w:top w:val="single" w:color="auto" w:sz="2" w:space="0"/>
              <w:left w:val="single" w:color="auto" w:sz="2" w:space="0"/>
              <w:bottom w:val="single" w:color="auto" w:sz="2" w:space="0"/>
              <w:right w:val="single" w:color="auto" w:sz="2" w:space="0"/>
            </w:tcBorders>
            <w:vAlign w:val="center"/>
          </w:tcPr>
          <w:p w14:paraId="3BAC103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311347A">
            <w:pPr>
              <w:spacing w:before="0" w:after="0" w:line="240" w:lineRule="exact"/>
              <w:jc w:val="right"/>
              <w:rPr>
                <w:rFonts w:hint="default" w:ascii="Times New Roman" w:hAnsi="Times New Roman" w:eastAsia="宋体" w:cs="Times New Roman"/>
                <w:sz w:val="18"/>
                <w:szCs w:val="18"/>
              </w:rPr>
            </w:pPr>
          </w:p>
        </w:tc>
      </w:tr>
      <w:tr w14:paraId="14CB3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813F88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1．提取盈余公积</w:t>
            </w:r>
          </w:p>
        </w:tc>
        <w:tc>
          <w:tcPr>
            <w:tcW w:w="741" w:type="dxa"/>
            <w:tcBorders>
              <w:top w:val="single" w:color="auto" w:sz="2" w:space="0"/>
              <w:left w:val="single" w:color="auto" w:sz="2" w:space="0"/>
              <w:bottom w:val="single" w:color="auto" w:sz="2" w:space="0"/>
              <w:right w:val="single" w:color="auto" w:sz="2" w:space="0"/>
            </w:tcBorders>
            <w:vAlign w:val="center"/>
          </w:tcPr>
          <w:p w14:paraId="15EAE20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E7E7D2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E6001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C00C7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E20F6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F3014C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4D9941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4E20EC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7D2882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331,375.21</w:t>
            </w:r>
          </w:p>
        </w:tc>
        <w:tc>
          <w:tcPr>
            <w:tcW w:w="741" w:type="dxa"/>
            <w:tcBorders>
              <w:top w:val="single" w:color="auto" w:sz="2" w:space="0"/>
              <w:left w:val="single" w:color="auto" w:sz="2" w:space="0"/>
              <w:bottom w:val="single" w:color="auto" w:sz="2" w:space="0"/>
              <w:right w:val="single" w:color="auto" w:sz="2" w:space="0"/>
            </w:tcBorders>
            <w:vAlign w:val="center"/>
          </w:tcPr>
          <w:p w14:paraId="291C7C4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-331,375.21</w:t>
            </w:r>
          </w:p>
        </w:tc>
        <w:tc>
          <w:tcPr>
            <w:tcW w:w="741" w:type="dxa"/>
            <w:tcBorders>
              <w:top w:val="single" w:color="auto" w:sz="2" w:space="0"/>
              <w:left w:val="single" w:color="auto" w:sz="2" w:space="0"/>
              <w:bottom w:val="single" w:color="auto" w:sz="2" w:space="0"/>
              <w:right w:val="single" w:color="auto" w:sz="2" w:space="0"/>
            </w:tcBorders>
            <w:vAlign w:val="center"/>
          </w:tcPr>
          <w:p w14:paraId="23E7D8D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6EC55EE">
            <w:pPr>
              <w:spacing w:before="0" w:after="0" w:line="240" w:lineRule="exact"/>
              <w:jc w:val="right"/>
              <w:rPr>
                <w:rFonts w:hint="default" w:ascii="Times New Roman" w:hAnsi="Times New Roman" w:eastAsia="宋体" w:cs="Times New Roman"/>
                <w:sz w:val="18"/>
                <w:szCs w:val="18"/>
              </w:rPr>
            </w:pPr>
          </w:p>
        </w:tc>
      </w:tr>
      <w:tr w14:paraId="6F5CF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DAF217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2．对所有者（或股东）的分配</w:t>
            </w:r>
          </w:p>
        </w:tc>
        <w:tc>
          <w:tcPr>
            <w:tcW w:w="741" w:type="dxa"/>
            <w:tcBorders>
              <w:top w:val="single" w:color="auto" w:sz="2" w:space="0"/>
              <w:left w:val="single" w:color="auto" w:sz="2" w:space="0"/>
              <w:bottom w:val="single" w:color="auto" w:sz="2" w:space="0"/>
              <w:right w:val="single" w:color="auto" w:sz="2" w:space="0"/>
            </w:tcBorders>
            <w:vAlign w:val="center"/>
          </w:tcPr>
          <w:p w14:paraId="440FD6C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A4EBA1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6D627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71317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5D165C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B8872A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0A3EFF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D45F4D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3F0AD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EBEE0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A8C691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A1F6BD4">
            <w:pPr>
              <w:spacing w:before="0" w:after="0" w:line="240" w:lineRule="exact"/>
              <w:jc w:val="right"/>
              <w:rPr>
                <w:rFonts w:hint="default" w:ascii="Times New Roman" w:hAnsi="Times New Roman" w:eastAsia="宋体" w:cs="Times New Roman"/>
                <w:sz w:val="18"/>
                <w:szCs w:val="18"/>
              </w:rPr>
            </w:pPr>
          </w:p>
        </w:tc>
      </w:tr>
      <w:tr w14:paraId="0F8CD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E76CF1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3．其他</w:t>
            </w:r>
          </w:p>
        </w:tc>
        <w:tc>
          <w:tcPr>
            <w:tcW w:w="741" w:type="dxa"/>
            <w:tcBorders>
              <w:top w:val="single" w:color="auto" w:sz="2" w:space="0"/>
              <w:left w:val="single" w:color="auto" w:sz="2" w:space="0"/>
              <w:bottom w:val="single" w:color="auto" w:sz="2" w:space="0"/>
              <w:right w:val="single" w:color="auto" w:sz="2" w:space="0"/>
            </w:tcBorders>
            <w:vAlign w:val="center"/>
          </w:tcPr>
          <w:p w14:paraId="0EEF5A0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BB235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619B04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AA7111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86153C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0B6574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CFE8A0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046502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0E210D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401A67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9C8FF9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9DCF62D">
            <w:pPr>
              <w:spacing w:before="0" w:after="0" w:line="240" w:lineRule="exact"/>
              <w:jc w:val="right"/>
              <w:rPr>
                <w:rFonts w:hint="default" w:ascii="Times New Roman" w:hAnsi="Times New Roman" w:eastAsia="宋体" w:cs="Times New Roman"/>
                <w:sz w:val="18"/>
                <w:szCs w:val="18"/>
              </w:rPr>
            </w:pPr>
          </w:p>
        </w:tc>
      </w:tr>
      <w:tr w14:paraId="28F19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D162B1C">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（四）所有者权益内部结转</w:t>
            </w:r>
          </w:p>
        </w:tc>
        <w:tc>
          <w:tcPr>
            <w:tcW w:w="741" w:type="dxa"/>
            <w:tcBorders>
              <w:top w:val="single" w:color="auto" w:sz="2" w:space="0"/>
              <w:left w:val="single" w:color="auto" w:sz="2" w:space="0"/>
              <w:bottom w:val="single" w:color="auto" w:sz="2" w:space="0"/>
              <w:right w:val="single" w:color="auto" w:sz="2" w:space="0"/>
            </w:tcBorders>
            <w:vAlign w:val="center"/>
          </w:tcPr>
          <w:p w14:paraId="3A22672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EAAF5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C8C51F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ACFC72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44BA1B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8D83E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7F4F17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60D2DE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1AADD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50D289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896526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78FABE9">
            <w:pPr>
              <w:spacing w:before="0" w:after="0" w:line="240" w:lineRule="exact"/>
              <w:jc w:val="right"/>
              <w:rPr>
                <w:rFonts w:hint="default" w:ascii="Times New Roman" w:hAnsi="Times New Roman" w:eastAsia="宋体" w:cs="Times New Roman"/>
                <w:sz w:val="18"/>
                <w:szCs w:val="18"/>
              </w:rPr>
            </w:pPr>
          </w:p>
        </w:tc>
      </w:tr>
      <w:tr w14:paraId="6CEDA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9CE153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1．资本公积转增资本（或股本）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14:paraId="121BE76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CD52E8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480137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C29EE4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5AEA5B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1FF906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BEF9CE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EF3F89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3E74DD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82C3BE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A52641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A6AF7B6">
            <w:pPr>
              <w:spacing w:before="0" w:after="0" w:line="240" w:lineRule="exact"/>
              <w:jc w:val="right"/>
              <w:rPr>
                <w:rFonts w:hint="default" w:ascii="Times New Roman" w:hAnsi="Times New Roman" w:eastAsia="宋体" w:cs="Times New Roman"/>
                <w:sz w:val="18"/>
                <w:szCs w:val="18"/>
              </w:rPr>
            </w:pPr>
          </w:p>
        </w:tc>
      </w:tr>
      <w:tr w14:paraId="0440C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374A12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2．盈余公积转增资本（或股本）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14:paraId="48B6486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2E7A56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7267C6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8A0071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786CC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44EF0C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1BCC5A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77F837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01CB18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8932F4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1F1D3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07D9C32">
            <w:pPr>
              <w:spacing w:before="0" w:after="0" w:line="240" w:lineRule="exact"/>
              <w:jc w:val="right"/>
              <w:rPr>
                <w:rFonts w:hint="default" w:ascii="Times New Roman" w:hAnsi="Times New Roman" w:eastAsia="宋体" w:cs="Times New Roman"/>
                <w:sz w:val="18"/>
                <w:szCs w:val="18"/>
              </w:rPr>
            </w:pPr>
          </w:p>
        </w:tc>
      </w:tr>
      <w:tr w14:paraId="47901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1C647C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3．盈余公积弥补亏损</w:t>
            </w:r>
          </w:p>
        </w:tc>
        <w:tc>
          <w:tcPr>
            <w:tcW w:w="741" w:type="dxa"/>
            <w:tcBorders>
              <w:top w:val="single" w:color="auto" w:sz="2" w:space="0"/>
              <w:left w:val="single" w:color="auto" w:sz="2" w:space="0"/>
              <w:bottom w:val="single" w:color="auto" w:sz="2" w:space="0"/>
              <w:right w:val="single" w:color="auto" w:sz="2" w:space="0"/>
            </w:tcBorders>
            <w:vAlign w:val="center"/>
          </w:tcPr>
          <w:p w14:paraId="1F1FC67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8DD5B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9B969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527BE5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F1D916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770D7D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85D7B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920BAA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CA0E69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7178C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F717B3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124152">
            <w:pPr>
              <w:spacing w:before="0" w:after="0" w:line="240" w:lineRule="exact"/>
              <w:jc w:val="right"/>
              <w:rPr>
                <w:rFonts w:hint="default" w:ascii="Times New Roman" w:hAnsi="Times New Roman" w:eastAsia="宋体" w:cs="Times New Roman"/>
                <w:sz w:val="18"/>
                <w:szCs w:val="18"/>
              </w:rPr>
            </w:pPr>
          </w:p>
        </w:tc>
      </w:tr>
      <w:tr w14:paraId="14770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E57136F">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vAlign w:val="center"/>
          </w:tcPr>
          <w:p w14:paraId="2DDAB9D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37EB0B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1B5AFF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7D2B3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79DB9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4430E5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84557E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CABEAD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A1A01B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F66E53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844D23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B007EE6">
            <w:pPr>
              <w:spacing w:before="0" w:after="0" w:line="240" w:lineRule="exact"/>
              <w:jc w:val="right"/>
              <w:rPr>
                <w:rFonts w:hint="default" w:ascii="Times New Roman" w:hAnsi="Times New Roman" w:eastAsia="宋体" w:cs="Times New Roman"/>
                <w:sz w:val="18"/>
                <w:szCs w:val="18"/>
              </w:rPr>
            </w:pPr>
          </w:p>
        </w:tc>
      </w:tr>
      <w:tr w14:paraId="3ED2F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4907F0F">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5．其他综合收益结转留存收益</w:t>
            </w:r>
          </w:p>
        </w:tc>
        <w:tc>
          <w:tcPr>
            <w:tcW w:w="741" w:type="dxa"/>
            <w:tcBorders>
              <w:top w:val="single" w:color="auto" w:sz="2" w:space="0"/>
              <w:left w:val="single" w:color="auto" w:sz="2" w:space="0"/>
              <w:bottom w:val="single" w:color="auto" w:sz="2" w:space="0"/>
              <w:right w:val="single" w:color="auto" w:sz="2" w:space="0"/>
            </w:tcBorders>
            <w:vAlign w:val="center"/>
          </w:tcPr>
          <w:p w14:paraId="1BA4453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5BC73A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73D3F2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127ABC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55277D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37FEA0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D08E62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5486B4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5AA70B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6A031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03CE7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0C97E6">
            <w:pPr>
              <w:spacing w:before="0" w:after="0" w:line="240" w:lineRule="exact"/>
              <w:jc w:val="right"/>
              <w:rPr>
                <w:rFonts w:hint="default" w:ascii="Times New Roman" w:hAnsi="Times New Roman" w:eastAsia="宋体" w:cs="Times New Roman"/>
                <w:sz w:val="18"/>
                <w:szCs w:val="18"/>
              </w:rPr>
            </w:pPr>
          </w:p>
        </w:tc>
      </w:tr>
      <w:tr w14:paraId="40BA6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FBEBCF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6．其他</w:t>
            </w:r>
          </w:p>
        </w:tc>
        <w:tc>
          <w:tcPr>
            <w:tcW w:w="741" w:type="dxa"/>
            <w:tcBorders>
              <w:top w:val="single" w:color="auto" w:sz="2" w:space="0"/>
              <w:left w:val="single" w:color="auto" w:sz="2" w:space="0"/>
              <w:bottom w:val="single" w:color="auto" w:sz="2" w:space="0"/>
              <w:right w:val="single" w:color="auto" w:sz="2" w:space="0"/>
            </w:tcBorders>
            <w:vAlign w:val="center"/>
          </w:tcPr>
          <w:p w14:paraId="1FFF027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DFA29E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89C1D7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CFDE60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96314B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8A7A31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F871E3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917D09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6DFB02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D8FBDD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734460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1B0A5CF">
            <w:pPr>
              <w:spacing w:before="0" w:after="0" w:line="240" w:lineRule="exact"/>
              <w:jc w:val="right"/>
              <w:rPr>
                <w:rFonts w:hint="default" w:ascii="Times New Roman" w:hAnsi="Times New Roman" w:eastAsia="宋体" w:cs="Times New Roman"/>
                <w:sz w:val="18"/>
                <w:szCs w:val="18"/>
              </w:rPr>
            </w:pPr>
          </w:p>
        </w:tc>
      </w:tr>
      <w:tr w14:paraId="36504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750A58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（五）专项储备</w:t>
            </w:r>
          </w:p>
        </w:tc>
        <w:tc>
          <w:tcPr>
            <w:tcW w:w="741" w:type="dxa"/>
            <w:tcBorders>
              <w:top w:val="single" w:color="auto" w:sz="2" w:space="0"/>
              <w:left w:val="single" w:color="auto" w:sz="2" w:space="0"/>
              <w:bottom w:val="single" w:color="auto" w:sz="2" w:space="0"/>
              <w:right w:val="single" w:color="auto" w:sz="2" w:space="0"/>
            </w:tcBorders>
            <w:vAlign w:val="center"/>
          </w:tcPr>
          <w:p w14:paraId="09CC101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037B58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5F7460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3C2F17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355B84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9B961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732392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2467B5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62E73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B0EFB6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C0D3CE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4296A4">
            <w:pPr>
              <w:spacing w:before="0" w:after="0" w:line="240" w:lineRule="exact"/>
              <w:jc w:val="right"/>
              <w:rPr>
                <w:rFonts w:hint="default" w:ascii="Times New Roman" w:hAnsi="Times New Roman" w:eastAsia="宋体" w:cs="Times New Roman"/>
                <w:sz w:val="18"/>
                <w:szCs w:val="18"/>
              </w:rPr>
            </w:pPr>
          </w:p>
        </w:tc>
      </w:tr>
      <w:tr w14:paraId="62790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472C28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1．本期提取</w:t>
            </w:r>
          </w:p>
        </w:tc>
        <w:tc>
          <w:tcPr>
            <w:tcW w:w="741" w:type="dxa"/>
            <w:tcBorders>
              <w:top w:val="single" w:color="auto" w:sz="2" w:space="0"/>
              <w:left w:val="single" w:color="auto" w:sz="2" w:space="0"/>
              <w:bottom w:val="single" w:color="auto" w:sz="2" w:space="0"/>
              <w:right w:val="single" w:color="auto" w:sz="2" w:space="0"/>
            </w:tcBorders>
            <w:vAlign w:val="center"/>
          </w:tcPr>
          <w:p w14:paraId="4A4A9C4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5EF6EC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A500FE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F12EF2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5AD1D8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C5233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D1229B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EE2A58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1BE72E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720088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62BA1F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F0050A">
            <w:pPr>
              <w:spacing w:before="0" w:after="0" w:line="240" w:lineRule="exact"/>
              <w:jc w:val="right"/>
              <w:rPr>
                <w:rFonts w:hint="default" w:ascii="Times New Roman" w:hAnsi="Times New Roman" w:eastAsia="宋体" w:cs="Times New Roman"/>
                <w:sz w:val="18"/>
                <w:szCs w:val="18"/>
              </w:rPr>
            </w:pPr>
          </w:p>
        </w:tc>
      </w:tr>
      <w:tr w14:paraId="164F9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51D81A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2．本期使用</w:t>
            </w:r>
          </w:p>
        </w:tc>
        <w:tc>
          <w:tcPr>
            <w:tcW w:w="741" w:type="dxa"/>
            <w:tcBorders>
              <w:top w:val="single" w:color="auto" w:sz="2" w:space="0"/>
              <w:left w:val="single" w:color="auto" w:sz="2" w:space="0"/>
              <w:bottom w:val="single" w:color="auto" w:sz="2" w:space="0"/>
              <w:right w:val="single" w:color="auto" w:sz="2" w:space="0"/>
            </w:tcBorders>
            <w:vAlign w:val="center"/>
          </w:tcPr>
          <w:p w14:paraId="7ADA767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63020E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422AF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E26209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ACB96A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240903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DA4AFF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AA0A0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CDA4DF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CBAFB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BC21A2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3ACFD89">
            <w:pPr>
              <w:spacing w:before="0" w:after="0" w:line="240" w:lineRule="exact"/>
              <w:jc w:val="right"/>
              <w:rPr>
                <w:rFonts w:hint="default" w:ascii="Times New Roman" w:hAnsi="Times New Roman" w:eastAsia="宋体" w:cs="Times New Roman"/>
                <w:sz w:val="18"/>
                <w:szCs w:val="18"/>
              </w:rPr>
            </w:pPr>
          </w:p>
        </w:tc>
      </w:tr>
      <w:tr w14:paraId="2DF58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ED9EB5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（六）其他</w:t>
            </w:r>
          </w:p>
        </w:tc>
        <w:tc>
          <w:tcPr>
            <w:tcW w:w="741" w:type="dxa"/>
            <w:tcBorders>
              <w:top w:val="single" w:color="auto" w:sz="2" w:space="0"/>
              <w:left w:val="single" w:color="auto" w:sz="2" w:space="0"/>
              <w:bottom w:val="single" w:color="auto" w:sz="2" w:space="0"/>
              <w:right w:val="single" w:color="auto" w:sz="2" w:space="0"/>
            </w:tcBorders>
            <w:vAlign w:val="center"/>
          </w:tcPr>
          <w:p w14:paraId="42456D5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A3ABE5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E5A939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BDFB6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8E10B4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0AF7D9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3AEC8D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3FFD1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5A455B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8E9A8C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2B41B5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E6EAB8">
            <w:pPr>
              <w:spacing w:before="0" w:after="0" w:line="240" w:lineRule="exact"/>
              <w:jc w:val="right"/>
              <w:rPr>
                <w:rFonts w:hint="default" w:ascii="Times New Roman" w:hAnsi="Times New Roman" w:eastAsia="宋体" w:cs="Times New Roman"/>
                <w:sz w:val="18"/>
                <w:szCs w:val="18"/>
              </w:rPr>
            </w:pPr>
          </w:p>
        </w:tc>
      </w:tr>
      <w:tr w14:paraId="61490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029CB4C">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四、本期期末余额</w:t>
            </w:r>
          </w:p>
        </w:tc>
        <w:tc>
          <w:tcPr>
            <w:tcW w:w="741" w:type="dxa"/>
            <w:tcBorders>
              <w:top w:val="single" w:color="auto" w:sz="2" w:space="0"/>
              <w:left w:val="single" w:color="auto" w:sz="2" w:space="0"/>
              <w:bottom w:val="single" w:color="auto" w:sz="2" w:space="0"/>
              <w:right w:val="single" w:color="auto" w:sz="2" w:space="0"/>
            </w:tcBorders>
            <w:vAlign w:val="center"/>
          </w:tcPr>
          <w:p w14:paraId="4A7C10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c>
          <w:tcPr>
            <w:tcW w:w="741" w:type="dxa"/>
            <w:tcBorders>
              <w:top w:val="single" w:color="auto" w:sz="2" w:space="0"/>
              <w:left w:val="single" w:color="auto" w:sz="2" w:space="0"/>
              <w:bottom w:val="single" w:color="auto" w:sz="2" w:space="0"/>
              <w:right w:val="single" w:color="auto" w:sz="2" w:space="0"/>
            </w:tcBorders>
            <w:vAlign w:val="center"/>
          </w:tcPr>
          <w:p w14:paraId="1C5895B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B58356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55614A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41B934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517,060,773.29</w:t>
            </w:r>
          </w:p>
        </w:tc>
        <w:tc>
          <w:tcPr>
            <w:tcW w:w="741" w:type="dxa"/>
            <w:tcBorders>
              <w:top w:val="single" w:color="auto" w:sz="2" w:space="0"/>
              <w:left w:val="single" w:color="auto" w:sz="2" w:space="0"/>
              <w:bottom w:val="single" w:color="auto" w:sz="2" w:space="0"/>
              <w:right w:val="single" w:color="auto" w:sz="2" w:space="0"/>
            </w:tcBorders>
            <w:vAlign w:val="center"/>
          </w:tcPr>
          <w:p w14:paraId="7EDE9D3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C42F5E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-42,500,000.00</w:t>
            </w:r>
          </w:p>
        </w:tc>
        <w:tc>
          <w:tcPr>
            <w:tcW w:w="741" w:type="dxa"/>
            <w:tcBorders>
              <w:top w:val="single" w:color="auto" w:sz="2" w:space="0"/>
              <w:left w:val="single" w:color="auto" w:sz="2" w:space="0"/>
              <w:bottom w:val="single" w:color="auto" w:sz="2" w:space="0"/>
              <w:right w:val="single" w:color="auto" w:sz="2" w:space="0"/>
            </w:tcBorders>
            <w:vAlign w:val="center"/>
          </w:tcPr>
          <w:p w14:paraId="131E0A4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F4CCA0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51,784,646.16</w:t>
            </w:r>
          </w:p>
        </w:tc>
        <w:tc>
          <w:tcPr>
            <w:tcW w:w="741" w:type="dxa"/>
            <w:tcBorders>
              <w:top w:val="single" w:color="auto" w:sz="2" w:space="0"/>
              <w:left w:val="single" w:color="auto" w:sz="2" w:space="0"/>
              <w:bottom w:val="single" w:color="auto" w:sz="2" w:space="0"/>
              <w:right w:val="single" w:color="auto" w:sz="2" w:space="0"/>
            </w:tcBorders>
            <w:vAlign w:val="center"/>
          </w:tcPr>
          <w:p w14:paraId="6FC3F21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2,982,376.85</w:t>
            </w:r>
          </w:p>
        </w:tc>
        <w:tc>
          <w:tcPr>
            <w:tcW w:w="741" w:type="dxa"/>
            <w:tcBorders>
              <w:top w:val="single" w:color="auto" w:sz="2" w:space="0"/>
              <w:left w:val="single" w:color="auto" w:sz="2" w:space="0"/>
              <w:bottom w:val="single" w:color="auto" w:sz="2" w:space="0"/>
              <w:right w:val="single" w:color="auto" w:sz="2" w:space="0"/>
            </w:tcBorders>
            <w:vAlign w:val="center"/>
          </w:tcPr>
          <w:p w14:paraId="385EA6B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D30590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794,483,497.30</w:t>
            </w:r>
          </w:p>
        </w:tc>
      </w:tr>
    </w:tbl>
    <w:p w14:paraId="3E37B427">
      <w:pPr>
        <w:spacing w:before="40" w:after="40" w:line="240" w:lineRule="exact"/>
        <w:jc w:val="left"/>
        <w:rPr>
          <w:rFonts w:ascii="宋体" w:hAnsi="宋体" w:eastAsia="宋体" w:cs="宋体"/>
          <w:sz w:val="18"/>
          <w:szCs w:val="18"/>
        </w:rPr>
      </w:pPr>
      <w:r>
        <w:rPr>
          <w:rFonts w:ascii="宋体" w:hAnsi="宋体" w:eastAsia="宋体" w:cs="宋体"/>
          <w:sz w:val="18"/>
          <w:szCs w:val="18"/>
        </w:rPr>
        <w:t>上期金额</w:t>
      </w:r>
    </w:p>
    <w:p w14:paraId="52C599C1">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pPr w:leftFromText="180" w:rightFromText="180" w:vertAnchor="text" w:horzAnchor="page" w:tblpX="1132" w:tblpY="405"/>
        <w:tblOverlap w:val="never"/>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14:paraId="3F07C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C0F1F1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14:paraId="7EB0E34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2024年度</w:t>
            </w:r>
          </w:p>
        </w:tc>
      </w:tr>
      <w:tr w14:paraId="4F654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C0F1739">
            <w:pPr>
              <w:rPr>
                <w:rFonts w:hint="default" w:ascii="Times New Roman" w:hAnsi="Times New Roman" w:cs="Times New Roman"/>
              </w:rPr>
            </w:pP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FED83D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141EC28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0A49E2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30E31F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87D3B3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ED4C66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3BA838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D1A39D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5404AE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B7B095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所有者权益合计</w:t>
            </w:r>
          </w:p>
        </w:tc>
      </w:tr>
      <w:tr w14:paraId="04FD4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62061CB">
            <w:pPr>
              <w:rPr>
                <w:rFonts w:hint="default" w:ascii="Times New Roman" w:hAnsi="Times New Roman" w:cs="Times New Roman"/>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F54B9FA">
            <w:pPr>
              <w:rPr>
                <w:rFonts w:hint="default" w:ascii="Times New Roman" w:hAnsi="Times New Roman" w:cs="Times New Roman"/>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9244A9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9F6F44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1A2EBC8">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140B4C0">
            <w:pPr>
              <w:rPr>
                <w:rFonts w:hint="default" w:ascii="Times New Roman" w:hAnsi="Times New Roman" w:cs="Times New Roman"/>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BFD0746">
            <w:pPr>
              <w:rPr>
                <w:rFonts w:hint="default" w:ascii="Times New Roman" w:hAnsi="Times New Roman" w:cs="Times New Roman"/>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5DED6CE">
            <w:pPr>
              <w:rPr>
                <w:rFonts w:hint="default" w:ascii="Times New Roman" w:hAnsi="Times New Roman" w:cs="Times New Roman"/>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14:paraId="1941DB83">
            <w:pPr>
              <w:rPr>
                <w:rFonts w:hint="default" w:ascii="Times New Roman" w:hAnsi="Times New Roman" w:cs="Times New Roman"/>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0568692">
            <w:pPr>
              <w:rPr>
                <w:rFonts w:hint="default" w:ascii="Times New Roman" w:hAnsi="Times New Roman" w:cs="Times New Roman"/>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9361D93">
            <w:pPr>
              <w:rPr>
                <w:rFonts w:hint="default" w:ascii="Times New Roman" w:hAnsi="Times New Roman" w:cs="Times New Roman"/>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14:paraId="66766939">
            <w:pPr>
              <w:rPr>
                <w:rFonts w:hint="default" w:ascii="Times New Roman" w:hAnsi="Times New Roman" w:cs="Times New Roman"/>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D5050A7">
            <w:pPr>
              <w:rPr>
                <w:rFonts w:hint="default" w:ascii="Times New Roman" w:hAnsi="Times New Roman" w:cs="Times New Roman"/>
              </w:rPr>
            </w:pPr>
          </w:p>
        </w:tc>
      </w:tr>
      <w:tr w14:paraId="25A0A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4C56BD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一、上年期末余额</w:t>
            </w:r>
          </w:p>
        </w:tc>
        <w:tc>
          <w:tcPr>
            <w:tcW w:w="741" w:type="dxa"/>
            <w:tcBorders>
              <w:top w:val="single" w:color="auto" w:sz="2" w:space="0"/>
              <w:left w:val="single" w:color="auto" w:sz="2" w:space="0"/>
              <w:bottom w:val="single" w:color="auto" w:sz="2" w:space="0"/>
              <w:right w:val="single" w:color="auto" w:sz="2" w:space="0"/>
            </w:tcBorders>
            <w:vAlign w:val="center"/>
          </w:tcPr>
          <w:p w14:paraId="28144DF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c>
          <w:tcPr>
            <w:tcW w:w="741" w:type="dxa"/>
            <w:tcBorders>
              <w:top w:val="single" w:color="auto" w:sz="2" w:space="0"/>
              <w:left w:val="single" w:color="auto" w:sz="2" w:space="0"/>
              <w:bottom w:val="single" w:color="auto" w:sz="2" w:space="0"/>
              <w:right w:val="single" w:color="auto" w:sz="2" w:space="0"/>
            </w:tcBorders>
            <w:vAlign w:val="center"/>
          </w:tcPr>
          <w:p w14:paraId="0CE555F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5902EA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A2F4BF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DFF19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517,060,773.29</w:t>
            </w:r>
          </w:p>
        </w:tc>
        <w:tc>
          <w:tcPr>
            <w:tcW w:w="741" w:type="dxa"/>
            <w:tcBorders>
              <w:top w:val="single" w:color="auto" w:sz="2" w:space="0"/>
              <w:left w:val="single" w:color="auto" w:sz="2" w:space="0"/>
              <w:bottom w:val="single" w:color="auto" w:sz="2" w:space="0"/>
              <w:right w:val="single" w:color="auto" w:sz="2" w:space="0"/>
            </w:tcBorders>
            <w:vAlign w:val="center"/>
          </w:tcPr>
          <w:p w14:paraId="519DA6E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ED41FF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-42,500,000.00</w:t>
            </w:r>
          </w:p>
        </w:tc>
        <w:tc>
          <w:tcPr>
            <w:tcW w:w="741" w:type="dxa"/>
            <w:tcBorders>
              <w:top w:val="single" w:color="auto" w:sz="2" w:space="0"/>
              <w:left w:val="single" w:color="auto" w:sz="2" w:space="0"/>
              <w:bottom w:val="single" w:color="auto" w:sz="2" w:space="0"/>
              <w:right w:val="single" w:color="auto" w:sz="2" w:space="0"/>
            </w:tcBorders>
            <w:vAlign w:val="center"/>
          </w:tcPr>
          <w:p w14:paraId="2F78EE7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566F7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47,920,081.80</w:t>
            </w:r>
          </w:p>
        </w:tc>
        <w:tc>
          <w:tcPr>
            <w:tcW w:w="741" w:type="dxa"/>
            <w:tcBorders>
              <w:top w:val="single" w:color="auto" w:sz="2" w:space="0"/>
              <w:left w:val="single" w:color="auto" w:sz="2" w:space="0"/>
              <w:bottom w:val="single" w:color="auto" w:sz="2" w:space="0"/>
              <w:right w:val="single" w:color="auto" w:sz="2" w:space="0"/>
            </w:tcBorders>
            <w:vAlign w:val="center"/>
          </w:tcPr>
          <w:p w14:paraId="2CF3CD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-73,687,917.38</w:t>
            </w:r>
          </w:p>
        </w:tc>
        <w:tc>
          <w:tcPr>
            <w:tcW w:w="741" w:type="dxa"/>
            <w:tcBorders>
              <w:top w:val="single" w:color="auto" w:sz="2" w:space="0"/>
              <w:left w:val="single" w:color="auto" w:sz="2" w:space="0"/>
              <w:bottom w:val="single" w:color="auto" w:sz="2" w:space="0"/>
              <w:right w:val="single" w:color="auto" w:sz="2" w:space="0"/>
            </w:tcBorders>
            <w:vAlign w:val="center"/>
          </w:tcPr>
          <w:p w14:paraId="65FE8C3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37C4F7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713,948,638.71</w:t>
            </w:r>
          </w:p>
        </w:tc>
      </w:tr>
      <w:tr w14:paraId="0D65B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B48BB2F">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加：会计政策变更</w:t>
            </w:r>
          </w:p>
        </w:tc>
        <w:tc>
          <w:tcPr>
            <w:tcW w:w="741" w:type="dxa"/>
            <w:tcBorders>
              <w:top w:val="single" w:color="auto" w:sz="2" w:space="0"/>
              <w:left w:val="single" w:color="auto" w:sz="2" w:space="0"/>
              <w:bottom w:val="single" w:color="auto" w:sz="2" w:space="0"/>
              <w:right w:val="single" w:color="auto" w:sz="2" w:space="0"/>
            </w:tcBorders>
            <w:vAlign w:val="center"/>
          </w:tcPr>
          <w:p w14:paraId="443B268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4AE05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BCCC37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197497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4FE847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3D805B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96B102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079FE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12C61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21B837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24E48A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A3C1E64">
            <w:pPr>
              <w:spacing w:before="0" w:after="0" w:line="240" w:lineRule="exact"/>
              <w:jc w:val="right"/>
              <w:rPr>
                <w:rFonts w:hint="default" w:ascii="Times New Roman" w:hAnsi="Times New Roman" w:eastAsia="宋体" w:cs="Times New Roman"/>
                <w:sz w:val="18"/>
                <w:szCs w:val="18"/>
              </w:rPr>
            </w:pPr>
          </w:p>
        </w:tc>
      </w:tr>
      <w:tr w14:paraId="6CE51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35EF23B">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前期差错更正</w:t>
            </w:r>
          </w:p>
        </w:tc>
        <w:tc>
          <w:tcPr>
            <w:tcW w:w="741" w:type="dxa"/>
            <w:tcBorders>
              <w:top w:val="single" w:color="auto" w:sz="2" w:space="0"/>
              <w:left w:val="single" w:color="auto" w:sz="2" w:space="0"/>
              <w:bottom w:val="single" w:color="auto" w:sz="2" w:space="0"/>
              <w:right w:val="single" w:color="auto" w:sz="2" w:space="0"/>
            </w:tcBorders>
            <w:vAlign w:val="center"/>
          </w:tcPr>
          <w:p w14:paraId="0BF13F7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35268C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60F184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8CD914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ABE555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3E76A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01376E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91EFC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37ECA6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F85B58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A059A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74D9290">
            <w:pPr>
              <w:spacing w:before="0" w:after="0" w:line="240" w:lineRule="exact"/>
              <w:jc w:val="right"/>
              <w:rPr>
                <w:rFonts w:hint="default" w:ascii="Times New Roman" w:hAnsi="Times New Roman" w:eastAsia="宋体" w:cs="Times New Roman"/>
                <w:sz w:val="18"/>
                <w:szCs w:val="18"/>
              </w:rPr>
            </w:pPr>
          </w:p>
        </w:tc>
      </w:tr>
      <w:tr w14:paraId="5DC8D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754FC2C">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741" w:type="dxa"/>
            <w:tcBorders>
              <w:top w:val="single" w:color="auto" w:sz="2" w:space="0"/>
              <w:left w:val="single" w:color="auto" w:sz="2" w:space="0"/>
              <w:bottom w:val="single" w:color="auto" w:sz="2" w:space="0"/>
              <w:right w:val="single" w:color="auto" w:sz="2" w:space="0"/>
            </w:tcBorders>
            <w:vAlign w:val="center"/>
          </w:tcPr>
          <w:p w14:paraId="0C0BF05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F17D5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956646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D5721B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6B0055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EDFBCF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445406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09D2A5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CC6D4B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5EB724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A2B443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DD1D97">
            <w:pPr>
              <w:spacing w:before="0" w:after="0" w:line="240" w:lineRule="exact"/>
              <w:jc w:val="right"/>
              <w:rPr>
                <w:rFonts w:hint="default" w:ascii="Times New Roman" w:hAnsi="Times New Roman" w:eastAsia="宋体" w:cs="Times New Roman"/>
                <w:sz w:val="18"/>
                <w:szCs w:val="18"/>
              </w:rPr>
            </w:pPr>
          </w:p>
        </w:tc>
      </w:tr>
      <w:tr w14:paraId="0019E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7765DE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二、本年期初余额</w:t>
            </w:r>
          </w:p>
        </w:tc>
        <w:tc>
          <w:tcPr>
            <w:tcW w:w="741" w:type="dxa"/>
            <w:tcBorders>
              <w:top w:val="single" w:color="auto" w:sz="2" w:space="0"/>
              <w:left w:val="single" w:color="auto" w:sz="2" w:space="0"/>
              <w:bottom w:val="single" w:color="auto" w:sz="2" w:space="0"/>
              <w:right w:val="single" w:color="auto" w:sz="2" w:space="0"/>
            </w:tcBorders>
            <w:vAlign w:val="center"/>
          </w:tcPr>
          <w:p w14:paraId="5526F9D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c>
          <w:tcPr>
            <w:tcW w:w="741" w:type="dxa"/>
            <w:tcBorders>
              <w:top w:val="single" w:color="auto" w:sz="2" w:space="0"/>
              <w:left w:val="single" w:color="auto" w:sz="2" w:space="0"/>
              <w:bottom w:val="single" w:color="auto" w:sz="2" w:space="0"/>
              <w:right w:val="single" w:color="auto" w:sz="2" w:space="0"/>
            </w:tcBorders>
            <w:vAlign w:val="center"/>
          </w:tcPr>
          <w:p w14:paraId="7EC83B3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9B9D93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21555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11A023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517,060,773.29</w:t>
            </w:r>
          </w:p>
        </w:tc>
        <w:tc>
          <w:tcPr>
            <w:tcW w:w="741" w:type="dxa"/>
            <w:tcBorders>
              <w:top w:val="single" w:color="auto" w:sz="2" w:space="0"/>
              <w:left w:val="single" w:color="auto" w:sz="2" w:space="0"/>
              <w:bottom w:val="single" w:color="auto" w:sz="2" w:space="0"/>
              <w:right w:val="single" w:color="auto" w:sz="2" w:space="0"/>
            </w:tcBorders>
            <w:vAlign w:val="center"/>
          </w:tcPr>
          <w:p w14:paraId="6256533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6D3673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-42,500,000.00</w:t>
            </w:r>
          </w:p>
        </w:tc>
        <w:tc>
          <w:tcPr>
            <w:tcW w:w="741" w:type="dxa"/>
            <w:tcBorders>
              <w:top w:val="single" w:color="auto" w:sz="2" w:space="0"/>
              <w:left w:val="single" w:color="auto" w:sz="2" w:space="0"/>
              <w:bottom w:val="single" w:color="auto" w:sz="2" w:space="0"/>
              <w:right w:val="single" w:color="auto" w:sz="2" w:space="0"/>
            </w:tcBorders>
            <w:vAlign w:val="center"/>
          </w:tcPr>
          <w:p w14:paraId="602BDB2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ABC4E0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47,920,081.80</w:t>
            </w:r>
          </w:p>
        </w:tc>
        <w:tc>
          <w:tcPr>
            <w:tcW w:w="741" w:type="dxa"/>
            <w:tcBorders>
              <w:top w:val="single" w:color="auto" w:sz="2" w:space="0"/>
              <w:left w:val="single" w:color="auto" w:sz="2" w:space="0"/>
              <w:bottom w:val="single" w:color="auto" w:sz="2" w:space="0"/>
              <w:right w:val="single" w:color="auto" w:sz="2" w:space="0"/>
            </w:tcBorders>
            <w:vAlign w:val="center"/>
          </w:tcPr>
          <w:p w14:paraId="456388A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-73,687,917.38</w:t>
            </w:r>
          </w:p>
        </w:tc>
        <w:tc>
          <w:tcPr>
            <w:tcW w:w="741" w:type="dxa"/>
            <w:tcBorders>
              <w:top w:val="single" w:color="auto" w:sz="2" w:space="0"/>
              <w:left w:val="single" w:color="auto" w:sz="2" w:space="0"/>
              <w:bottom w:val="single" w:color="auto" w:sz="2" w:space="0"/>
              <w:right w:val="single" w:color="auto" w:sz="2" w:space="0"/>
            </w:tcBorders>
            <w:vAlign w:val="center"/>
          </w:tcPr>
          <w:p w14:paraId="2564411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EC7C0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713,948,638.71</w:t>
            </w:r>
          </w:p>
        </w:tc>
      </w:tr>
      <w:tr w14:paraId="45564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8F5149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vAlign w:val="center"/>
          </w:tcPr>
          <w:p w14:paraId="19ED2A3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F564C2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C6FC15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3B01C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533E40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66ABAF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81FB58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46D5B0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A3D84A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3,533,189.15</w:t>
            </w:r>
          </w:p>
        </w:tc>
        <w:tc>
          <w:tcPr>
            <w:tcW w:w="741" w:type="dxa"/>
            <w:tcBorders>
              <w:top w:val="single" w:color="auto" w:sz="2" w:space="0"/>
              <w:left w:val="single" w:color="auto" w:sz="2" w:space="0"/>
              <w:bottom w:val="single" w:color="auto" w:sz="2" w:space="0"/>
              <w:right w:val="single" w:color="auto" w:sz="2" w:space="0"/>
            </w:tcBorders>
            <w:vAlign w:val="center"/>
          </w:tcPr>
          <w:p w14:paraId="72E771A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31,798,702.33</w:t>
            </w:r>
          </w:p>
        </w:tc>
        <w:tc>
          <w:tcPr>
            <w:tcW w:w="741" w:type="dxa"/>
            <w:tcBorders>
              <w:top w:val="single" w:color="auto" w:sz="2" w:space="0"/>
              <w:left w:val="single" w:color="auto" w:sz="2" w:space="0"/>
              <w:bottom w:val="single" w:color="auto" w:sz="2" w:space="0"/>
              <w:right w:val="single" w:color="auto" w:sz="2" w:space="0"/>
            </w:tcBorders>
            <w:vAlign w:val="center"/>
          </w:tcPr>
          <w:p w14:paraId="0A6B63E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9F4425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35,331,891.48</w:t>
            </w:r>
          </w:p>
        </w:tc>
      </w:tr>
      <w:tr w14:paraId="2EBA7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3B74B8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（一）综合收益总额</w:t>
            </w:r>
          </w:p>
        </w:tc>
        <w:tc>
          <w:tcPr>
            <w:tcW w:w="741" w:type="dxa"/>
            <w:tcBorders>
              <w:top w:val="single" w:color="auto" w:sz="2" w:space="0"/>
              <w:left w:val="single" w:color="auto" w:sz="2" w:space="0"/>
              <w:bottom w:val="single" w:color="auto" w:sz="2" w:space="0"/>
              <w:right w:val="single" w:color="auto" w:sz="2" w:space="0"/>
            </w:tcBorders>
            <w:vAlign w:val="center"/>
          </w:tcPr>
          <w:p w14:paraId="3CC14E9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2D2F88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937EC1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FDF23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531E12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531CC5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E78B25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E1EA5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BF4FE9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6EC6B6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35,331,891.48</w:t>
            </w:r>
          </w:p>
        </w:tc>
        <w:tc>
          <w:tcPr>
            <w:tcW w:w="741" w:type="dxa"/>
            <w:tcBorders>
              <w:top w:val="single" w:color="auto" w:sz="2" w:space="0"/>
              <w:left w:val="single" w:color="auto" w:sz="2" w:space="0"/>
              <w:bottom w:val="single" w:color="auto" w:sz="2" w:space="0"/>
              <w:right w:val="single" w:color="auto" w:sz="2" w:space="0"/>
            </w:tcBorders>
            <w:vAlign w:val="center"/>
          </w:tcPr>
          <w:p w14:paraId="200ABAB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D8D8F9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35,331,891.48</w:t>
            </w:r>
          </w:p>
        </w:tc>
      </w:tr>
      <w:tr w14:paraId="34AF9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897A38F">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（二）所有者投入和减少资本</w:t>
            </w:r>
          </w:p>
        </w:tc>
        <w:tc>
          <w:tcPr>
            <w:tcW w:w="741" w:type="dxa"/>
            <w:tcBorders>
              <w:top w:val="single" w:color="auto" w:sz="2" w:space="0"/>
              <w:left w:val="single" w:color="auto" w:sz="2" w:space="0"/>
              <w:bottom w:val="single" w:color="auto" w:sz="2" w:space="0"/>
              <w:right w:val="single" w:color="auto" w:sz="2" w:space="0"/>
            </w:tcBorders>
            <w:vAlign w:val="center"/>
          </w:tcPr>
          <w:p w14:paraId="27835D4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A039EB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6539AD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94F6C8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F45E35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F25AA6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24F35A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D99C2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FC6C4F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433F9C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663F2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7BFC7D0">
            <w:pPr>
              <w:spacing w:before="0" w:after="0" w:line="240" w:lineRule="exact"/>
              <w:jc w:val="right"/>
              <w:rPr>
                <w:rFonts w:hint="default" w:ascii="Times New Roman" w:hAnsi="Times New Roman" w:eastAsia="宋体" w:cs="Times New Roman"/>
                <w:sz w:val="18"/>
                <w:szCs w:val="18"/>
              </w:rPr>
            </w:pPr>
          </w:p>
        </w:tc>
      </w:tr>
      <w:tr w14:paraId="3743B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D805E8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1．所有者投入的普通股</w:t>
            </w:r>
          </w:p>
        </w:tc>
        <w:tc>
          <w:tcPr>
            <w:tcW w:w="741" w:type="dxa"/>
            <w:tcBorders>
              <w:top w:val="single" w:color="auto" w:sz="2" w:space="0"/>
              <w:left w:val="single" w:color="auto" w:sz="2" w:space="0"/>
              <w:bottom w:val="single" w:color="auto" w:sz="2" w:space="0"/>
              <w:right w:val="single" w:color="auto" w:sz="2" w:space="0"/>
            </w:tcBorders>
            <w:vAlign w:val="center"/>
          </w:tcPr>
          <w:p w14:paraId="7FA5F10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6F5598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2EBE99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91EFF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CE5C3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054A19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0D7718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A8EBE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CE50D3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11AFA0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F04AA4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4FD6FCE">
            <w:pPr>
              <w:spacing w:before="0" w:after="0" w:line="240" w:lineRule="exact"/>
              <w:jc w:val="right"/>
              <w:rPr>
                <w:rFonts w:hint="default" w:ascii="Times New Roman" w:hAnsi="Times New Roman" w:eastAsia="宋体" w:cs="Times New Roman"/>
                <w:sz w:val="18"/>
                <w:szCs w:val="18"/>
              </w:rPr>
            </w:pPr>
          </w:p>
        </w:tc>
      </w:tr>
      <w:tr w14:paraId="2AD47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BCEF56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vAlign w:val="center"/>
          </w:tcPr>
          <w:p w14:paraId="5058527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57E90E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BA3740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E204CA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F5C9F6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C361F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3B4514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7BC316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E30D82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9E5D07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52D030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EA00F25">
            <w:pPr>
              <w:spacing w:before="0" w:after="0" w:line="240" w:lineRule="exact"/>
              <w:jc w:val="right"/>
              <w:rPr>
                <w:rFonts w:hint="default" w:ascii="Times New Roman" w:hAnsi="Times New Roman" w:eastAsia="宋体" w:cs="Times New Roman"/>
                <w:sz w:val="18"/>
                <w:szCs w:val="18"/>
              </w:rPr>
            </w:pPr>
          </w:p>
        </w:tc>
      </w:tr>
      <w:tr w14:paraId="48496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3C3E494">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vAlign w:val="center"/>
          </w:tcPr>
          <w:p w14:paraId="4C7956F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77B07A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20275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F67CD0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594F89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DCACB3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F3936A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3697A0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D3312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321752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52493C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1C957E6">
            <w:pPr>
              <w:spacing w:before="0" w:after="0" w:line="240" w:lineRule="exact"/>
              <w:jc w:val="right"/>
              <w:rPr>
                <w:rFonts w:hint="default" w:ascii="Times New Roman" w:hAnsi="Times New Roman" w:eastAsia="宋体" w:cs="Times New Roman"/>
                <w:sz w:val="18"/>
                <w:szCs w:val="18"/>
              </w:rPr>
            </w:pPr>
          </w:p>
        </w:tc>
      </w:tr>
      <w:tr w14:paraId="4EA29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18EF1A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4．其他</w:t>
            </w:r>
          </w:p>
        </w:tc>
        <w:tc>
          <w:tcPr>
            <w:tcW w:w="741" w:type="dxa"/>
            <w:tcBorders>
              <w:top w:val="single" w:color="auto" w:sz="2" w:space="0"/>
              <w:left w:val="single" w:color="auto" w:sz="2" w:space="0"/>
              <w:bottom w:val="single" w:color="auto" w:sz="2" w:space="0"/>
              <w:right w:val="single" w:color="auto" w:sz="2" w:space="0"/>
            </w:tcBorders>
            <w:vAlign w:val="center"/>
          </w:tcPr>
          <w:p w14:paraId="3FDA6F7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C7B1BA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D0E547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6362D0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5843CE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37DEC8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763658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257CA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07FF3B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E62ABE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E3F24B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3A90BE3">
            <w:pPr>
              <w:spacing w:before="0" w:after="0" w:line="240" w:lineRule="exact"/>
              <w:jc w:val="right"/>
              <w:rPr>
                <w:rFonts w:hint="default" w:ascii="Times New Roman" w:hAnsi="Times New Roman" w:eastAsia="宋体" w:cs="Times New Roman"/>
                <w:sz w:val="18"/>
                <w:szCs w:val="18"/>
              </w:rPr>
            </w:pPr>
          </w:p>
        </w:tc>
      </w:tr>
      <w:tr w14:paraId="72F46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025123C">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（三）利润分配</w:t>
            </w:r>
          </w:p>
        </w:tc>
        <w:tc>
          <w:tcPr>
            <w:tcW w:w="741" w:type="dxa"/>
            <w:tcBorders>
              <w:top w:val="single" w:color="auto" w:sz="2" w:space="0"/>
              <w:left w:val="single" w:color="auto" w:sz="2" w:space="0"/>
              <w:bottom w:val="single" w:color="auto" w:sz="2" w:space="0"/>
              <w:right w:val="single" w:color="auto" w:sz="2" w:space="0"/>
            </w:tcBorders>
            <w:vAlign w:val="center"/>
          </w:tcPr>
          <w:p w14:paraId="3838113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621EA2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E6FE55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A10DE7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E0186A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2040DC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66FEB9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75F7FD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DD04CE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3,533,189.15</w:t>
            </w:r>
          </w:p>
        </w:tc>
        <w:tc>
          <w:tcPr>
            <w:tcW w:w="741" w:type="dxa"/>
            <w:tcBorders>
              <w:top w:val="single" w:color="auto" w:sz="2" w:space="0"/>
              <w:left w:val="single" w:color="auto" w:sz="2" w:space="0"/>
              <w:bottom w:val="single" w:color="auto" w:sz="2" w:space="0"/>
              <w:right w:val="single" w:color="auto" w:sz="2" w:space="0"/>
            </w:tcBorders>
            <w:vAlign w:val="center"/>
          </w:tcPr>
          <w:p w14:paraId="79FFBC6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-3,533,189.15</w:t>
            </w:r>
          </w:p>
        </w:tc>
        <w:tc>
          <w:tcPr>
            <w:tcW w:w="741" w:type="dxa"/>
            <w:tcBorders>
              <w:top w:val="single" w:color="auto" w:sz="2" w:space="0"/>
              <w:left w:val="single" w:color="auto" w:sz="2" w:space="0"/>
              <w:bottom w:val="single" w:color="auto" w:sz="2" w:space="0"/>
              <w:right w:val="single" w:color="auto" w:sz="2" w:space="0"/>
            </w:tcBorders>
            <w:vAlign w:val="center"/>
          </w:tcPr>
          <w:p w14:paraId="5425189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6AB2EAE">
            <w:pPr>
              <w:spacing w:before="0" w:after="0" w:line="240" w:lineRule="exact"/>
              <w:jc w:val="right"/>
              <w:rPr>
                <w:rFonts w:hint="default" w:ascii="Times New Roman" w:hAnsi="Times New Roman" w:eastAsia="宋体" w:cs="Times New Roman"/>
                <w:sz w:val="18"/>
                <w:szCs w:val="18"/>
              </w:rPr>
            </w:pPr>
          </w:p>
        </w:tc>
      </w:tr>
      <w:tr w14:paraId="45848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DFFEAB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1．提取盈余公积</w:t>
            </w:r>
          </w:p>
        </w:tc>
        <w:tc>
          <w:tcPr>
            <w:tcW w:w="741" w:type="dxa"/>
            <w:tcBorders>
              <w:top w:val="single" w:color="auto" w:sz="2" w:space="0"/>
              <w:left w:val="single" w:color="auto" w:sz="2" w:space="0"/>
              <w:bottom w:val="single" w:color="auto" w:sz="2" w:space="0"/>
              <w:right w:val="single" w:color="auto" w:sz="2" w:space="0"/>
            </w:tcBorders>
            <w:vAlign w:val="center"/>
          </w:tcPr>
          <w:p w14:paraId="6CE06C8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D8CD80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B0B66F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4ACCF0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1CCE9F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4A4842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5D1E9F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C53E6F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E01523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3,533,189.15</w:t>
            </w:r>
          </w:p>
        </w:tc>
        <w:tc>
          <w:tcPr>
            <w:tcW w:w="741" w:type="dxa"/>
            <w:tcBorders>
              <w:top w:val="single" w:color="auto" w:sz="2" w:space="0"/>
              <w:left w:val="single" w:color="auto" w:sz="2" w:space="0"/>
              <w:bottom w:val="single" w:color="auto" w:sz="2" w:space="0"/>
              <w:right w:val="single" w:color="auto" w:sz="2" w:space="0"/>
            </w:tcBorders>
            <w:vAlign w:val="center"/>
          </w:tcPr>
          <w:p w14:paraId="3F5EC0E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-3,533,189.15</w:t>
            </w:r>
          </w:p>
        </w:tc>
        <w:tc>
          <w:tcPr>
            <w:tcW w:w="741" w:type="dxa"/>
            <w:tcBorders>
              <w:top w:val="single" w:color="auto" w:sz="2" w:space="0"/>
              <w:left w:val="single" w:color="auto" w:sz="2" w:space="0"/>
              <w:bottom w:val="single" w:color="auto" w:sz="2" w:space="0"/>
              <w:right w:val="single" w:color="auto" w:sz="2" w:space="0"/>
            </w:tcBorders>
            <w:vAlign w:val="center"/>
          </w:tcPr>
          <w:p w14:paraId="6C7C9D8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81E1BF7">
            <w:pPr>
              <w:spacing w:before="0" w:after="0" w:line="240" w:lineRule="exact"/>
              <w:jc w:val="right"/>
              <w:rPr>
                <w:rFonts w:hint="default" w:ascii="Times New Roman" w:hAnsi="Times New Roman" w:eastAsia="宋体" w:cs="Times New Roman"/>
                <w:sz w:val="18"/>
                <w:szCs w:val="18"/>
              </w:rPr>
            </w:pPr>
          </w:p>
        </w:tc>
      </w:tr>
      <w:tr w14:paraId="72F4B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6FC19F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2．对所有者（或股东）的分配</w:t>
            </w:r>
          </w:p>
        </w:tc>
        <w:tc>
          <w:tcPr>
            <w:tcW w:w="741" w:type="dxa"/>
            <w:tcBorders>
              <w:top w:val="single" w:color="auto" w:sz="2" w:space="0"/>
              <w:left w:val="single" w:color="auto" w:sz="2" w:space="0"/>
              <w:bottom w:val="single" w:color="auto" w:sz="2" w:space="0"/>
              <w:right w:val="single" w:color="auto" w:sz="2" w:space="0"/>
            </w:tcBorders>
            <w:vAlign w:val="center"/>
          </w:tcPr>
          <w:p w14:paraId="7710CEA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626B5F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797DDB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AB35D7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96077F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6BA40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392854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003FBE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79509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64CBD1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627D6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1E78E04">
            <w:pPr>
              <w:spacing w:before="0" w:after="0" w:line="240" w:lineRule="exact"/>
              <w:jc w:val="right"/>
              <w:rPr>
                <w:rFonts w:hint="default" w:ascii="Times New Roman" w:hAnsi="Times New Roman" w:eastAsia="宋体" w:cs="Times New Roman"/>
                <w:sz w:val="18"/>
                <w:szCs w:val="18"/>
              </w:rPr>
            </w:pPr>
          </w:p>
        </w:tc>
      </w:tr>
      <w:tr w14:paraId="40AC5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2B77DEF">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3．其他</w:t>
            </w:r>
          </w:p>
        </w:tc>
        <w:tc>
          <w:tcPr>
            <w:tcW w:w="741" w:type="dxa"/>
            <w:tcBorders>
              <w:top w:val="single" w:color="auto" w:sz="2" w:space="0"/>
              <w:left w:val="single" w:color="auto" w:sz="2" w:space="0"/>
              <w:bottom w:val="single" w:color="auto" w:sz="2" w:space="0"/>
              <w:right w:val="single" w:color="auto" w:sz="2" w:space="0"/>
            </w:tcBorders>
            <w:vAlign w:val="center"/>
          </w:tcPr>
          <w:p w14:paraId="2B89570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E29FE8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02476C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B9A279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A8F47C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64D9B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C0B78E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7524AA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606D3A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F13C1B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B3B276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457C31B">
            <w:pPr>
              <w:spacing w:before="0" w:after="0" w:line="240" w:lineRule="exact"/>
              <w:jc w:val="right"/>
              <w:rPr>
                <w:rFonts w:hint="default" w:ascii="Times New Roman" w:hAnsi="Times New Roman" w:eastAsia="宋体" w:cs="Times New Roman"/>
                <w:sz w:val="18"/>
                <w:szCs w:val="18"/>
              </w:rPr>
            </w:pPr>
          </w:p>
        </w:tc>
      </w:tr>
      <w:tr w14:paraId="4D200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6056A4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（四）所有者权益内部结转</w:t>
            </w:r>
          </w:p>
        </w:tc>
        <w:tc>
          <w:tcPr>
            <w:tcW w:w="741" w:type="dxa"/>
            <w:tcBorders>
              <w:top w:val="single" w:color="auto" w:sz="2" w:space="0"/>
              <w:left w:val="single" w:color="auto" w:sz="2" w:space="0"/>
              <w:bottom w:val="single" w:color="auto" w:sz="2" w:space="0"/>
              <w:right w:val="single" w:color="auto" w:sz="2" w:space="0"/>
            </w:tcBorders>
            <w:vAlign w:val="center"/>
          </w:tcPr>
          <w:p w14:paraId="1A55E3C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3BB417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5BE2A0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A38941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E3047D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19C697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F81663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07495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F63EDD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22C208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0C8355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E2CD909">
            <w:pPr>
              <w:spacing w:before="0" w:after="0" w:line="240" w:lineRule="exact"/>
              <w:jc w:val="right"/>
              <w:rPr>
                <w:rFonts w:hint="default" w:ascii="Times New Roman" w:hAnsi="Times New Roman" w:eastAsia="宋体" w:cs="Times New Roman"/>
                <w:sz w:val="18"/>
                <w:szCs w:val="18"/>
              </w:rPr>
            </w:pPr>
          </w:p>
        </w:tc>
      </w:tr>
      <w:tr w14:paraId="4023E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BC190E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1．资本公积转增资本（或股本）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14:paraId="704F3CB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136E7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4DEA31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0BA5C4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5A01E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2C3096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6EFE5D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92DAC9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1092AC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BBEA6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20DAA3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AECED2F">
            <w:pPr>
              <w:spacing w:before="0" w:after="0" w:line="240" w:lineRule="exact"/>
              <w:jc w:val="right"/>
              <w:rPr>
                <w:rFonts w:hint="default" w:ascii="Times New Roman" w:hAnsi="Times New Roman" w:eastAsia="宋体" w:cs="Times New Roman"/>
                <w:sz w:val="18"/>
                <w:szCs w:val="18"/>
              </w:rPr>
            </w:pPr>
          </w:p>
        </w:tc>
      </w:tr>
      <w:tr w14:paraId="53A67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A76226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2．盈余公积转增资本（或股本）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14:paraId="7DCF8B3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3074EE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ADABB5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F8FE39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F1EBC1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9AC3D9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B4C791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A62CB4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47C56F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377380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0D489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40181C7">
            <w:pPr>
              <w:spacing w:before="0" w:after="0" w:line="240" w:lineRule="exact"/>
              <w:jc w:val="right"/>
              <w:rPr>
                <w:rFonts w:hint="default" w:ascii="Times New Roman" w:hAnsi="Times New Roman" w:eastAsia="宋体" w:cs="Times New Roman"/>
                <w:sz w:val="18"/>
                <w:szCs w:val="18"/>
              </w:rPr>
            </w:pPr>
          </w:p>
        </w:tc>
      </w:tr>
      <w:tr w14:paraId="0BC7C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6BAB44F">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3．盈余公积弥补亏损</w:t>
            </w:r>
          </w:p>
        </w:tc>
        <w:tc>
          <w:tcPr>
            <w:tcW w:w="741" w:type="dxa"/>
            <w:tcBorders>
              <w:top w:val="single" w:color="auto" w:sz="2" w:space="0"/>
              <w:left w:val="single" w:color="auto" w:sz="2" w:space="0"/>
              <w:bottom w:val="single" w:color="auto" w:sz="2" w:space="0"/>
              <w:right w:val="single" w:color="auto" w:sz="2" w:space="0"/>
            </w:tcBorders>
            <w:vAlign w:val="center"/>
          </w:tcPr>
          <w:p w14:paraId="34E323A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130A6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B7A38D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DA7C57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71FC0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5C70C1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E1DCFF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DB392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61AF79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5E8878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56366F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3495BAD">
            <w:pPr>
              <w:spacing w:before="0" w:after="0" w:line="240" w:lineRule="exact"/>
              <w:jc w:val="right"/>
              <w:rPr>
                <w:rFonts w:hint="default" w:ascii="Times New Roman" w:hAnsi="Times New Roman" w:eastAsia="宋体" w:cs="Times New Roman"/>
                <w:sz w:val="18"/>
                <w:szCs w:val="18"/>
              </w:rPr>
            </w:pPr>
          </w:p>
        </w:tc>
      </w:tr>
      <w:tr w14:paraId="1E2F3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7817C6C">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vAlign w:val="center"/>
          </w:tcPr>
          <w:p w14:paraId="7731B24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7C6472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142868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FB94FB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028EA6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29866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DC65AF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5FEEB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FAFC9B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9165D4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91C50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7B8D219">
            <w:pPr>
              <w:spacing w:before="0" w:after="0" w:line="240" w:lineRule="exact"/>
              <w:jc w:val="right"/>
              <w:rPr>
                <w:rFonts w:hint="default" w:ascii="Times New Roman" w:hAnsi="Times New Roman" w:eastAsia="宋体" w:cs="Times New Roman"/>
                <w:sz w:val="18"/>
                <w:szCs w:val="18"/>
              </w:rPr>
            </w:pPr>
          </w:p>
        </w:tc>
      </w:tr>
      <w:tr w14:paraId="4F589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4D119A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5．其他综合收益结转留存收益</w:t>
            </w:r>
          </w:p>
        </w:tc>
        <w:tc>
          <w:tcPr>
            <w:tcW w:w="741" w:type="dxa"/>
            <w:tcBorders>
              <w:top w:val="single" w:color="auto" w:sz="2" w:space="0"/>
              <w:left w:val="single" w:color="auto" w:sz="2" w:space="0"/>
              <w:bottom w:val="single" w:color="auto" w:sz="2" w:space="0"/>
              <w:right w:val="single" w:color="auto" w:sz="2" w:space="0"/>
            </w:tcBorders>
            <w:vAlign w:val="center"/>
          </w:tcPr>
          <w:p w14:paraId="1AF2F84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4141E2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E83130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6ADD5F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5EE1B5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29D9A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3D1BD9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85E7FC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06B356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C9C86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C884D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E62A3AC">
            <w:pPr>
              <w:spacing w:before="0" w:after="0" w:line="240" w:lineRule="exact"/>
              <w:jc w:val="right"/>
              <w:rPr>
                <w:rFonts w:hint="default" w:ascii="Times New Roman" w:hAnsi="Times New Roman" w:eastAsia="宋体" w:cs="Times New Roman"/>
                <w:sz w:val="18"/>
                <w:szCs w:val="18"/>
              </w:rPr>
            </w:pPr>
          </w:p>
        </w:tc>
      </w:tr>
      <w:tr w14:paraId="3A1DF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372485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6．其他</w:t>
            </w:r>
          </w:p>
        </w:tc>
        <w:tc>
          <w:tcPr>
            <w:tcW w:w="741" w:type="dxa"/>
            <w:tcBorders>
              <w:top w:val="single" w:color="auto" w:sz="2" w:space="0"/>
              <w:left w:val="single" w:color="auto" w:sz="2" w:space="0"/>
              <w:bottom w:val="single" w:color="auto" w:sz="2" w:space="0"/>
              <w:right w:val="single" w:color="auto" w:sz="2" w:space="0"/>
            </w:tcBorders>
            <w:vAlign w:val="center"/>
          </w:tcPr>
          <w:p w14:paraId="26AC27E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BBDCFC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3992FC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3DFDFA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2A521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6EEDD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7083E5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868C02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650A76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BD0F1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FEECC2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7AB1563">
            <w:pPr>
              <w:spacing w:before="0" w:after="0" w:line="240" w:lineRule="exact"/>
              <w:jc w:val="right"/>
              <w:rPr>
                <w:rFonts w:hint="default" w:ascii="Times New Roman" w:hAnsi="Times New Roman" w:eastAsia="宋体" w:cs="Times New Roman"/>
                <w:sz w:val="18"/>
                <w:szCs w:val="18"/>
              </w:rPr>
            </w:pPr>
          </w:p>
        </w:tc>
      </w:tr>
      <w:tr w14:paraId="6D1DD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894D49C">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（五）专项储备</w:t>
            </w:r>
          </w:p>
        </w:tc>
        <w:tc>
          <w:tcPr>
            <w:tcW w:w="741" w:type="dxa"/>
            <w:tcBorders>
              <w:top w:val="single" w:color="auto" w:sz="2" w:space="0"/>
              <w:left w:val="single" w:color="auto" w:sz="2" w:space="0"/>
              <w:bottom w:val="single" w:color="auto" w:sz="2" w:space="0"/>
              <w:right w:val="single" w:color="auto" w:sz="2" w:space="0"/>
            </w:tcBorders>
            <w:vAlign w:val="center"/>
          </w:tcPr>
          <w:p w14:paraId="4213798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850300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151DEC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0EA7FB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338D42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8ECDF7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FD9F41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81DAA6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134EB6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4883E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8CB693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74ADEB3">
            <w:pPr>
              <w:spacing w:before="0" w:after="0" w:line="240" w:lineRule="exact"/>
              <w:jc w:val="right"/>
              <w:rPr>
                <w:rFonts w:hint="default" w:ascii="Times New Roman" w:hAnsi="Times New Roman" w:eastAsia="宋体" w:cs="Times New Roman"/>
                <w:sz w:val="18"/>
                <w:szCs w:val="18"/>
              </w:rPr>
            </w:pPr>
          </w:p>
        </w:tc>
      </w:tr>
      <w:tr w14:paraId="4433F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1A59A7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1．本期提取</w:t>
            </w:r>
          </w:p>
        </w:tc>
        <w:tc>
          <w:tcPr>
            <w:tcW w:w="741" w:type="dxa"/>
            <w:tcBorders>
              <w:top w:val="single" w:color="auto" w:sz="2" w:space="0"/>
              <w:left w:val="single" w:color="auto" w:sz="2" w:space="0"/>
              <w:bottom w:val="single" w:color="auto" w:sz="2" w:space="0"/>
              <w:right w:val="single" w:color="auto" w:sz="2" w:space="0"/>
            </w:tcBorders>
            <w:vAlign w:val="center"/>
          </w:tcPr>
          <w:p w14:paraId="0C5A3A1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5750E4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156F16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9C4E5F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E9BE33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7E607A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712BDC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E99053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030FEA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6E532A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4801B0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1FF7D42">
            <w:pPr>
              <w:spacing w:before="0" w:after="0" w:line="240" w:lineRule="exact"/>
              <w:jc w:val="right"/>
              <w:rPr>
                <w:rFonts w:hint="default" w:ascii="Times New Roman" w:hAnsi="Times New Roman" w:eastAsia="宋体" w:cs="Times New Roman"/>
                <w:sz w:val="18"/>
                <w:szCs w:val="18"/>
              </w:rPr>
            </w:pPr>
          </w:p>
        </w:tc>
      </w:tr>
      <w:tr w14:paraId="5EE3E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9FF78F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2．本期使用</w:t>
            </w:r>
          </w:p>
        </w:tc>
        <w:tc>
          <w:tcPr>
            <w:tcW w:w="741" w:type="dxa"/>
            <w:tcBorders>
              <w:top w:val="single" w:color="auto" w:sz="2" w:space="0"/>
              <w:left w:val="single" w:color="auto" w:sz="2" w:space="0"/>
              <w:bottom w:val="single" w:color="auto" w:sz="2" w:space="0"/>
              <w:right w:val="single" w:color="auto" w:sz="2" w:space="0"/>
            </w:tcBorders>
            <w:vAlign w:val="center"/>
          </w:tcPr>
          <w:p w14:paraId="2892CC8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51C74B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FE5738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EC4CF7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DB523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72ED59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B28F9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8BA211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DDB96B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A1F11A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84DB63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B2A0E46">
            <w:pPr>
              <w:spacing w:before="0" w:after="0" w:line="240" w:lineRule="exact"/>
              <w:jc w:val="right"/>
              <w:rPr>
                <w:rFonts w:hint="default" w:ascii="Times New Roman" w:hAnsi="Times New Roman" w:eastAsia="宋体" w:cs="Times New Roman"/>
                <w:sz w:val="18"/>
                <w:szCs w:val="18"/>
              </w:rPr>
            </w:pPr>
          </w:p>
        </w:tc>
      </w:tr>
      <w:tr w14:paraId="7D07D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A00346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（六）其他</w:t>
            </w:r>
          </w:p>
        </w:tc>
        <w:tc>
          <w:tcPr>
            <w:tcW w:w="741" w:type="dxa"/>
            <w:tcBorders>
              <w:top w:val="single" w:color="auto" w:sz="2" w:space="0"/>
              <w:left w:val="single" w:color="auto" w:sz="2" w:space="0"/>
              <w:bottom w:val="single" w:color="auto" w:sz="2" w:space="0"/>
              <w:right w:val="single" w:color="auto" w:sz="2" w:space="0"/>
            </w:tcBorders>
            <w:vAlign w:val="center"/>
          </w:tcPr>
          <w:p w14:paraId="2FBFED3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3DBC58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ECBE2F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2F62F7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423526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DD4118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B88DE5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7E5B67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794DD2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B0E0BA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5A847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033AA11">
            <w:pPr>
              <w:spacing w:before="0" w:after="0" w:line="240" w:lineRule="exact"/>
              <w:jc w:val="right"/>
              <w:rPr>
                <w:rFonts w:hint="default" w:ascii="Times New Roman" w:hAnsi="Times New Roman" w:eastAsia="宋体" w:cs="Times New Roman"/>
                <w:sz w:val="18"/>
                <w:szCs w:val="18"/>
              </w:rPr>
            </w:pPr>
          </w:p>
        </w:tc>
      </w:tr>
      <w:tr w14:paraId="5F24C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85F0F3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四、本期期末余额</w:t>
            </w:r>
          </w:p>
        </w:tc>
        <w:tc>
          <w:tcPr>
            <w:tcW w:w="741" w:type="dxa"/>
            <w:tcBorders>
              <w:top w:val="single" w:color="auto" w:sz="2" w:space="0"/>
              <w:left w:val="single" w:color="auto" w:sz="2" w:space="0"/>
              <w:bottom w:val="single" w:color="auto" w:sz="2" w:space="0"/>
              <w:right w:val="single" w:color="auto" w:sz="2" w:space="0"/>
            </w:tcBorders>
            <w:vAlign w:val="center"/>
          </w:tcPr>
          <w:p w14:paraId="68DF89F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c>
          <w:tcPr>
            <w:tcW w:w="741" w:type="dxa"/>
            <w:tcBorders>
              <w:top w:val="single" w:color="auto" w:sz="2" w:space="0"/>
              <w:left w:val="single" w:color="auto" w:sz="2" w:space="0"/>
              <w:bottom w:val="single" w:color="auto" w:sz="2" w:space="0"/>
              <w:right w:val="single" w:color="auto" w:sz="2" w:space="0"/>
            </w:tcBorders>
            <w:vAlign w:val="center"/>
          </w:tcPr>
          <w:p w14:paraId="4195ED1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8EBC12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3AB9CA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335007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517,060,773.29</w:t>
            </w:r>
          </w:p>
        </w:tc>
        <w:tc>
          <w:tcPr>
            <w:tcW w:w="741" w:type="dxa"/>
            <w:tcBorders>
              <w:top w:val="single" w:color="auto" w:sz="2" w:space="0"/>
              <w:left w:val="single" w:color="auto" w:sz="2" w:space="0"/>
              <w:bottom w:val="single" w:color="auto" w:sz="2" w:space="0"/>
              <w:right w:val="single" w:color="auto" w:sz="2" w:space="0"/>
            </w:tcBorders>
            <w:vAlign w:val="center"/>
          </w:tcPr>
          <w:p w14:paraId="1130D6F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C9273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-42,500,000.00</w:t>
            </w:r>
          </w:p>
        </w:tc>
        <w:tc>
          <w:tcPr>
            <w:tcW w:w="741" w:type="dxa"/>
            <w:tcBorders>
              <w:top w:val="single" w:color="auto" w:sz="2" w:space="0"/>
              <w:left w:val="single" w:color="auto" w:sz="2" w:space="0"/>
              <w:bottom w:val="single" w:color="auto" w:sz="2" w:space="0"/>
              <w:right w:val="single" w:color="auto" w:sz="2" w:space="0"/>
            </w:tcBorders>
            <w:vAlign w:val="center"/>
          </w:tcPr>
          <w:p w14:paraId="66EDE45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6B143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51,453,270.95</w:t>
            </w:r>
          </w:p>
        </w:tc>
        <w:tc>
          <w:tcPr>
            <w:tcW w:w="741" w:type="dxa"/>
            <w:tcBorders>
              <w:top w:val="single" w:color="auto" w:sz="2" w:space="0"/>
              <w:left w:val="single" w:color="auto" w:sz="2" w:space="0"/>
              <w:bottom w:val="single" w:color="auto" w:sz="2" w:space="0"/>
              <w:right w:val="single" w:color="auto" w:sz="2" w:space="0"/>
            </w:tcBorders>
            <w:vAlign w:val="center"/>
          </w:tcPr>
          <w:p w14:paraId="32F3015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-41,889,215.05</w:t>
            </w:r>
          </w:p>
        </w:tc>
        <w:tc>
          <w:tcPr>
            <w:tcW w:w="741" w:type="dxa"/>
            <w:tcBorders>
              <w:top w:val="single" w:color="auto" w:sz="2" w:space="0"/>
              <w:left w:val="single" w:color="auto" w:sz="2" w:space="0"/>
              <w:bottom w:val="single" w:color="auto" w:sz="2" w:space="0"/>
              <w:right w:val="single" w:color="auto" w:sz="2" w:space="0"/>
            </w:tcBorders>
            <w:vAlign w:val="center"/>
          </w:tcPr>
          <w:p w14:paraId="204A60E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C23874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749,280,530.19</w:t>
            </w:r>
          </w:p>
        </w:tc>
      </w:tr>
    </w:tbl>
    <w:p w14:paraId="31A7D679">
      <w:pPr>
        <w:pStyle w:val="2"/>
        <w:keepNext/>
        <w:keepLines/>
        <w:spacing w:before="300" w:after="300" w:line="320" w:lineRule="exact"/>
        <w:jc w:val="left"/>
        <w:outlineLvl w:val="1"/>
        <w:rPr>
          <w:rFonts w:ascii="宋体" w:hAnsi="宋体" w:eastAsia="宋体" w:cs="宋体"/>
          <w:b/>
          <w:bCs/>
          <w:sz w:val="24"/>
          <w:szCs w:val="24"/>
        </w:rPr>
      </w:pPr>
      <w:bookmarkStart w:id="226" w:name="_Toc22997"/>
      <w:bookmarkStart w:id="227" w:name="_Toc989041"/>
      <w:r>
        <w:rPr>
          <w:rFonts w:ascii="宋体" w:hAnsi="宋体" w:eastAsia="宋体" w:cs="宋体"/>
          <w:b/>
          <w:bCs/>
          <w:sz w:val="24"/>
          <w:szCs w:val="24"/>
        </w:rPr>
        <w:t>三、公司基本情况</w:t>
      </w:r>
      <w:bookmarkEnd w:id="226"/>
      <w:bookmarkEnd w:id="227"/>
    </w:p>
    <w:p w14:paraId="482DA5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firstLine="360" w:firstLineChars="200"/>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一</w:t>
      </w:r>
      <w:r>
        <w:rPr>
          <w:rFonts w:hint="eastAsia" w:ascii="宋体" w:hAnsi="宋体" w:eastAsia="宋体" w:cs="宋体"/>
          <w:sz w:val="18"/>
          <w:szCs w:val="18"/>
        </w:rPr>
        <w:t>）企业注册地和总部地址</w:t>
      </w:r>
    </w:p>
    <w:p w14:paraId="47257AB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冠昊生物科技股份有限公司（以下简称“公司”或“本公司”）注册地址为广州市黄埔区玉岩路</w:t>
      </w:r>
      <w:r>
        <w:rPr>
          <w:rFonts w:hint="default" w:ascii="Times New Roman" w:hAnsi="Times New Roman" w:eastAsia="宋体" w:cs="Times New Roman"/>
          <w:sz w:val="18"/>
          <w:szCs w:val="18"/>
          <w:vertAlign w:val="baseline"/>
        </w:rPr>
        <w:t>12</w:t>
      </w:r>
      <w:r>
        <w:rPr>
          <w:rFonts w:hint="eastAsia" w:ascii="宋体" w:hAnsi="宋体" w:eastAsia="宋体" w:cs="宋体"/>
          <w:sz w:val="18"/>
          <w:szCs w:val="18"/>
          <w:vertAlign w:val="baseline"/>
        </w:rPr>
        <w:t>号，公司总部地址为广州市黄埔区玉岩路</w:t>
      </w:r>
      <w:r>
        <w:rPr>
          <w:rFonts w:hint="default" w:ascii="Times New Roman" w:hAnsi="Times New Roman" w:eastAsia="宋体" w:cs="Times New Roman"/>
          <w:sz w:val="18"/>
          <w:szCs w:val="18"/>
          <w:vertAlign w:val="baseline"/>
        </w:rPr>
        <w:t>12</w:t>
      </w:r>
      <w:r>
        <w:rPr>
          <w:rFonts w:hint="eastAsia" w:ascii="宋体" w:hAnsi="宋体" w:eastAsia="宋体" w:cs="宋体"/>
          <w:sz w:val="18"/>
          <w:szCs w:val="18"/>
          <w:vertAlign w:val="baseline"/>
        </w:rPr>
        <w:t>号。</w:t>
      </w:r>
    </w:p>
    <w:p w14:paraId="261177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本公司系根据广东省对外贸易经济合作厅“关于股权并购设立外商投资股份制企业冠昊生物科技股份有限公司的批复”于粤外经贸字(</w:t>
      </w:r>
      <w:r>
        <w:rPr>
          <w:rFonts w:hint="default" w:ascii="Times New Roman" w:hAnsi="Times New Roman" w:eastAsia="宋体" w:cs="Times New Roman"/>
          <w:sz w:val="18"/>
          <w:szCs w:val="18"/>
          <w:vertAlign w:val="baseline"/>
        </w:rPr>
        <w:t>2009</w:t>
      </w:r>
      <w:r>
        <w:rPr>
          <w:rFonts w:hint="eastAsia" w:ascii="宋体" w:hAnsi="宋体" w:eastAsia="宋体" w:cs="宋体"/>
          <w:sz w:val="18"/>
          <w:szCs w:val="18"/>
          <w:vertAlign w:val="baseline"/>
        </w:rPr>
        <w:t>)</w:t>
      </w:r>
      <w:r>
        <w:rPr>
          <w:rFonts w:hint="default" w:ascii="Times New Roman" w:hAnsi="Times New Roman" w:eastAsia="宋体" w:cs="Times New Roman"/>
          <w:sz w:val="18"/>
          <w:szCs w:val="18"/>
          <w:vertAlign w:val="baseline"/>
        </w:rPr>
        <w:t>306</w:t>
      </w:r>
      <w:r>
        <w:rPr>
          <w:rFonts w:hint="eastAsia" w:ascii="宋体" w:hAnsi="宋体" w:eastAsia="宋体" w:cs="宋体"/>
          <w:sz w:val="18"/>
          <w:szCs w:val="18"/>
          <w:vertAlign w:val="baseline"/>
        </w:rPr>
        <w:t>号文，由广州知光生物科技有限公司（现更名为广东知光生物科技有限公司）和睢天舒、许慧、冼丽贤等</w:t>
      </w:r>
      <w:r>
        <w:rPr>
          <w:rFonts w:hint="default" w:ascii="Times New Roman" w:hAnsi="Times New Roman" w:eastAsia="宋体" w:cs="Times New Roman"/>
          <w:sz w:val="18"/>
          <w:szCs w:val="18"/>
          <w:vertAlign w:val="baseline"/>
        </w:rPr>
        <w:t>27</w:t>
      </w:r>
      <w:r>
        <w:rPr>
          <w:rFonts w:hint="eastAsia" w:ascii="宋体" w:hAnsi="宋体" w:eastAsia="宋体" w:cs="宋体"/>
          <w:sz w:val="18"/>
          <w:szCs w:val="18"/>
          <w:vertAlign w:val="baseline"/>
        </w:rPr>
        <w:t>名自然人共同发起设立的股份有限公司。公司的统一信用代码：</w:t>
      </w:r>
      <w:r>
        <w:rPr>
          <w:rFonts w:hint="default" w:ascii="Times New Roman" w:hAnsi="Times New Roman" w:eastAsia="宋体" w:cs="Times New Roman"/>
          <w:sz w:val="18"/>
          <w:szCs w:val="18"/>
          <w:vertAlign w:val="baseline"/>
        </w:rPr>
        <w:t>91440000707688515X</w:t>
      </w:r>
      <w:r>
        <w:rPr>
          <w:rFonts w:hint="eastAsia" w:ascii="宋体" w:hAnsi="宋体" w:eastAsia="宋体" w:cs="宋体"/>
          <w:sz w:val="18"/>
          <w:szCs w:val="18"/>
          <w:vertAlign w:val="baseline"/>
        </w:rPr>
        <w:t>。</w:t>
      </w:r>
      <w:r>
        <w:rPr>
          <w:rFonts w:hint="default" w:ascii="Times New Roman" w:hAnsi="Times New Roman" w:eastAsia="宋体" w:cs="Times New Roman"/>
          <w:sz w:val="18"/>
          <w:szCs w:val="18"/>
          <w:vertAlign w:val="baseline"/>
        </w:rPr>
        <w:t>2011</w:t>
      </w:r>
      <w:r>
        <w:rPr>
          <w:rFonts w:hint="eastAsia" w:ascii="宋体" w:hAnsi="宋体" w:eastAsia="宋体" w:cs="宋体"/>
          <w:sz w:val="18"/>
          <w:szCs w:val="18"/>
          <w:vertAlign w:val="baseline"/>
        </w:rPr>
        <w:t>年</w:t>
      </w:r>
      <w:r>
        <w:rPr>
          <w:rFonts w:hint="default" w:ascii="Times New Roman" w:hAnsi="Times New Roman" w:eastAsia="宋体" w:cs="Times New Roman"/>
          <w:sz w:val="18"/>
          <w:szCs w:val="18"/>
          <w:vertAlign w:val="baseline"/>
        </w:rPr>
        <w:t>7</w:t>
      </w:r>
      <w:r>
        <w:rPr>
          <w:rFonts w:hint="eastAsia" w:ascii="宋体" w:hAnsi="宋体" w:eastAsia="宋体" w:cs="宋体"/>
          <w:sz w:val="18"/>
          <w:szCs w:val="18"/>
          <w:vertAlign w:val="baseline"/>
        </w:rPr>
        <w:t>月在深圳证券交易所创业板上市（交易代码：</w:t>
      </w:r>
      <w:r>
        <w:rPr>
          <w:rFonts w:hint="default" w:ascii="Times New Roman" w:hAnsi="Times New Roman" w:eastAsia="宋体" w:cs="Times New Roman"/>
          <w:sz w:val="18"/>
          <w:szCs w:val="18"/>
          <w:vertAlign w:val="baseline"/>
        </w:rPr>
        <w:t>300238</w:t>
      </w:r>
      <w:r>
        <w:rPr>
          <w:rFonts w:hint="eastAsia" w:ascii="宋体" w:hAnsi="宋体" w:eastAsia="宋体" w:cs="宋体"/>
          <w:sz w:val="18"/>
          <w:szCs w:val="18"/>
          <w:vertAlign w:val="baseline"/>
        </w:rPr>
        <w:t>）。</w:t>
      </w:r>
    </w:p>
    <w:p w14:paraId="75A4CD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（二）企业实际从事的主要经营活动</w:t>
      </w:r>
    </w:p>
    <w:p w14:paraId="3A5234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公司核心业务为材料、药业、细胞三大业务板块。在材料领域，公司自主研发的一系列再生医学材料，是指一类以动物组织为原料，经系列创新技术处理后，具有良好的组织相容性，植入后不引起排斥反应，并能诱导机体组织生长的类生物医学材料。公司已上市的主要产品有生物型硬脑(脊)膜补片、</w:t>
      </w:r>
      <w:r>
        <w:rPr>
          <w:rFonts w:hint="default" w:ascii="Times New Roman" w:hAnsi="Times New Roman" w:eastAsia="宋体" w:cs="Times New Roman"/>
          <w:sz w:val="18"/>
          <w:szCs w:val="18"/>
          <w:vertAlign w:val="baseline"/>
        </w:rPr>
        <w:t>B</w:t>
      </w:r>
      <w:r>
        <w:rPr>
          <w:rFonts w:hint="eastAsia" w:ascii="宋体" w:hAnsi="宋体" w:eastAsia="宋体" w:cs="宋体"/>
          <w:sz w:val="18"/>
          <w:szCs w:val="18"/>
          <w:vertAlign w:val="baseline"/>
        </w:rPr>
        <w:t>型硬脑(脊)膜补片、胸普外科修补膜、无菌生物护创膜、艾瑞欧乳房补片，可广泛应用于神经外科、胸普外科、皮肤科、骨科、整形美容科等。在药业领域，主要产品本维莫德乳膏，可治疗炎症性和自身免疫性疾病，如银屑病、特应性皮炎等。在细胞领域，主要有细胞储存、细胞软骨治疗等。</w:t>
      </w:r>
    </w:p>
    <w:p w14:paraId="2B11E5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（三）财务报告已经董事会于</w:t>
      </w:r>
      <w:r>
        <w:rPr>
          <w:rFonts w:hint="default" w:ascii="Times New Roman" w:hAnsi="Times New Roman" w:eastAsia="宋体" w:cs="Times New Roman"/>
          <w:sz w:val="18"/>
          <w:szCs w:val="18"/>
          <w:vertAlign w:val="baseline"/>
        </w:rPr>
        <w:t>2026</w:t>
      </w:r>
      <w:r>
        <w:rPr>
          <w:rFonts w:hint="eastAsia" w:ascii="宋体" w:hAnsi="宋体" w:eastAsia="宋体" w:cs="宋体"/>
          <w:sz w:val="18"/>
          <w:szCs w:val="18"/>
          <w:vertAlign w:val="baseline"/>
        </w:rPr>
        <w:t>年</w:t>
      </w:r>
      <w:r>
        <w:rPr>
          <w:rFonts w:hint="default" w:ascii="Times New Roman" w:hAnsi="Times New Roman" w:eastAsia="宋体" w:cs="Times New Roman"/>
          <w:sz w:val="18"/>
          <w:szCs w:val="18"/>
          <w:vertAlign w:val="baseline"/>
        </w:rPr>
        <w:t>3</w:t>
      </w:r>
      <w:r>
        <w:rPr>
          <w:rFonts w:hint="eastAsia" w:ascii="宋体" w:hAnsi="宋体" w:eastAsia="宋体" w:cs="宋体"/>
          <w:sz w:val="18"/>
          <w:szCs w:val="18"/>
          <w:vertAlign w:val="baseline"/>
        </w:rPr>
        <w:t>月</w:t>
      </w:r>
      <w:r>
        <w:rPr>
          <w:rFonts w:hint="default" w:ascii="Times New Roman" w:hAnsi="Times New Roman" w:eastAsia="宋体" w:cs="Times New Roman"/>
          <w:sz w:val="18"/>
          <w:szCs w:val="18"/>
          <w:vertAlign w:val="baseline"/>
        </w:rPr>
        <w:t>25</w:t>
      </w:r>
      <w:r>
        <w:rPr>
          <w:rFonts w:hint="eastAsia" w:ascii="宋体" w:hAnsi="宋体" w:eastAsia="宋体" w:cs="宋体"/>
          <w:sz w:val="18"/>
          <w:szCs w:val="18"/>
          <w:vertAlign w:val="baseline"/>
        </w:rPr>
        <w:t>日批准报出。</w:t>
      </w:r>
    </w:p>
    <w:p w14:paraId="489B2CC8">
      <w:pPr>
        <w:pStyle w:val="2"/>
        <w:keepNext/>
        <w:keepLines/>
        <w:pageBreakBefore w:val="0"/>
        <w:kinsoku/>
        <w:wordWrap/>
        <w:overflowPunct/>
        <w:topLinePunct w:val="0"/>
        <w:autoSpaceDE/>
        <w:autoSpaceDN/>
        <w:bidi w:val="0"/>
        <w:adjustRightInd/>
        <w:snapToGrid/>
        <w:spacing w:before="0" w:beforeAutospacing="0" w:after="0" w:afterAutospacing="0" w:line="240" w:lineRule="auto"/>
        <w:ind w:left="0" w:firstLine="360" w:firstLineChars="200"/>
        <w:jc w:val="left"/>
        <w:outlineLvl w:val="1"/>
        <w:rPr>
          <w:rFonts w:hint="eastAsia" w:ascii="宋体" w:hAnsi="宋体" w:eastAsia="宋体" w:cs="宋体"/>
          <w:b/>
          <w:bCs/>
          <w:sz w:val="18"/>
          <w:szCs w:val="18"/>
        </w:rPr>
      </w:pPr>
      <w:bookmarkStart w:id="228" w:name="_Toc989042"/>
      <w:bookmarkStart w:id="229" w:name="_Toc7646"/>
      <w:r>
        <w:rPr>
          <w:rFonts w:hint="eastAsia" w:ascii="宋体" w:hAnsi="宋体" w:eastAsia="宋体" w:cs="宋体"/>
          <w:b/>
          <w:bCs/>
          <w:sz w:val="18"/>
          <w:szCs w:val="18"/>
        </w:rPr>
        <w:t>四、财务报表的编制基础</w:t>
      </w:r>
      <w:bookmarkEnd w:id="228"/>
      <w:bookmarkEnd w:id="229"/>
    </w:p>
    <w:p w14:paraId="32E1103B">
      <w:pPr>
        <w:pStyle w:val="3"/>
        <w:keepNext/>
        <w:keepLines/>
        <w:pageBreakBefore w:val="0"/>
        <w:kinsoku/>
        <w:wordWrap/>
        <w:overflowPunct/>
        <w:topLinePunct w:val="0"/>
        <w:autoSpaceDE/>
        <w:autoSpaceDN/>
        <w:bidi w:val="0"/>
        <w:adjustRightInd/>
        <w:snapToGrid/>
        <w:spacing w:before="0" w:beforeAutospacing="0" w:after="0" w:afterAutospacing="0" w:line="240" w:lineRule="auto"/>
        <w:ind w:left="0" w:firstLine="360" w:firstLineChars="200"/>
        <w:jc w:val="left"/>
        <w:outlineLvl w:val="2"/>
        <w:rPr>
          <w:rFonts w:hint="eastAsia" w:ascii="宋体" w:hAnsi="宋体" w:eastAsia="宋体" w:cs="宋体"/>
          <w:b/>
          <w:bCs/>
          <w:sz w:val="18"/>
          <w:szCs w:val="18"/>
        </w:rPr>
      </w:pPr>
      <w:bookmarkStart w:id="230" w:name="_Toc989043"/>
      <w:r>
        <w:rPr>
          <w:rFonts w:hint="default" w:ascii="Times New Roman" w:hAnsi="Times New Roman" w:eastAsia="宋体" w:cs="Times New Roman"/>
          <w:b/>
          <w:bCs/>
          <w:sz w:val="18"/>
          <w:szCs w:val="18"/>
        </w:rPr>
        <w:t>1</w:t>
      </w:r>
      <w:r>
        <w:rPr>
          <w:rFonts w:hint="eastAsia" w:ascii="宋体" w:hAnsi="宋体" w:eastAsia="宋体" w:cs="宋体"/>
          <w:b/>
          <w:bCs/>
          <w:sz w:val="18"/>
          <w:szCs w:val="18"/>
        </w:rPr>
        <w:t>、编制基础</w:t>
      </w:r>
      <w:bookmarkEnd w:id="230"/>
    </w:p>
    <w:p w14:paraId="02BB96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本公司财务报表以持续经营为基础，根据实际发生的交易和事项，按照财政部颁布的《企业会计准则-基本准则》和具体会计准则等规定（以下称企业会计准则），并基于制定的重要会计政策和会计估计进行编制。</w:t>
      </w:r>
    </w:p>
    <w:p w14:paraId="23F10777">
      <w:pPr>
        <w:pStyle w:val="3"/>
        <w:keepNext/>
        <w:keepLines/>
        <w:pageBreakBefore w:val="0"/>
        <w:kinsoku/>
        <w:wordWrap/>
        <w:overflowPunct/>
        <w:topLinePunct w:val="0"/>
        <w:autoSpaceDE/>
        <w:autoSpaceDN/>
        <w:bidi w:val="0"/>
        <w:adjustRightInd/>
        <w:snapToGrid/>
        <w:spacing w:before="0" w:beforeAutospacing="0" w:after="0" w:afterAutospacing="0" w:line="240" w:lineRule="auto"/>
        <w:ind w:left="0" w:firstLine="360" w:firstLineChars="200"/>
        <w:jc w:val="left"/>
        <w:outlineLvl w:val="2"/>
        <w:rPr>
          <w:rFonts w:hint="eastAsia" w:ascii="宋体" w:hAnsi="宋体" w:eastAsia="宋体" w:cs="宋体"/>
          <w:b/>
          <w:bCs/>
          <w:sz w:val="18"/>
          <w:szCs w:val="18"/>
        </w:rPr>
      </w:pPr>
      <w:bookmarkStart w:id="231" w:name="_Toc989044"/>
      <w:r>
        <w:rPr>
          <w:rFonts w:hint="default" w:ascii="Times New Roman" w:hAnsi="Times New Roman" w:eastAsia="宋体" w:cs="Times New Roman"/>
          <w:b/>
          <w:bCs/>
          <w:sz w:val="18"/>
          <w:szCs w:val="18"/>
        </w:rPr>
        <w:t>2</w:t>
      </w:r>
      <w:r>
        <w:rPr>
          <w:rFonts w:hint="eastAsia" w:ascii="宋体" w:hAnsi="宋体" w:eastAsia="宋体" w:cs="宋体"/>
          <w:b/>
          <w:bCs/>
          <w:sz w:val="18"/>
          <w:szCs w:val="18"/>
        </w:rPr>
        <w:t>、持续经营</w:t>
      </w:r>
      <w:bookmarkEnd w:id="231"/>
    </w:p>
    <w:p w14:paraId="302B83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本公司对自报告期末起</w:t>
      </w:r>
      <w:r>
        <w:rPr>
          <w:rFonts w:hint="default" w:ascii="Times New Roman" w:hAnsi="Times New Roman" w:eastAsia="宋体" w:cs="Times New Roman"/>
          <w:sz w:val="18"/>
          <w:szCs w:val="18"/>
          <w:vertAlign w:val="baseline"/>
        </w:rPr>
        <w:t>12</w:t>
      </w:r>
      <w:r>
        <w:rPr>
          <w:rFonts w:hint="eastAsia" w:ascii="宋体" w:hAnsi="宋体" w:eastAsia="宋体" w:cs="宋体"/>
          <w:sz w:val="18"/>
          <w:szCs w:val="18"/>
          <w:vertAlign w:val="baseline"/>
        </w:rPr>
        <w:t>个月的持续经营能力进行了评估，未发现影响本公司持续经营能力的事项，本公司以持续经营为基础编制财务报表是合理的。</w:t>
      </w:r>
    </w:p>
    <w:p w14:paraId="017142A3">
      <w:pPr>
        <w:pStyle w:val="2"/>
        <w:keepNext/>
        <w:keepLines/>
        <w:pageBreakBefore w:val="0"/>
        <w:kinsoku/>
        <w:wordWrap/>
        <w:overflowPunct/>
        <w:topLinePunct w:val="0"/>
        <w:autoSpaceDE/>
        <w:autoSpaceDN/>
        <w:bidi w:val="0"/>
        <w:adjustRightInd/>
        <w:snapToGrid/>
        <w:spacing w:before="0" w:beforeAutospacing="0" w:after="0" w:afterAutospacing="0" w:line="240" w:lineRule="auto"/>
        <w:ind w:left="0" w:firstLine="360" w:firstLineChars="200"/>
        <w:jc w:val="left"/>
        <w:outlineLvl w:val="1"/>
        <w:rPr>
          <w:rFonts w:hint="eastAsia" w:ascii="宋体" w:hAnsi="宋体" w:eastAsia="宋体" w:cs="宋体"/>
          <w:b/>
          <w:bCs/>
          <w:sz w:val="18"/>
          <w:szCs w:val="18"/>
        </w:rPr>
      </w:pPr>
      <w:bookmarkStart w:id="232" w:name="_Toc989045"/>
      <w:bookmarkStart w:id="233" w:name="_Toc3059"/>
      <w:r>
        <w:rPr>
          <w:rFonts w:hint="eastAsia" w:ascii="宋体" w:hAnsi="宋体" w:eastAsia="宋体" w:cs="宋体"/>
          <w:b/>
          <w:bCs/>
          <w:sz w:val="18"/>
          <w:szCs w:val="18"/>
        </w:rPr>
        <w:t>五、重要会计政策及会计估计</w:t>
      </w:r>
      <w:bookmarkEnd w:id="232"/>
      <w:bookmarkEnd w:id="233"/>
    </w:p>
    <w:p w14:paraId="0DED024E">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具体会计政策和会计估计提示：</w:t>
      </w:r>
    </w:p>
    <w:p w14:paraId="21368561">
      <w:pPr>
        <w:pStyle w:val="3"/>
        <w:keepNext/>
        <w:keepLines/>
        <w:pageBreakBefore w:val="0"/>
        <w:kinsoku/>
        <w:wordWrap/>
        <w:overflowPunct/>
        <w:topLinePunct w:val="0"/>
        <w:autoSpaceDE/>
        <w:autoSpaceDN/>
        <w:bidi w:val="0"/>
        <w:adjustRightInd/>
        <w:snapToGrid/>
        <w:spacing w:before="0" w:beforeAutospacing="0" w:after="0" w:afterAutospacing="0" w:line="240" w:lineRule="auto"/>
        <w:ind w:left="0" w:firstLine="360" w:firstLineChars="200"/>
        <w:jc w:val="left"/>
        <w:outlineLvl w:val="2"/>
        <w:rPr>
          <w:rFonts w:hint="eastAsia" w:ascii="宋体" w:hAnsi="宋体" w:eastAsia="宋体" w:cs="宋体"/>
          <w:b/>
          <w:bCs/>
          <w:sz w:val="18"/>
          <w:szCs w:val="18"/>
        </w:rPr>
      </w:pPr>
      <w:bookmarkStart w:id="234" w:name="_Toc989046"/>
      <w:r>
        <w:rPr>
          <w:rFonts w:hint="default" w:ascii="Times New Roman" w:hAnsi="Times New Roman" w:eastAsia="宋体" w:cs="Times New Roman"/>
          <w:b/>
          <w:bCs/>
          <w:sz w:val="18"/>
          <w:szCs w:val="18"/>
        </w:rPr>
        <w:t>1</w:t>
      </w:r>
      <w:r>
        <w:rPr>
          <w:rFonts w:hint="eastAsia" w:ascii="宋体" w:hAnsi="宋体" w:eastAsia="宋体" w:cs="宋体"/>
          <w:b/>
          <w:bCs/>
          <w:sz w:val="18"/>
          <w:szCs w:val="18"/>
        </w:rPr>
        <w:t>、遵循企业会计准则的声明</w:t>
      </w:r>
      <w:bookmarkEnd w:id="234"/>
    </w:p>
    <w:p w14:paraId="016F71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本公司编制的财务报表符合《企业会计准则》的要求，真实、完整地反映了本公司</w:t>
      </w:r>
      <w:r>
        <w:rPr>
          <w:rFonts w:hint="default" w:ascii="Times New Roman" w:hAnsi="Times New Roman" w:eastAsia="宋体" w:cs="Times New Roman"/>
          <w:sz w:val="18"/>
          <w:szCs w:val="18"/>
          <w:vertAlign w:val="baseline"/>
        </w:rPr>
        <w:t>2025</w:t>
      </w:r>
      <w:r>
        <w:rPr>
          <w:rFonts w:hint="eastAsia" w:ascii="宋体" w:hAnsi="宋体" w:eastAsia="宋体" w:cs="宋体"/>
          <w:sz w:val="18"/>
          <w:szCs w:val="18"/>
          <w:vertAlign w:val="baseline"/>
        </w:rPr>
        <w:t>年</w:t>
      </w:r>
      <w:r>
        <w:rPr>
          <w:rFonts w:hint="default" w:ascii="Times New Roman" w:hAnsi="Times New Roman" w:eastAsia="宋体" w:cs="Times New Roman"/>
          <w:sz w:val="18"/>
          <w:szCs w:val="18"/>
          <w:vertAlign w:val="baseline"/>
        </w:rPr>
        <w:t>12</w:t>
      </w:r>
      <w:r>
        <w:rPr>
          <w:rFonts w:hint="eastAsia" w:ascii="宋体" w:hAnsi="宋体" w:eastAsia="宋体" w:cs="宋体"/>
          <w:sz w:val="18"/>
          <w:szCs w:val="18"/>
          <w:vertAlign w:val="baseline"/>
        </w:rPr>
        <w:t>月</w:t>
      </w:r>
      <w:r>
        <w:rPr>
          <w:rFonts w:hint="default" w:ascii="Times New Roman" w:hAnsi="Times New Roman" w:eastAsia="宋体" w:cs="Times New Roman"/>
          <w:sz w:val="18"/>
          <w:szCs w:val="18"/>
          <w:vertAlign w:val="baseline"/>
        </w:rPr>
        <w:t>31</w:t>
      </w:r>
      <w:r>
        <w:rPr>
          <w:rFonts w:hint="eastAsia" w:ascii="宋体" w:hAnsi="宋体" w:eastAsia="宋体" w:cs="宋体"/>
          <w:sz w:val="18"/>
          <w:szCs w:val="18"/>
          <w:vertAlign w:val="baseline"/>
        </w:rPr>
        <w:t>日的财务状况、</w:t>
      </w:r>
      <w:r>
        <w:rPr>
          <w:rFonts w:hint="default" w:ascii="Times New Roman" w:hAnsi="Times New Roman" w:eastAsia="宋体" w:cs="Times New Roman"/>
          <w:sz w:val="18"/>
          <w:szCs w:val="18"/>
          <w:vertAlign w:val="baseline"/>
        </w:rPr>
        <w:t>2025</w:t>
      </w:r>
      <w:r>
        <w:rPr>
          <w:rFonts w:hint="eastAsia" w:ascii="宋体" w:hAnsi="宋体" w:eastAsia="宋体" w:cs="宋体"/>
          <w:sz w:val="18"/>
          <w:szCs w:val="18"/>
          <w:vertAlign w:val="baseline"/>
        </w:rPr>
        <w:t>年度的经营成果和现金流量等相关信息。</w:t>
      </w:r>
    </w:p>
    <w:p w14:paraId="5A61F59D">
      <w:pPr>
        <w:pStyle w:val="3"/>
        <w:keepNext/>
        <w:keepLines/>
        <w:pageBreakBefore w:val="0"/>
        <w:kinsoku/>
        <w:wordWrap/>
        <w:overflowPunct/>
        <w:topLinePunct w:val="0"/>
        <w:autoSpaceDE/>
        <w:autoSpaceDN/>
        <w:bidi w:val="0"/>
        <w:adjustRightInd/>
        <w:snapToGrid/>
        <w:spacing w:before="0" w:beforeAutospacing="0" w:after="0" w:afterAutospacing="0" w:line="240" w:lineRule="auto"/>
        <w:ind w:left="0" w:firstLine="360" w:firstLineChars="200"/>
        <w:jc w:val="left"/>
        <w:outlineLvl w:val="2"/>
        <w:rPr>
          <w:rFonts w:hint="eastAsia" w:ascii="宋体" w:hAnsi="宋体" w:eastAsia="宋体" w:cs="宋体"/>
          <w:b/>
          <w:bCs/>
          <w:sz w:val="18"/>
          <w:szCs w:val="18"/>
        </w:rPr>
      </w:pPr>
      <w:bookmarkStart w:id="235" w:name="_Toc989047"/>
      <w:r>
        <w:rPr>
          <w:rFonts w:hint="default" w:ascii="Times New Roman" w:hAnsi="Times New Roman" w:eastAsia="宋体" w:cs="Times New Roman"/>
          <w:b/>
          <w:bCs/>
          <w:sz w:val="18"/>
          <w:szCs w:val="18"/>
        </w:rPr>
        <w:t>2</w:t>
      </w:r>
      <w:r>
        <w:rPr>
          <w:rFonts w:hint="eastAsia" w:ascii="宋体" w:hAnsi="宋体" w:eastAsia="宋体" w:cs="宋体"/>
          <w:b/>
          <w:bCs/>
          <w:sz w:val="18"/>
          <w:szCs w:val="18"/>
        </w:rPr>
        <w:t>、会计期间</w:t>
      </w:r>
      <w:bookmarkEnd w:id="235"/>
    </w:p>
    <w:p w14:paraId="4DCB7DD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本公司会计年度为公历年度，即每年</w:t>
      </w:r>
      <w:r>
        <w:rPr>
          <w:rFonts w:hint="default" w:ascii="Times New Roman" w:hAnsi="Times New Roman" w:eastAsia="宋体" w:cs="Times New Roman"/>
          <w:sz w:val="18"/>
          <w:szCs w:val="18"/>
          <w:vertAlign w:val="baseline"/>
        </w:rPr>
        <w:t>1</w:t>
      </w:r>
      <w:r>
        <w:rPr>
          <w:rFonts w:hint="eastAsia" w:ascii="宋体" w:hAnsi="宋体" w:eastAsia="宋体" w:cs="宋体"/>
          <w:sz w:val="18"/>
          <w:szCs w:val="18"/>
          <w:vertAlign w:val="baseline"/>
        </w:rPr>
        <w:t>月</w:t>
      </w:r>
      <w:r>
        <w:rPr>
          <w:rFonts w:hint="default" w:ascii="Times New Roman" w:hAnsi="Times New Roman" w:eastAsia="宋体" w:cs="Times New Roman"/>
          <w:sz w:val="18"/>
          <w:szCs w:val="18"/>
          <w:vertAlign w:val="baseline"/>
        </w:rPr>
        <w:t>1</w:t>
      </w:r>
      <w:r>
        <w:rPr>
          <w:rFonts w:hint="eastAsia" w:ascii="宋体" w:hAnsi="宋体" w:eastAsia="宋体" w:cs="宋体"/>
          <w:sz w:val="18"/>
          <w:szCs w:val="18"/>
          <w:vertAlign w:val="baseline"/>
        </w:rPr>
        <w:t>日起至</w:t>
      </w:r>
      <w:r>
        <w:rPr>
          <w:rFonts w:hint="default" w:ascii="Times New Roman" w:hAnsi="Times New Roman" w:eastAsia="宋体" w:cs="Times New Roman"/>
          <w:sz w:val="18"/>
          <w:szCs w:val="18"/>
          <w:vertAlign w:val="baseline"/>
        </w:rPr>
        <w:t>12</w:t>
      </w:r>
      <w:r>
        <w:rPr>
          <w:rFonts w:hint="eastAsia" w:ascii="宋体" w:hAnsi="宋体" w:eastAsia="宋体" w:cs="宋体"/>
          <w:sz w:val="18"/>
          <w:szCs w:val="18"/>
          <w:vertAlign w:val="baseline"/>
        </w:rPr>
        <w:t>月</w:t>
      </w:r>
      <w:r>
        <w:rPr>
          <w:rFonts w:hint="default" w:ascii="Times New Roman" w:hAnsi="Times New Roman" w:eastAsia="宋体" w:cs="Times New Roman"/>
          <w:sz w:val="18"/>
          <w:szCs w:val="18"/>
          <w:vertAlign w:val="baseline"/>
        </w:rPr>
        <w:t>31</w:t>
      </w:r>
      <w:r>
        <w:rPr>
          <w:rFonts w:hint="eastAsia" w:ascii="宋体" w:hAnsi="宋体" w:eastAsia="宋体" w:cs="宋体"/>
          <w:sz w:val="18"/>
          <w:szCs w:val="18"/>
          <w:vertAlign w:val="baseline"/>
        </w:rPr>
        <w:t>日止。</w:t>
      </w:r>
    </w:p>
    <w:p w14:paraId="09FF9AC7">
      <w:pPr>
        <w:pStyle w:val="3"/>
        <w:keepNext/>
        <w:keepLines/>
        <w:pageBreakBefore w:val="0"/>
        <w:kinsoku/>
        <w:wordWrap/>
        <w:overflowPunct/>
        <w:topLinePunct w:val="0"/>
        <w:autoSpaceDE/>
        <w:autoSpaceDN/>
        <w:bidi w:val="0"/>
        <w:adjustRightInd/>
        <w:snapToGrid/>
        <w:spacing w:before="0" w:beforeAutospacing="0" w:after="0" w:afterAutospacing="0" w:line="240" w:lineRule="auto"/>
        <w:ind w:left="0" w:firstLine="360" w:firstLineChars="200"/>
        <w:jc w:val="left"/>
        <w:outlineLvl w:val="2"/>
        <w:rPr>
          <w:rFonts w:hint="eastAsia" w:ascii="宋体" w:hAnsi="宋体" w:eastAsia="宋体" w:cs="宋体"/>
          <w:b/>
          <w:bCs/>
          <w:sz w:val="18"/>
          <w:szCs w:val="18"/>
        </w:rPr>
      </w:pPr>
      <w:bookmarkStart w:id="236" w:name="_Toc989048"/>
      <w:r>
        <w:rPr>
          <w:rFonts w:hint="default" w:ascii="Times New Roman" w:hAnsi="Times New Roman" w:eastAsia="宋体" w:cs="Times New Roman"/>
          <w:b/>
          <w:bCs/>
          <w:sz w:val="18"/>
          <w:szCs w:val="18"/>
        </w:rPr>
        <w:t>3</w:t>
      </w:r>
      <w:r>
        <w:rPr>
          <w:rFonts w:hint="eastAsia" w:ascii="宋体" w:hAnsi="宋体" w:eastAsia="宋体" w:cs="宋体"/>
          <w:b/>
          <w:bCs/>
          <w:sz w:val="18"/>
          <w:szCs w:val="18"/>
        </w:rPr>
        <w:t>、营业周期</w:t>
      </w:r>
      <w:bookmarkEnd w:id="236"/>
    </w:p>
    <w:p w14:paraId="624212D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360" w:firstLineChars="200"/>
        <w:rPr>
          <w:rFonts w:hint="eastAsia" w:ascii="宋体" w:hAnsi="宋体" w:eastAsia="宋体" w:cs="宋体"/>
          <w:sz w:val="18"/>
          <w:szCs w:val="18"/>
        </w:rPr>
      </w:pPr>
      <w:r>
        <w:rPr>
          <w:rFonts w:hint="eastAsia" w:ascii="宋体" w:hAnsi="宋体" w:eastAsia="宋体" w:cs="宋体"/>
          <w:sz w:val="18"/>
          <w:szCs w:val="18"/>
        </w:rPr>
        <w:t>本公司以一年</w:t>
      </w:r>
      <w:r>
        <w:rPr>
          <w:rFonts w:hint="default" w:ascii="Times New Roman" w:hAnsi="Times New Roman" w:eastAsia="宋体" w:cs="Times New Roman"/>
          <w:sz w:val="18"/>
          <w:szCs w:val="18"/>
        </w:rPr>
        <w:t>12</w:t>
      </w:r>
      <w:r>
        <w:rPr>
          <w:rFonts w:hint="eastAsia" w:ascii="宋体" w:hAnsi="宋体" w:eastAsia="宋体" w:cs="宋体"/>
          <w:sz w:val="18"/>
          <w:szCs w:val="18"/>
        </w:rPr>
        <w:t>个月作为正常营业周期，并以营业周期作为资产和负债的流动性划分标准。</w:t>
      </w:r>
    </w:p>
    <w:p w14:paraId="651F392C">
      <w:pPr>
        <w:pStyle w:val="3"/>
        <w:keepNext/>
        <w:keepLines/>
        <w:pageBreakBefore w:val="0"/>
        <w:kinsoku/>
        <w:wordWrap/>
        <w:overflowPunct/>
        <w:topLinePunct w:val="0"/>
        <w:autoSpaceDE/>
        <w:autoSpaceDN/>
        <w:bidi w:val="0"/>
        <w:adjustRightInd/>
        <w:snapToGrid/>
        <w:spacing w:before="0" w:beforeAutospacing="0" w:after="0" w:afterAutospacing="0" w:line="240" w:lineRule="auto"/>
        <w:ind w:left="0" w:firstLine="360" w:firstLineChars="200"/>
        <w:jc w:val="left"/>
        <w:outlineLvl w:val="2"/>
        <w:rPr>
          <w:rFonts w:hint="eastAsia" w:ascii="宋体" w:hAnsi="宋体" w:eastAsia="宋体" w:cs="宋体"/>
          <w:b/>
          <w:bCs/>
          <w:sz w:val="18"/>
          <w:szCs w:val="18"/>
        </w:rPr>
      </w:pPr>
      <w:bookmarkStart w:id="237" w:name="_Toc989049"/>
      <w:r>
        <w:rPr>
          <w:rFonts w:hint="default" w:ascii="Times New Roman" w:hAnsi="Times New Roman" w:eastAsia="宋体" w:cs="Times New Roman"/>
          <w:b/>
          <w:bCs/>
          <w:sz w:val="18"/>
          <w:szCs w:val="18"/>
        </w:rPr>
        <w:t>4</w:t>
      </w:r>
      <w:r>
        <w:rPr>
          <w:rFonts w:hint="eastAsia" w:ascii="宋体" w:hAnsi="宋体" w:eastAsia="宋体" w:cs="宋体"/>
          <w:b/>
          <w:bCs/>
          <w:sz w:val="18"/>
          <w:szCs w:val="18"/>
        </w:rPr>
        <w:t>、记账本位币</w:t>
      </w:r>
      <w:bookmarkEnd w:id="237"/>
    </w:p>
    <w:p w14:paraId="4B1C2A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360" w:firstLineChars="200"/>
        <w:rPr>
          <w:rFonts w:hint="eastAsia" w:ascii="宋体" w:hAnsi="宋体" w:eastAsia="宋体" w:cs="宋体"/>
          <w:sz w:val="18"/>
          <w:szCs w:val="18"/>
        </w:rPr>
      </w:pPr>
      <w:r>
        <w:rPr>
          <w:rFonts w:hint="eastAsia" w:ascii="宋体" w:hAnsi="宋体" w:eastAsia="宋体" w:cs="宋体"/>
          <w:sz w:val="18"/>
          <w:szCs w:val="18"/>
        </w:rPr>
        <w:t>本公司以人民币为记账本位币。</w:t>
      </w:r>
    </w:p>
    <w:p w14:paraId="793BF87E">
      <w:pPr>
        <w:pStyle w:val="3"/>
        <w:keepNext/>
        <w:keepLines/>
        <w:pageBreakBefore w:val="0"/>
        <w:kinsoku/>
        <w:wordWrap/>
        <w:overflowPunct/>
        <w:topLinePunct w:val="0"/>
        <w:autoSpaceDE/>
        <w:autoSpaceDN/>
        <w:bidi w:val="0"/>
        <w:adjustRightInd/>
        <w:snapToGrid/>
        <w:spacing w:before="0" w:beforeAutospacing="0" w:after="0" w:afterAutospacing="0" w:line="240" w:lineRule="auto"/>
        <w:ind w:left="0" w:firstLine="360" w:firstLineChars="200"/>
        <w:jc w:val="left"/>
        <w:outlineLvl w:val="2"/>
        <w:rPr>
          <w:rFonts w:hint="eastAsia" w:ascii="宋体" w:hAnsi="宋体" w:eastAsia="宋体" w:cs="宋体"/>
          <w:b/>
          <w:bCs/>
          <w:sz w:val="18"/>
          <w:szCs w:val="18"/>
        </w:rPr>
      </w:pPr>
      <w:bookmarkStart w:id="238" w:name="_Toc989050"/>
      <w:r>
        <w:rPr>
          <w:rFonts w:hint="default" w:ascii="Times New Roman" w:hAnsi="Times New Roman" w:eastAsia="宋体" w:cs="Times New Roman"/>
          <w:b/>
          <w:bCs/>
          <w:sz w:val="18"/>
          <w:szCs w:val="18"/>
        </w:rPr>
        <w:t>5</w:t>
      </w:r>
      <w:r>
        <w:rPr>
          <w:rFonts w:hint="eastAsia" w:ascii="宋体" w:hAnsi="宋体" w:eastAsia="宋体" w:cs="宋体"/>
          <w:b/>
          <w:bCs/>
          <w:sz w:val="18"/>
          <w:szCs w:val="18"/>
        </w:rPr>
        <w:t>、重要性标准确定方法和选择依据</w:t>
      </w:r>
      <w:bookmarkEnd w:id="238"/>
    </w:p>
    <w:p w14:paraId="770F8A4F">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sym w:font="Wingdings 2" w:char="F052"/>
      </w:r>
      <w:r>
        <w:rPr>
          <w:rFonts w:hint="eastAsia" w:ascii="宋体" w:hAnsi="宋体" w:eastAsia="宋体" w:cs="宋体"/>
          <w:sz w:val="18"/>
          <w:szCs w:val="18"/>
        </w:rPr>
        <w:t>适用 □不适用</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2475D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430F434">
            <w:pPr>
              <w:pageBreakBefore w:val="0"/>
              <w:kinsoku/>
              <w:wordWrap/>
              <w:overflowPunct/>
              <w:topLinePunct w:val="0"/>
              <w:autoSpaceDE/>
              <w:autoSpaceDN/>
              <w:bidi w:val="0"/>
              <w:adjustRightInd/>
              <w:snapToGrid/>
              <w:spacing w:beforeAutospacing="0" w:afterAutospacing="0" w:line="240" w:lineRule="auto"/>
              <w:ind w:left="0" w:firstLine="360" w:firstLineChars="200"/>
              <w:jc w:val="center"/>
              <w:rPr>
                <w:rFonts w:hint="eastAsia" w:ascii="宋体" w:hAnsi="宋体" w:eastAsia="宋体" w:cs="宋体"/>
                <w:sz w:val="18"/>
                <w:szCs w:val="18"/>
              </w:rPr>
            </w:pPr>
            <w:r>
              <w:rPr>
                <w:rFonts w:hint="eastAsia"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D6B39AE">
            <w:pPr>
              <w:pageBreakBefore w:val="0"/>
              <w:kinsoku/>
              <w:wordWrap/>
              <w:overflowPunct/>
              <w:topLinePunct w:val="0"/>
              <w:autoSpaceDE/>
              <w:autoSpaceDN/>
              <w:bidi w:val="0"/>
              <w:adjustRightInd/>
              <w:snapToGrid/>
              <w:spacing w:beforeAutospacing="0" w:afterAutospacing="0" w:line="240" w:lineRule="auto"/>
              <w:ind w:left="0" w:firstLine="360" w:firstLineChars="200"/>
              <w:jc w:val="center"/>
              <w:rPr>
                <w:rFonts w:hint="eastAsia" w:ascii="宋体" w:hAnsi="宋体" w:eastAsia="宋体" w:cs="宋体"/>
                <w:sz w:val="18"/>
                <w:szCs w:val="18"/>
              </w:rPr>
            </w:pPr>
            <w:r>
              <w:rPr>
                <w:rFonts w:hint="eastAsia" w:ascii="宋体" w:hAnsi="宋体" w:eastAsia="宋体" w:cs="宋体"/>
                <w:sz w:val="18"/>
                <w:szCs w:val="18"/>
              </w:rPr>
              <w:t>重要性标准</w:t>
            </w:r>
          </w:p>
        </w:tc>
      </w:tr>
      <w:tr w14:paraId="5D5A9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DDE9F54">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重要的单项计提坏账准备的应收款项</w:t>
            </w:r>
          </w:p>
        </w:tc>
        <w:tc>
          <w:tcPr>
            <w:tcW w:w="4820" w:type="dxa"/>
            <w:tcBorders>
              <w:top w:val="single" w:color="auto" w:sz="2" w:space="0"/>
              <w:left w:val="single" w:color="auto" w:sz="2" w:space="0"/>
              <w:bottom w:val="single" w:color="auto" w:sz="2" w:space="0"/>
              <w:right w:val="single" w:color="auto" w:sz="2" w:space="0"/>
            </w:tcBorders>
            <w:vAlign w:val="center"/>
          </w:tcPr>
          <w:p w14:paraId="3DA6F379">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单项金额占应收款项或坏账准备</w:t>
            </w:r>
            <w:r>
              <w:rPr>
                <w:rFonts w:hint="default" w:ascii="Times New Roman" w:hAnsi="Times New Roman" w:eastAsia="宋体" w:cs="Times New Roman"/>
                <w:sz w:val="18"/>
                <w:szCs w:val="18"/>
              </w:rPr>
              <w:t>5%</w:t>
            </w:r>
            <w:r>
              <w:rPr>
                <w:rFonts w:hint="eastAsia" w:ascii="宋体" w:hAnsi="宋体" w:eastAsia="宋体" w:cs="宋体"/>
                <w:sz w:val="18"/>
                <w:szCs w:val="18"/>
              </w:rPr>
              <w:t>以上，且金额超过</w:t>
            </w:r>
            <w:r>
              <w:rPr>
                <w:rFonts w:hint="default" w:ascii="Times New Roman" w:hAnsi="Times New Roman" w:eastAsia="宋体" w:cs="Times New Roman"/>
                <w:sz w:val="18"/>
                <w:szCs w:val="18"/>
              </w:rPr>
              <w:t>150</w:t>
            </w:r>
            <w:r>
              <w:rPr>
                <w:rFonts w:hint="eastAsia" w:ascii="宋体" w:hAnsi="宋体" w:eastAsia="宋体" w:cs="宋体"/>
                <w:sz w:val="18"/>
                <w:szCs w:val="18"/>
              </w:rPr>
              <w:t>万元，或当期计提坏账准备影响盈亏变化</w:t>
            </w:r>
          </w:p>
        </w:tc>
      </w:tr>
      <w:tr w14:paraId="7F765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9AE03E1">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核销的重要应收账款</w:t>
            </w:r>
          </w:p>
        </w:tc>
        <w:tc>
          <w:tcPr>
            <w:tcW w:w="4820" w:type="dxa"/>
            <w:tcBorders>
              <w:top w:val="single" w:color="auto" w:sz="2" w:space="0"/>
              <w:left w:val="single" w:color="auto" w:sz="2" w:space="0"/>
              <w:bottom w:val="single" w:color="auto" w:sz="2" w:space="0"/>
              <w:right w:val="single" w:color="auto" w:sz="2" w:space="0"/>
            </w:tcBorders>
            <w:vAlign w:val="center"/>
          </w:tcPr>
          <w:p w14:paraId="2D104D00">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单项金额占应收款项或坏账准备</w:t>
            </w:r>
            <w:r>
              <w:rPr>
                <w:rFonts w:hint="default" w:ascii="Times New Roman" w:hAnsi="Times New Roman" w:eastAsia="宋体" w:cs="Times New Roman"/>
                <w:sz w:val="18"/>
                <w:szCs w:val="18"/>
              </w:rPr>
              <w:t>5%</w:t>
            </w:r>
            <w:r>
              <w:rPr>
                <w:rFonts w:hint="eastAsia" w:ascii="宋体" w:hAnsi="宋体" w:eastAsia="宋体" w:cs="宋体"/>
                <w:sz w:val="18"/>
                <w:szCs w:val="18"/>
              </w:rPr>
              <w:t>以上，且金额超过</w:t>
            </w:r>
            <w:r>
              <w:rPr>
                <w:rFonts w:hint="default" w:ascii="Times New Roman" w:hAnsi="Times New Roman" w:eastAsia="宋体" w:cs="Times New Roman"/>
                <w:sz w:val="18"/>
                <w:szCs w:val="18"/>
              </w:rPr>
              <w:t>100</w:t>
            </w:r>
            <w:r>
              <w:rPr>
                <w:rFonts w:hint="eastAsia" w:ascii="宋体" w:hAnsi="宋体" w:eastAsia="宋体" w:cs="宋体"/>
                <w:sz w:val="18"/>
                <w:szCs w:val="18"/>
              </w:rPr>
              <w:t>万元，或当期计提坏账准备影响盈亏变化</w:t>
            </w:r>
          </w:p>
        </w:tc>
      </w:tr>
      <w:tr w14:paraId="74B83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BB275C3">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账龄超过</w:t>
            </w:r>
            <w:r>
              <w:rPr>
                <w:rFonts w:hint="default" w:ascii="Times New Roman" w:hAnsi="Times New Roman" w:eastAsia="宋体" w:cs="Times New Roman"/>
                <w:sz w:val="18"/>
                <w:szCs w:val="18"/>
              </w:rPr>
              <w:t>1</w:t>
            </w:r>
            <w:r>
              <w:rPr>
                <w:rFonts w:hint="eastAsia" w:ascii="宋体" w:hAnsi="宋体" w:eastAsia="宋体" w:cs="宋体"/>
                <w:sz w:val="18"/>
                <w:szCs w:val="18"/>
              </w:rPr>
              <w:t>年以上的重要预付款项</w:t>
            </w:r>
          </w:p>
        </w:tc>
        <w:tc>
          <w:tcPr>
            <w:tcW w:w="4820" w:type="dxa"/>
            <w:tcBorders>
              <w:top w:val="single" w:color="auto" w:sz="2" w:space="0"/>
              <w:left w:val="single" w:color="auto" w:sz="2" w:space="0"/>
              <w:bottom w:val="single" w:color="auto" w:sz="2" w:space="0"/>
              <w:right w:val="single" w:color="auto" w:sz="2" w:space="0"/>
            </w:tcBorders>
            <w:vAlign w:val="center"/>
          </w:tcPr>
          <w:p w14:paraId="21255D22">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单项金额占预付款项总额</w:t>
            </w:r>
            <w:r>
              <w:rPr>
                <w:rFonts w:hint="default" w:ascii="Times New Roman" w:hAnsi="Times New Roman" w:eastAsia="宋体" w:cs="Times New Roman"/>
                <w:sz w:val="18"/>
                <w:szCs w:val="18"/>
              </w:rPr>
              <w:t>5%</w:t>
            </w:r>
            <w:r>
              <w:rPr>
                <w:rFonts w:hint="eastAsia" w:ascii="宋体" w:hAnsi="宋体" w:eastAsia="宋体" w:cs="宋体"/>
                <w:sz w:val="18"/>
                <w:szCs w:val="18"/>
              </w:rPr>
              <w:t>以上，且金额超过</w:t>
            </w:r>
            <w:r>
              <w:rPr>
                <w:rFonts w:hint="default" w:ascii="Times New Roman" w:hAnsi="Times New Roman" w:eastAsia="宋体" w:cs="Times New Roman"/>
                <w:sz w:val="18"/>
                <w:szCs w:val="18"/>
              </w:rPr>
              <w:t>150</w:t>
            </w:r>
            <w:r>
              <w:rPr>
                <w:rFonts w:hint="eastAsia" w:ascii="宋体" w:hAnsi="宋体" w:eastAsia="宋体" w:cs="宋体"/>
                <w:sz w:val="18"/>
                <w:szCs w:val="18"/>
              </w:rPr>
              <w:t>万元</w:t>
            </w:r>
          </w:p>
        </w:tc>
      </w:tr>
      <w:tr w14:paraId="3C6E6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F182351">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重要的在建工程项目</w:t>
            </w:r>
          </w:p>
        </w:tc>
        <w:tc>
          <w:tcPr>
            <w:tcW w:w="4820" w:type="dxa"/>
            <w:tcBorders>
              <w:top w:val="single" w:color="auto" w:sz="2" w:space="0"/>
              <w:left w:val="single" w:color="auto" w:sz="2" w:space="0"/>
              <w:bottom w:val="single" w:color="auto" w:sz="2" w:space="0"/>
              <w:right w:val="single" w:color="auto" w:sz="2" w:space="0"/>
            </w:tcBorders>
            <w:vAlign w:val="center"/>
          </w:tcPr>
          <w:p w14:paraId="247FA8D5">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当期发生额占在建工程本期发生总额</w:t>
            </w:r>
            <w:r>
              <w:rPr>
                <w:rFonts w:hint="default" w:ascii="Times New Roman" w:hAnsi="Times New Roman" w:eastAsia="宋体" w:cs="Times New Roman"/>
                <w:sz w:val="18"/>
                <w:szCs w:val="18"/>
              </w:rPr>
              <w:t>10%</w:t>
            </w:r>
            <w:r>
              <w:rPr>
                <w:rFonts w:hint="eastAsia" w:ascii="宋体" w:hAnsi="宋体" w:eastAsia="宋体" w:cs="宋体"/>
                <w:sz w:val="18"/>
                <w:szCs w:val="18"/>
              </w:rPr>
              <w:t>以上（或期末余额占比</w:t>
            </w:r>
            <w:r>
              <w:rPr>
                <w:rFonts w:hint="default" w:ascii="Times New Roman" w:hAnsi="Times New Roman" w:eastAsia="宋体" w:cs="Times New Roman"/>
                <w:sz w:val="18"/>
                <w:szCs w:val="18"/>
              </w:rPr>
              <w:t>10%</w:t>
            </w:r>
            <w:r>
              <w:rPr>
                <w:rFonts w:hint="eastAsia" w:ascii="宋体" w:hAnsi="宋体" w:eastAsia="宋体" w:cs="宋体"/>
                <w:sz w:val="18"/>
                <w:szCs w:val="18"/>
              </w:rPr>
              <w:t>以上），且金额超过</w:t>
            </w:r>
            <w:r>
              <w:rPr>
                <w:rFonts w:hint="default" w:ascii="Times New Roman" w:hAnsi="Times New Roman" w:eastAsia="宋体" w:cs="Times New Roman"/>
                <w:sz w:val="18"/>
                <w:szCs w:val="18"/>
              </w:rPr>
              <w:t>500</w:t>
            </w:r>
            <w:r>
              <w:rPr>
                <w:rFonts w:hint="eastAsia" w:ascii="宋体" w:hAnsi="宋体" w:eastAsia="宋体" w:cs="宋体"/>
                <w:sz w:val="18"/>
                <w:szCs w:val="18"/>
              </w:rPr>
              <w:t>万元</w:t>
            </w:r>
          </w:p>
        </w:tc>
      </w:tr>
      <w:tr w14:paraId="4882B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18C3D92">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重要的资本化研发项目</w:t>
            </w:r>
          </w:p>
        </w:tc>
        <w:tc>
          <w:tcPr>
            <w:tcW w:w="4820" w:type="dxa"/>
            <w:tcBorders>
              <w:top w:val="single" w:color="auto" w:sz="2" w:space="0"/>
              <w:left w:val="single" w:color="auto" w:sz="2" w:space="0"/>
              <w:bottom w:val="single" w:color="auto" w:sz="2" w:space="0"/>
              <w:right w:val="single" w:color="auto" w:sz="2" w:space="0"/>
            </w:tcBorders>
            <w:vAlign w:val="center"/>
          </w:tcPr>
          <w:p w14:paraId="022AD5C7">
            <w:pPr>
              <w:pageBreakBefore w:val="0"/>
              <w:kinsoku/>
              <w:wordWrap/>
              <w:overflowPunct/>
              <w:topLinePunct w:val="0"/>
              <w:autoSpaceDE/>
              <w:autoSpaceDN/>
              <w:bidi w:val="0"/>
              <w:adjustRightInd/>
              <w:snapToGrid/>
              <w:spacing w:beforeAutospacing="0" w:afterAutospacing="0" w:line="240" w:lineRule="auto"/>
              <w:jc w:val="left"/>
              <w:rPr>
                <w:rFonts w:hint="eastAsia" w:ascii="宋体" w:hAnsi="宋体" w:eastAsia="宋体" w:cs="宋体"/>
                <w:sz w:val="18"/>
                <w:szCs w:val="18"/>
              </w:rPr>
            </w:pPr>
            <w:r>
              <w:rPr>
                <w:rFonts w:hint="eastAsia" w:ascii="宋体" w:hAnsi="宋体" w:eastAsia="宋体" w:cs="宋体"/>
                <w:sz w:val="18"/>
                <w:szCs w:val="18"/>
              </w:rPr>
              <w:t>当期资本化金额占研发项目资本化总额</w:t>
            </w:r>
            <w:r>
              <w:rPr>
                <w:rFonts w:hint="default" w:ascii="Times New Roman" w:hAnsi="Times New Roman" w:eastAsia="宋体" w:cs="Times New Roman"/>
                <w:sz w:val="18"/>
                <w:szCs w:val="18"/>
              </w:rPr>
              <w:t>10%</w:t>
            </w:r>
            <w:r>
              <w:rPr>
                <w:rFonts w:hint="eastAsia" w:ascii="宋体" w:hAnsi="宋体" w:eastAsia="宋体" w:cs="宋体"/>
                <w:sz w:val="18"/>
                <w:szCs w:val="18"/>
              </w:rPr>
              <w:t>以上（或期末余额占比</w:t>
            </w:r>
            <w:r>
              <w:rPr>
                <w:rFonts w:hint="default" w:ascii="Times New Roman" w:hAnsi="Times New Roman" w:eastAsia="宋体" w:cs="Times New Roman"/>
                <w:sz w:val="18"/>
                <w:szCs w:val="18"/>
              </w:rPr>
              <w:t>10%</w:t>
            </w:r>
            <w:r>
              <w:rPr>
                <w:rFonts w:hint="eastAsia" w:ascii="宋体" w:hAnsi="宋体" w:eastAsia="宋体" w:cs="宋体"/>
                <w:sz w:val="18"/>
                <w:szCs w:val="18"/>
              </w:rPr>
              <w:t>以上），且金额超过</w:t>
            </w:r>
            <w:r>
              <w:rPr>
                <w:rFonts w:hint="default" w:ascii="Times New Roman" w:hAnsi="Times New Roman" w:eastAsia="宋体" w:cs="Times New Roman"/>
                <w:sz w:val="18"/>
                <w:szCs w:val="18"/>
              </w:rPr>
              <w:t>500</w:t>
            </w:r>
            <w:r>
              <w:rPr>
                <w:rFonts w:hint="eastAsia" w:ascii="宋体" w:hAnsi="宋体" w:eastAsia="宋体" w:cs="宋体"/>
                <w:sz w:val="18"/>
                <w:szCs w:val="18"/>
              </w:rPr>
              <w:t>万元</w:t>
            </w:r>
          </w:p>
        </w:tc>
      </w:tr>
      <w:tr w14:paraId="7D310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62060E8">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账龄超过</w:t>
            </w:r>
            <w:r>
              <w:rPr>
                <w:rFonts w:hint="default" w:ascii="Times New Roman" w:hAnsi="Times New Roman" w:eastAsia="宋体" w:cs="Times New Roman"/>
                <w:sz w:val="18"/>
                <w:szCs w:val="18"/>
              </w:rPr>
              <w:t>1</w:t>
            </w:r>
            <w:r>
              <w:rPr>
                <w:rFonts w:hint="eastAsia" w:ascii="宋体" w:hAnsi="宋体" w:eastAsia="宋体" w:cs="宋体"/>
                <w:sz w:val="18"/>
                <w:szCs w:val="18"/>
              </w:rPr>
              <w:t>年以上的重要应付账款</w:t>
            </w:r>
          </w:p>
        </w:tc>
        <w:tc>
          <w:tcPr>
            <w:tcW w:w="4820" w:type="dxa"/>
            <w:tcBorders>
              <w:top w:val="single" w:color="auto" w:sz="2" w:space="0"/>
              <w:left w:val="single" w:color="auto" w:sz="2" w:space="0"/>
              <w:bottom w:val="single" w:color="auto" w:sz="2" w:space="0"/>
              <w:right w:val="single" w:color="auto" w:sz="2" w:space="0"/>
            </w:tcBorders>
            <w:vAlign w:val="center"/>
          </w:tcPr>
          <w:p w14:paraId="2EC7D83D">
            <w:pPr>
              <w:pageBreakBefore w:val="0"/>
              <w:kinsoku/>
              <w:wordWrap/>
              <w:overflowPunct/>
              <w:topLinePunct w:val="0"/>
              <w:autoSpaceDE/>
              <w:autoSpaceDN/>
              <w:bidi w:val="0"/>
              <w:adjustRightInd/>
              <w:snapToGrid/>
              <w:spacing w:beforeAutospacing="0" w:afterAutospacing="0" w:line="240" w:lineRule="auto"/>
              <w:jc w:val="left"/>
              <w:rPr>
                <w:rFonts w:hint="eastAsia" w:ascii="宋体" w:hAnsi="宋体" w:eastAsia="宋体" w:cs="宋体"/>
                <w:sz w:val="18"/>
                <w:szCs w:val="18"/>
              </w:rPr>
            </w:pPr>
            <w:r>
              <w:rPr>
                <w:rFonts w:hint="eastAsia" w:ascii="宋体" w:hAnsi="宋体" w:eastAsia="宋体" w:cs="宋体"/>
                <w:sz w:val="18"/>
                <w:szCs w:val="18"/>
              </w:rPr>
              <w:t>单项金额占应付账款总额</w:t>
            </w:r>
            <w:r>
              <w:rPr>
                <w:rFonts w:hint="default" w:ascii="Times New Roman" w:hAnsi="Times New Roman" w:eastAsia="宋体" w:cs="Times New Roman"/>
                <w:sz w:val="18"/>
                <w:szCs w:val="18"/>
              </w:rPr>
              <w:t>5%</w:t>
            </w:r>
            <w:r>
              <w:rPr>
                <w:rFonts w:hint="eastAsia" w:ascii="宋体" w:hAnsi="宋体" w:eastAsia="宋体" w:cs="宋体"/>
                <w:sz w:val="18"/>
                <w:szCs w:val="18"/>
              </w:rPr>
              <w:t>以上，且金额超过</w:t>
            </w:r>
            <w:r>
              <w:rPr>
                <w:rFonts w:hint="default" w:ascii="Times New Roman" w:hAnsi="Times New Roman" w:eastAsia="宋体" w:cs="Times New Roman"/>
                <w:sz w:val="18"/>
                <w:szCs w:val="18"/>
              </w:rPr>
              <w:t>300</w:t>
            </w:r>
            <w:r>
              <w:rPr>
                <w:rFonts w:hint="eastAsia" w:ascii="宋体" w:hAnsi="宋体" w:eastAsia="宋体" w:cs="宋体"/>
                <w:sz w:val="18"/>
                <w:szCs w:val="18"/>
              </w:rPr>
              <w:t>万元</w:t>
            </w:r>
          </w:p>
        </w:tc>
      </w:tr>
      <w:tr w14:paraId="16B02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5EBE5F1">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账龄超过</w:t>
            </w:r>
            <w:r>
              <w:rPr>
                <w:rFonts w:hint="default" w:ascii="Times New Roman" w:hAnsi="Times New Roman" w:eastAsia="宋体" w:cs="Times New Roman"/>
                <w:sz w:val="18"/>
                <w:szCs w:val="18"/>
              </w:rPr>
              <w:t>1</w:t>
            </w:r>
            <w:r>
              <w:rPr>
                <w:rFonts w:hint="eastAsia" w:ascii="宋体" w:hAnsi="宋体" w:eastAsia="宋体" w:cs="宋体"/>
                <w:sz w:val="18"/>
                <w:szCs w:val="18"/>
              </w:rPr>
              <w:t>年以上的重要其他应付款</w:t>
            </w:r>
          </w:p>
        </w:tc>
        <w:tc>
          <w:tcPr>
            <w:tcW w:w="4820" w:type="dxa"/>
            <w:tcBorders>
              <w:top w:val="single" w:color="auto" w:sz="2" w:space="0"/>
              <w:left w:val="single" w:color="auto" w:sz="2" w:space="0"/>
              <w:bottom w:val="single" w:color="auto" w:sz="2" w:space="0"/>
              <w:right w:val="single" w:color="auto" w:sz="2" w:space="0"/>
            </w:tcBorders>
            <w:vAlign w:val="center"/>
          </w:tcPr>
          <w:p w14:paraId="24DDBB89">
            <w:pPr>
              <w:pageBreakBefore w:val="0"/>
              <w:kinsoku/>
              <w:wordWrap/>
              <w:overflowPunct/>
              <w:topLinePunct w:val="0"/>
              <w:autoSpaceDE/>
              <w:autoSpaceDN/>
              <w:bidi w:val="0"/>
              <w:adjustRightInd/>
              <w:snapToGrid/>
              <w:spacing w:beforeAutospacing="0" w:afterAutospacing="0" w:line="240" w:lineRule="auto"/>
              <w:jc w:val="left"/>
              <w:rPr>
                <w:rFonts w:hint="eastAsia" w:ascii="宋体" w:hAnsi="宋体" w:eastAsia="宋体" w:cs="宋体"/>
                <w:sz w:val="18"/>
                <w:szCs w:val="18"/>
              </w:rPr>
            </w:pPr>
            <w:r>
              <w:rPr>
                <w:rFonts w:hint="eastAsia" w:ascii="宋体" w:hAnsi="宋体" w:eastAsia="宋体" w:cs="宋体"/>
                <w:sz w:val="18"/>
                <w:szCs w:val="18"/>
              </w:rPr>
              <w:t>单项金额占其他应付款总额</w:t>
            </w:r>
            <w:r>
              <w:rPr>
                <w:rFonts w:hint="default" w:ascii="Times New Roman" w:hAnsi="Times New Roman" w:eastAsia="宋体" w:cs="Times New Roman"/>
                <w:sz w:val="18"/>
                <w:szCs w:val="18"/>
              </w:rPr>
              <w:t>5%</w:t>
            </w:r>
            <w:r>
              <w:rPr>
                <w:rFonts w:hint="eastAsia" w:ascii="宋体" w:hAnsi="宋体" w:eastAsia="宋体" w:cs="宋体"/>
                <w:sz w:val="18"/>
                <w:szCs w:val="18"/>
              </w:rPr>
              <w:t>以上，且金额超过</w:t>
            </w:r>
            <w:r>
              <w:rPr>
                <w:rFonts w:hint="default" w:ascii="Times New Roman" w:hAnsi="Times New Roman" w:eastAsia="宋体" w:cs="Times New Roman"/>
                <w:sz w:val="18"/>
                <w:szCs w:val="18"/>
              </w:rPr>
              <w:t>300</w:t>
            </w:r>
            <w:r>
              <w:rPr>
                <w:rFonts w:hint="eastAsia" w:ascii="宋体" w:hAnsi="宋体" w:eastAsia="宋体" w:cs="宋体"/>
                <w:sz w:val="18"/>
                <w:szCs w:val="18"/>
              </w:rPr>
              <w:t>万元</w:t>
            </w:r>
          </w:p>
        </w:tc>
      </w:tr>
      <w:tr w14:paraId="307A6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32BF97A">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账龄超过</w:t>
            </w:r>
            <w:r>
              <w:rPr>
                <w:rFonts w:hint="default" w:ascii="Times New Roman" w:hAnsi="Times New Roman" w:eastAsia="宋体" w:cs="Times New Roman"/>
                <w:sz w:val="18"/>
                <w:szCs w:val="18"/>
              </w:rPr>
              <w:t>1</w:t>
            </w:r>
            <w:r>
              <w:rPr>
                <w:rFonts w:hint="eastAsia" w:ascii="宋体" w:hAnsi="宋体" w:eastAsia="宋体" w:cs="宋体"/>
                <w:sz w:val="18"/>
                <w:szCs w:val="18"/>
              </w:rPr>
              <w:t>年以上的重要合同负债</w:t>
            </w:r>
          </w:p>
        </w:tc>
        <w:tc>
          <w:tcPr>
            <w:tcW w:w="4820" w:type="dxa"/>
            <w:tcBorders>
              <w:top w:val="single" w:color="auto" w:sz="2" w:space="0"/>
              <w:left w:val="single" w:color="auto" w:sz="2" w:space="0"/>
              <w:bottom w:val="single" w:color="auto" w:sz="2" w:space="0"/>
              <w:right w:val="single" w:color="auto" w:sz="2" w:space="0"/>
            </w:tcBorders>
            <w:vAlign w:val="center"/>
          </w:tcPr>
          <w:p w14:paraId="14B100E8">
            <w:pPr>
              <w:pageBreakBefore w:val="0"/>
              <w:kinsoku/>
              <w:wordWrap/>
              <w:overflowPunct/>
              <w:topLinePunct w:val="0"/>
              <w:autoSpaceDE/>
              <w:autoSpaceDN/>
              <w:bidi w:val="0"/>
              <w:adjustRightInd/>
              <w:snapToGrid/>
              <w:spacing w:beforeAutospacing="0" w:afterAutospacing="0" w:line="240" w:lineRule="auto"/>
              <w:jc w:val="left"/>
              <w:rPr>
                <w:rFonts w:hint="eastAsia" w:ascii="宋体" w:hAnsi="宋体" w:eastAsia="宋体" w:cs="宋体"/>
                <w:sz w:val="18"/>
                <w:szCs w:val="18"/>
              </w:rPr>
            </w:pPr>
            <w:r>
              <w:rPr>
                <w:rFonts w:hint="eastAsia" w:ascii="宋体" w:hAnsi="宋体" w:eastAsia="宋体" w:cs="宋体"/>
                <w:sz w:val="18"/>
                <w:szCs w:val="18"/>
              </w:rPr>
              <w:t>单项金额占合同负债总额</w:t>
            </w:r>
            <w:r>
              <w:rPr>
                <w:rFonts w:hint="default" w:ascii="Times New Roman" w:hAnsi="Times New Roman" w:eastAsia="宋体" w:cs="Times New Roman"/>
                <w:sz w:val="18"/>
                <w:szCs w:val="18"/>
              </w:rPr>
              <w:t>5%</w:t>
            </w:r>
            <w:r>
              <w:rPr>
                <w:rFonts w:hint="eastAsia" w:ascii="宋体" w:hAnsi="宋体" w:eastAsia="宋体" w:cs="宋体"/>
                <w:sz w:val="18"/>
                <w:szCs w:val="18"/>
              </w:rPr>
              <w:t>以上，且金额超过</w:t>
            </w:r>
            <w:r>
              <w:rPr>
                <w:rFonts w:hint="default" w:ascii="Times New Roman" w:hAnsi="Times New Roman" w:eastAsia="宋体" w:cs="Times New Roman"/>
                <w:sz w:val="18"/>
                <w:szCs w:val="18"/>
              </w:rPr>
              <w:t>300</w:t>
            </w:r>
            <w:r>
              <w:rPr>
                <w:rFonts w:hint="eastAsia" w:ascii="宋体" w:hAnsi="宋体" w:eastAsia="宋体" w:cs="宋体"/>
                <w:sz w:val="18"/>
                <w:szCs w:val="18"/>
              </w:rPr>
              <w:t>万元</w:t>
            </w:r>
          </w:p>
        </w:tc>
      </w:tr>
      <w:tr w14:paraId="4247D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0E32AD9">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账龄超过</w:t>
            </w:r>
            <w:r>
              <w:rPr>
                <w:rFonts w:hint="default" w:ascii="Times New Roman" w:hAnsi="Times New Roman" w:eastAsia="宋体" w:cs="Times New Roman"/>
                <w:sz w:val="18"/>
                <w:szCs w:val="18"/>
              </w:rPr>
              <w:t>1</w:t>
            </w:r>
            <w:r>
              <w:rPr>
                <w:rFonts w:hint="eastAsia" w:ascii="宋体" w:hAnsi="宋体" w:eastAsia="宋体" w:cs="宋体"/>
                <w:sz w:val="18"/>
                <w:szCs w:val="18"/>
              </w:rPr>
              <w:t>年以上的重要预收账款</w:t>
            </w:r>
          </w:p>
        </w:tc>
        <w:tc>
          <w:tcPr>
            <w:tcW w:w="4820" w:type="dxa"/>
            <w:tcBorders>
              <w:top w:val="single" w:color="auto" w:sz="2" w:space="0"/>
              <w:left w:val="single" w:color="auto" w:sz="2" w:space="0"/>
              <w:bottom w:val="single" w:color="auto" w:sz="2" w:space="0"/>
              <w:right w:val="single" w:color="auto" w:sz="2" w:space="0"/>
            </w:tcBorders>
            <w:vAlign w:val="center"/>
          </w:tcPr>
          <w:p w14:paraId="5626FD9A">
            <w:pPr>
              <w:pageBreakBefore w:val="0"/>
              <w:kinsoku/>
              <w:wordWrap/>
              <w:overflowPunct/>
              <w:topLinePunct w:val="0"/>
              <w:autoSpaceDE/>
              <w:autoSpaceDN/>
              <w:bidi w:val="0"/>
              <w:adjustRightInd/>
              <w:snapToGrid/>
              <w:spacing w:beforeAutospacing="0" w:afterAutospacing="0" w:line="240" w:lineRule="auto"/>
              <w:jc w:val="left"/>
              <w:rPr>
                <w:rFonts w:hint="eastAsia" w:ascii="宋体" w:hAnsi="宋体" w:eastAsia="宋体" w:cs="宋体"/>
                <w:sz w:val="18"/>
                <w:szCs w:val="18"/>
              </w:rPr>
            </w:pPr>
            <w:r>
              <w:rPr>
                <w:rFonts w:hint="eastAsia" w:ascii="宋体" w:hAnsi="宋体" w:eastAsia="宋体" w:cs="宋体"/>
                <w:sz w:val="18"/>
                <w:szCs w:val="18"/>
              </w:rPr>
              <w:t>单项金额占预收账款总额</w:t>
            </w:r>
            <w:r>
              <w:rPr>
                <w:rFonts w:hint="default" w:ascii="Times New Roman" w:hAnsi="Times New Roman" w:eastAsia="宋体" w:cs="Times New Roman"/>
                <w:sz w:val="18"/>
                <w:szCs w:val="18"/>
              </w:rPr>
              <w:t>5%</w:t>
            </w:r>
            <w:r>
              <w:rPr>
                <w:rFonts w:hint="eastAsia" w:ascii="宋体" w:hAnsi="宋体" w:eastAsia="宋体" w:cs="宋体"/>
                <w:sz w:val="18"/>
                <w:szCs w:val="18"/>
              </w:rPr>
              <w:t>以上，且金额超过</w:t>
            </w:r>
            <w:r>
              <w:rPr>
                <w:rFonts w:hint="default" w:ascii="Times New Roman" w:hAnsi="Times New Roman" w:eastAsia="宋体" w:cs="Times New Roman"/>
                <w:sz w:val="18"/>
                <w:szCs w:val="18"/>
              </w:rPr>
              <w:t>300</w:t>
            </w:r>
            <w:r>
              <w:rPr>
                <w:rFonts w:hint="eastAsia" w:ascii="宋体" w:hAnsi="宋体" w:eastAsia="宋体" w:cs="宋体"/>
                <w:sz w:val="18"/>
                <w:szCs w:val="18"/>
              </w:rPr>
              <w:t>万元</w:t>
            </w:r>
          </w:p>
        </w:tc>
      </w:tr>
      <w:tr w14:paraId="65B68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735AC8A">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重要的非全资子公司</w:t>
            </w:r>
          </w:p>
        </w:tc>
        <w:tc>
          <w:tcPr>
            <w:tcW w:w="4820" w:type="dxa"/>
            <w:tcBorders>
              <w:top w:val="single" w:color="auto" w:sz="2" w:space="0"/>
              <w:left w:val="single" w:color="auto" w:sz="2" w:space="0"/>
              <w:bottom w:val="single" w:color="auto" w:sz="2" w:space="0"/>
              <w:right w:val="single" w:color="auto" w:sz="2" w:space="0"/>
            </w:tcBorders>
            <w:vAlign w:val="center"/>
          </w:tcPr>
          <w:p w14:paraId="2DF9D18F">
            <w:pPr>
              <w:pageBreakBefore w:val="0"/>
              <w:kinsoku/>
              <w:wordWrap/>
              <w:overflowPunct/>
              <w:topLinePunct w:val="0"/>
              <w:autoSpaceDE/>
              <w:autoSpaceDN/>
              <w:bidi w:val="0"/>
              <w:adjustRightInd/>
              <w:snapToGrid/>
              <w:spacing w:beforeAutospacing="0" w:afterAutospacing="0" w:line="240" w:lineRule="auto"/>
              <w:jc w:val="left"/>
              <w:rPr>
                <w:rFonts w:hint="eastAsia" w:ascii="宋体" w:hAnsi="宋体" w:eastAsia="宋体" w:cs="宋体"/>
                <w:sz w:val="18"/>
                <w:szCs w:val="18"/>
              </w:rPr>
            </w:pPr>
            <w:r>
              <w:rPr>
                <w:rFonts w:hint="eastAsia" w:ascii="宋体" w:hAnsi="宋体" w:eastAsia="宋体" w:cs="宋体"/>
                <w:sz w:val="18"/>
                <w:szCs w:val="18"/>
              </w:rPr>
              <w:t>少数股东持有</w:t>
            </w:r>
            <w:r>
              <w:rPr>
                <w:rFonts w:hint="default" w:ascii="Times New Roman" w:hAnsi="Times New Roman" w:eastAsia="宋体" w:cs="Times New Roman"/>
                <w:sz w:val="18"/>
                <w:szCs w:val="18"/>
              </w:rPr>
              <w:t>5%</w:t>
            </w:r>
            <w:r>
              <w:rPr>
                <w:rFonts w:hint="eastAsia" w:ascii="宋体" w:hAnsi="宋体" w:eastAsia="宋体" w:cs="宋体"/>
                <w:sz w:val="18"/>
                <w:szCs w:val="18"/>
              </w:rPr>
              <w:t>以上权益，且子公司资产总额、净资产、营业收入和净利润中任一项目占合并报表相应项目</w:t>
            </w:r>
            <w:r>
              <w:rPr>
                <w:rFonts w:hint="default" w:ascii="Times New Roman" w:hAnsi="Times New Roman" w:eastAsia="宋体" w:cs="Times New Roman"/>
                <w:sz w:val="18"/>
                <w:szCs w:val="18"/>
              </w:rPr>
              <w:t>10%</w:t>
            </w:r>
            <w:r>
              <w:rPr>
                <w:rFonts w:hint="eastAsia" w:ascii="宋体" w:hAnsi="宋体" w:eastAsia="宋体" w:cs="宋体"/>
                <w:sz w:val="18"/>
                <w:szCs w:val="18"/>
              </w:rPr>
              <w:t>以上</w:t>
            </w:r>
          </w:p>
        </w:tc>
      </w:tr>
      <w:tr w14:paraId="5E12E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2C1526F">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重要的债务重组</w:t>
            </w:r>
          </w:p>
        </w:tc>
        <w:tc>
          <w:tcPr>
            <w:tcW w:w="4820" w:type="dxa"/>
            <w:tcBorders>
              <w:top w:val="single" w:color="auto" w:sz="2" w:space="0"/>
              <w:left w:val="single" w:color="auto" w:sz="2" w:space="0"/>
              <w:bottom w:val="single" w:color="auto" w:sz="2" w:space="0"/>
              <w:right w:val="single" w:color="auto" w:sz="2" w:space="0"/>
            </w:tcBorders>
            <w:vAlign w:val="center"/>
          </w:tcPr>
          <w:p w14:paraId="0E5AB59D">
            <w:pPr>
              <w:pageBreakBefore w:val="0"/>
              <w:kinsoku/>
              <w:wordWrap/>
              <w:overflowPunct/>
              <w:topLinePunct w:val="0"/>
              <w:autoSpaceDE/>
              <w:autoSpaceDN/>
              <w:bidi w:val="0"/>
              <w:adjustRightInd/>
              <w:snapToGrid/>
              <w:spacing w:beforeAutospacing="0" w:afterAutospacing="0" w:line="240" w:lineRule="auto"/>
              <w:jc w:val="left"/>
              <w:rPr>
                <w:rFonts w:hint="eastAsia" w:ascii="宋体" w:hAnsi="宋体" w:eastAsia="宋体" w:cs="宋体"/>
                <w:sz w:val="18"/>
                <w:szCs w:val="18"/>
              </w:rPr>
            </w:pPr>
            <w:r>
              <w:rPr>
                <w:rFonts w:hint="eastAsia" w:ascii="宋体" w:hAnsi="宋体" w:eastAsia="宋体" w:cs="宋体"/>
                <w:sz w:val="18"/>
                <w:szCs w:val="18"/>
              </w:rPr>
              <w:t>单项金额占该报表项目总额</w:t>
            </w:r>
            <w:r>
              <w:rPr>
                <w:rFonts w:hint="default" w:ascii="Times New Roman" w:hAnsi="Times New Roman" w:eastAsia="宋体" w:cs="Times New Roman"/>
                <w:sz w:val="18"/>
                <w:szCs w:val="18"/>
              </w:rPr>
              <w:t>10%</w:t>
            </w:r>
            <w:r>
              <w:rPr>
                <w:rFonts w:hint="eastAsia" w:ascii="宋体" w:hAnsi="宋体" w:eastAsia="宋体" w:cs="宋体"/>
                <w:sz w:val="18"/>
                <w:szCs w:val="18"/>
              </w:rPr>
              <w:t>以上，且绝对金额超过</w:t>
            </w:r>
            <w:r>
              <w:rPr>
                <w:rFonts w:hint="default" w:ascii="Times New Roman" w:hAnsi="Times New Roman" w:eastAsia="宋体" w:cs="Times New Roman"/>
                <w:sz w:val="18"/>
                <w:szCs w:val="18"/>
              </w:rPr>
              <w:t>300</w:t>
            </w:r>
            <w:r>
              <w:rPr>
                <w:rFonts w:hint="eastAsia" w:ascii="宋体" w:hAnsi="宋体" w:eastAsia="宋体" w:cs="宋体"/>
                <w:sz w:val="18"/>
                <w:szCs w:val="18"/>
              </w:rPr>
              <w:t>万元</w:t>
            </w:r>
          </w:p>
        </w:tc>
      </w:tr>
      <w:tr w14:paraId="4AF0A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669A801">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重要的或有事项</w:t>
            </w:r>
          </w:p>
        </w:tc>
        <w:tc>
          <w:tcPr>
            <w:tcW w:w="4820" w:type="dxa"/>
            <w:tcBorders>
              <w:top w:val="single" w:color="auto" w:sz="2" w:space="0"/>
              <w:left w:val="single" w:color="auto" w:sz="2" w:space="0"/>
              <w:bottom w:val="single" w:color="auto" w:sz="2" w:space="0"/>
              <w:right w:val="single" w:color="auto" w:sz="2" w:space="0"/>
            </w:tcBorders>
            <w:vAlign w:val="center"/>
          </w:tcPr>
          <w:p w14:paraId="5FAB1134">
            <w:pPr>
              <w:pageBreakBefore w:val="0"/>
              <w:kinsoku/>
              <w:wordWrap/>
              <w:overflowPunct/>
              <w:topLinePunct w:val="0"/>
              <w:autoSpaceDE/>
              <w:autoSpaceDN/>
              <w:bidi w:val="0"/>
              <w:adjustRightInd/>
              <w:snapToGrid/>
              <w:spacing w:beforeAutospacing="0" w:afterAutospacing="0" w:line="240" w:lineRule="auto"/>
              <w:jc w:val="left"/>
              <w:rPr>
                <w:rFonts w:hint="eastAsia" w:ascii="宋体" w:hAnsi="宋体" w:eastAsia="宋体" w:cs="宋体"/>
                <w:sz w:val="18"/>
                <w:szCs w:val="18"/>
              </w:rPr>
            </w:pPr>
            <w:r>
              <w:rPr>
                <w:rFonts w:hint="eastAsia" w:ascii="宋体" w:hAnsi="宋体" w:eastAsia="宋体" w:cs="宋体"/>
                <w:sz w:val="18"/>
                <w:szCs w:val="18"/>
              </w:rPr>
              <w:t>预计影响财务报表项目金额超过</w:t>
            </w:r>
            <w:r>
              <w:rPr>
                <w:rFonts w:hint="default" w:ascii="Times New Roman" w:hAnsi="Times New Roman" w:eastAsia="宋体" w:cs="Times New Roman"/>
                <w:sz w:val="18"/>
                <w:szCs w:val="18"/>
              </w:rPr>
              <w:t>500</w:t>
            </w:r>
            <w:r>
              <w:rPr>
                <w:rFonts w:hint="eastAsia" w:ascii="宋体" w:hAnsi="宋体" w:eastAsia="宋体" w:cs="宋体"/>
                <w:sz w:val="18"/>
                <w:szCs w:val="18"/>
              </w:rPr>
              <w:t>万元的或有事项，且对净利润影响超过</w:t>
            </w:r>
            <w:r>
              <w:rPr>
                <w:rFonts w:hint="default" w:ascii="Times New Roman" w:hAnsi="Times New Roman" w:eastAsia="宋体" w:cs="Times New Roman"/>
                <w:sz w:val="18"/>
                <w:szCs w:val="18"/>
              </w:rPr>
              <w:t>10%</w:t>
            </w:r>
          </w:p>
        </w:tc>
      </w:tr>
      <w:tr w14:paraId="44A46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532B765">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重要的预计负债</w:t>
            </w:r>
          </w:p>
        </w:tc>
        <w:tc>
          <w:tcPr>
            <w:tcW w:w="4820" w:type="dxa"/>
            <w:tcBorders>
              <w:top w:val="single" w:color="auto" w:sz="2" w:space="0"/>
              <w:left w:val="single" w:color="auto" w:sz="2" w:space="0"/>
              <w:bottom w:val="single" w:color="auto" w:sz="2" w:space="0"/>
              <w:right w:val="single" w:color="auto" w:sz="2" w:space="0"/>
            </w:tcBorders>
            <w:vAlign w:val="center"/>
          </w:tcPr>
          <w:p w14:paraId="1102B83E">
            <w:pPr>
              <w:pageBreakBefore w:val="0"/>
              <w:kinsoku/>
              <w:wordWrap/>
              <w:overflowPunct/>
              <w:topLinePunct w:val="0"/>
              <w:autoSpaceDE/>
              <w:autoSpaceDN/>
              <w:bidi w:val="0"/>
              <w:adjustRightInd/>
              <w:snapToGrid/>
              <w:spacing w:beforeAutospacing="0" w:afterAutospacing="0" w:line="240" w:lineRule="auto"/>
              <w:jc w:val="left"/>
              <w:rPr>
                <w:rFonts w:hint="eastAsia" w:ascii="宋体" w:hAnsi="宋体" w:eastAsia="宋体" w:cs="宋体"/>
                <w:sz w:val="18"/>
                <w:szCs w:val="18"/>
              </w:rPr>
            </w:pPr>
            <w:r>
              <w:rPr>
                <w:rFonts w:hint="eastAsia" w:ascii="宋体" w:hAnsi="宋体" w:eastAsia="宋体" w:cs="宋体"/>
                <w:sz w:val="18"/>
                <w:szCs w:val="18"/>
              </w:rPr>
              <w:t>预计影响财务报表项目金额超过</w:t>
            </w:r>
            <w:r>
              <w:rPr>
                <w:rFonts w:hint="default" w:ascii="Times New Roman" w:hAnsi="Times New Roman" w:eastAsia="宋体" w:cs="Times New Roman"/>
                <w:sz w:val="18"/>
                <w:szCs w:val="18"/>
              </w:rPr>
              <w:t>100</w:t>
            </w:r>
            <w:r>
              <w:rPr>
                <w:rFonts w:hint="eastAsia" w:ascii="宋体" w:hAnsi="宋体" w:eastAsia="宋体" w:cs="宋体"/>
                <w:sz w:val="18"/>
                <w:szCs w:val="18"/>
              </w:rPr>
              <w:t>万元的或有事项，且对净利润影响超过</w:t>
            </w:r>
            <w:r>
              <w:rPr>
                <w:rFonts w:hint="default" w:ascii="Times New Roman" w:hAnsi="Times New Roman" w:eastAsia="宋体" w:cs="Times New Roman"/>
                <w:sz w:val="18"/>
                <w:szCs w:val="18"/>
              </w:rPr>
              <w:t>10%</w:t>
            </w:r>
          </w:p>
        </w:tc>
      </w:tr>
      <w:tr w14:paraId="7E1B0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5D317E4">
            <w:pPr>
              <w:pageBreakBefore w:val="0"/>
              <w:kinsoku/>
              <w:wordWrap/>
              <w:overflowPunct/>
              <w:topLinePunct w:val="0"/>
              <w:autoSpaceDE/>
              <w:autoSpaceDN/>
              <w:bidi w:val="0"/>
              <w:adjustRightInd/>
              <w:snapToGrid/>
              <w:spacing w:beforeAutospacing="0" w:afterAutospacing="0" w:line="240" w:lineRule="auto"/>
              <w:ind w:left="0" w:firstLine="360" w:firstLineChars="200"/>
              <w:jc w:val="left"/>
              <w:rPr>
                <w:rFonts w:hint="eastAsia" w:ascii="宋体" w:hAnsi="宋体" w:eastAsia="宋体" w:cs="宋体"/>
                <w:sz w:val="18"/>
                <w:szCs w:val="18"/>
              </w:rPr>
            </w:pPr>
            <w:r>
              <w:rPr>
                <w:rFonts w:hint="eastAsia" w:ascii="宋体" w:hAnsi="宋体" w:eastAsia="宋体" w:cs="宋体"/>
                <w:sz w:val="18"/>
                <w:szCs w:val="18"/>
              </w:rPr>
              <w:t>重要的合营企业或联营企业</w:t>
            </w:r>
          </w:p>
        </w:tc>
        <w:tc>
          <w:tcPr>
            <w:tcW w:w="4820" w:type="dxa"/>
            <w:tcBorders>
              <w:top w:val="single" w:color="auto" w:sz="2" w:space="0"/>
              <w:left w:val="single" w:color="auto" w:sz="2" w:space="0"/>
              <w:bottom w:val="single" w:color="auto" w:sz="2" w:space="0"/>
              <w:right w:val="single" w:color="auto" w:sz="2" w:space="0"/>
            </w:tcBorders>
            <w:vAlign w:val="center"/>
          </w:tcPr>
          <w:p w14:paraId="44E74FC5">
            <w:pPr>
              <w:pageBreakBefore w:val="0"/>
              <w:kinsoku/>
              <w:wordWrap/>
              <w:overflowPunct/>
              <w:topLinePunct w:val="0"/>
              <w:autoSpaceDE/>
              <w:autoSpaceDN/>
              <w:bidi w:val="0"/>
              <w:adjustRightInd/>
              <w:snapToGrid/>
              <w:spacing w:beforeAutospacing="0" w:afterAutospacing="0" w:line="240" w:lineRule="auto"/>
              <w:jc w:val="left"/>
              <w:rPr>
                <w:rFonts w:hint="eastAsia" w:ascii="宋体" w:hAnsi="宋体" w:eastAsia="宋体" w:cs="宋体"/>
                <w:sz w:val="18"/>
                <w:szCs w:val="18"/>
              </w:rPr>
            </w:pPr>
            <w:r>
              <w:rPr>
                <w:rFonts w:hint="eastAsia" w:ascii="宋体" w:hAnsi="宋体" w:eastAsia="宋体" w:cs="宋体"/>
                <w:sz w:val="18"/>
                <w:szCs w:val="18"/>
              </w:rPr>
              <w:t>单项投资占长期股权投资账面价值</w:t>
            </w:r>
            <w:r>
              <w:rPr>
                <w:rFonts w:hint="default" w:ascii="Times New Roman" w:hAnsi="Times New Roman" w:eastAsia="宋体" w:cs="Times New Roman"/>
                <w:sz w:val="18"/>
                <w:szCs w:val="18"/>
              </w:rPr>
              <w:t>10%</w:t>
            </w:r>
            <w:r>
              <w:rPr>
                <w:rFonts w:hint="eastAsia" w:ascii="宋体" w:hAnsi="宋体" w:eastAsia="宋体" w:cs="宋体"/>
                <w:sz w:val="18"/>
                <w:szCs w:val="18"/>
              </w:rPr>
              <w:t>以上，且金额超过</w:t>
            </w:r>
            <w:r>
              <w:rPr>
                <w:rFonts w:hint="default" w:ascii="Times New Roman" w:hAnsi="Times New Roman" w:eastAsia="宋体" w:cs="Times New Roman"/>
                <w:sz w:val="18"/>
                <w:szCs w:val="18"/>
              </w:rPr>
              <w:t>500</w:t>
            </w:r>
            <w:r>
              <w:rPr>
                <w:rFonts w:hint="eastAsia" w:ascii="宋体" w:hAnsi="宋体" w:eastAsia="宋体" w:cs="宋体"/>
                <w:sz w:val="18"/>
                <w:szCs w:val="18"/>
              </w:rPr>
              <w:t>万元或来源于合营企业或联营企业的投资收益（损失以绝对金额计算）占合并报表净利润</w:t>
            </w:r>
            <w:r>
              <w:rPr>
                <w:rFonts w:hint="default" w:ascii="Times New Roman" w:hAnsi="Times New Roman" w:eastAsia="宋体" w:cs="Times New Roman"/>
                <w:sz w:val="18"/>
                <w:szCs w:val="18"/>
              </w:rPr>
              <w:t>10%</w:t>
            </w:r>
            <w:r>
              <w:rPr>
                <w:rFonts w:hint="eastAsia" w:ascii="宋体" w:hAnsi="宋体" w:eastAsia="宋体" w:cs="宋体"/>
                <w:sz w:val="18"/>
                <w:szCs w:val="18"/>
              </w:rPr>
              <w:t>以上</w:t>
            </w:r>
          </w:p>
        </w:tc>
      </w:tr>
    </w:tbl>
    <w:p w14:paraId="0C2EF06C">
      <w:pPr>
        <w:pStyle w:val="3"/>
        <w:keepNext/>
        <w:keepLines/>
        <w:pageBreakBefore w:val="0"/>
        <w:kinsoku/>
        <w:wordWrap/>
        <w:overflowPunct/>
        <w:topLinePunct w:val="0"/>
        <w:autoSpaceDE/>
        <w:autoSpaceDN/>
        <w:bidi w:val="0"/>
        <w:adjustRightInd/>
        <w:snapToGrid/>
        <w:spacing w:before="0" w:beforeAutospacing="0" w:after="0" w:afterAutospacing="0" w:line="240" w:lineRule="auto"/>
        <w:ind w:left="0" w:firstLine="360" w:firstLineChars="200"/>
        <w:jc w:val="left"/>
        <w:outlineLvl w:val="2"/>
        <w:rPr>
          <w:rFonts w:hint="eastAsia" w:ascii="宋体" w:hAnsi="宋体" w:eastAsia="宋体" w:cs="宋体"/>
          <w:b/>
          <w:bCs/>
          <w:sz w:val="18"/>
          <w:szCs w:val="18"/>
        </w:rPr>
      </w:pPr>
      <w:bookmarkStart w:id="239" w:name="_Toc989051"/>
      <w:r>
        <w:rPr>
          <w:rFonts w:hint="default" w:ascii="Times New Roman" w:hAnsi="Times New Roman" w:eastAsia="宋体" w:cs="Times New Roman"/>
          <w:b/>
          <w:bCs/>
          <w:sz w:val="18"/>
          <w:szCs w:val="18"/>
        </w:rPr>
        <w:t>6</w:t>
      </w:r>
      <w:r>
        <w:rPr>
          <w:rFonts w:hint="eastAsia" w:ascii="宋体" w:hAnsi="宋体" w:eastAsia="宋体" w:cs="宋体"/>
          <w:b/>
          <w:bCs/>
          <w:sz w:val="18"/>
          <w:szCs w:val="18"/>
        </w:rPr>
        <w:t>、同一控制下和非同一控制下企业合并的会计处理方法</w:t>
      </w:r>
      <w:bookmarkEnd w:id="239"/>
    </w:p>
    <w:p w14:paraId="675947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default" w:ascii="Times New Roman" w:hAnsi="Times New Roman" w:eastAsia="宋体" w:cs="Times New Roman"/>
          <w:sz w:val="18"/>
          <w:szCs w:val="18"/>
        </w:rPr>
        <w:t>1</w:t>
      </w:r>
      <w:r>
        <w:rPr>
          <w:rFonts w:hint="eastAsia" w:ascii="宋体" w:hAnsi="宋体" w:eastAsia="宋体" w:cs="宋体"/>
          <w:sz w:val="18"/>
          <w:szCs w:val="18"/>
        </w:rPr>
        <w:t>.同一控制下的企业合并</w:t>
      </w:r>
    </w:p>
    <w:p w14:paraId="4538168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rPr>
          <w:rFonts w:hint="eastAsia" w:ascii="宋体" w:hAnsi="宋体" w:eastAsia="宋体" w:cs="宋体"/>
          <w:sz w:val="18"/>
          <w:szCs w:val="18"/>
        </w:rPr>
      </w:pPr>
      <w:r>
        <w:rPr>
          <w:rFonts w:hint="eastAsia" w:ascii="宋体" w:hAnsi="宋体" w:eastAsia="宋体" w:cs="宋体"/>
          <w:sz w:val="18"/>
          <w:szCs w:val="18"/>
        </w:rPr>
        <w:t>同一控制下企业合并形成的长期股权投资合并方以支付现金、转让非现金资产或承担债务方式作为合并对价的，本公司在合并日按照所取得的被合并方在最终控制方合并财务报表中的净资产的账面价值的份额作为长期股权投资的初始投资成本。合并方以发行权益性工具作为合并对价的，按发行股份的面值总额作为股本。长期股权投资的初始投资成本与合并对价账面价值（或发行股份面值总额）的差额，应当调整资本公积；资本公积不足冲减的，调整留存收益。</w:t>
      </w:r>
    </w:p>
    <w:p w14:paraId="742458E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default" w:ascii="Times New Roman" w:hAnsi="Times New Roman" w:eastAsia="宋体" w:cs="Times New Roman"/>
          <w:sz w:val="18"/>
          <w:szCs w:val="18"/>
        </w:rPr>
        <w:t>2</w:t>
      </w:r>
      <w:r>
        <w:rPr>
          <w:rFonts w:hint="eastAsia" w:ascii="宋体" w:hAnsi="宋体" w:eastAsia="宋体" w:cs="宋体"/>
          <w:sz w:val="18"/>
          <w:szCs w:val="18"/>
        </w:rPr>
        <w:t>.非同一控制下的企业合并</w:t>
      </w:r>
    </w:p>
    <w:p w14:paraId="027315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对于非同一控制下的企业合并，合并成本为购买方在购买日为取得对被购买方的控制权而付出的资产、发生或承担的负债以及发行的权益性证券的公允价值之和。非同一控制下企业合并中所取得的被购买方符合确认条件的可辨认资产、负债及或有负债，在购买日以公允价值计量。购买方对合并成本大于合并中取得的被购买方可辨认净资产公允价值份额的差额，体现为商誉价值。购买方对合并成本小于合并中取得的被购买方可辨认净资产公允价值份额的，经复核后合并成本仍小于合并中取得的被购买方可辨认净资产公允价值份额的差额，计入当期营业外收入。</w:t>
      </w:r>
    </w:p>
    <w:p w14:paraId="400605B4">
      <w:pPr>
        <w:pStyle w:val="3"/>
        <w:keepNext/>
        <w:keepLines/>
        <w:pageBreakBefore w:val="0"/>
        <w:kinsoku/>
        <w:wordWrap/>
        <w:overflowPunct/>
        <w:topLinePunct w:val="0"/>
        <w:autoSpaceDE/>
        <w:autoSpaceDN/>
        <w:bidi w:val="0"/>
        <w:adjustRightInd/>
        <w:snapToGrid/>
        <w:spacing w:before="0" w:beforeAutospacing="0" w:after="0" w:afterAutospacing="0" w:line="240" w:lineRule="auto"/>
        <w:ind w:left="0" w:firstLine="360" w:firstLineChars="200"/>
        <w:jc w:val="left"/>
        <w:outlineLvl w:val="2"/>
        <w:rPr>
          <w:rFonts w:hint="eastAsia" w:ascii="宋体" w:hAnsi="宋体" w:eastAsia="宋体" w:cs="宋体"/>
          <w:b/>
          <w:bCs/>
          <w:sz w:val="18"/>
          <w:szCs w:val="18"/>
        </w:rPr>
      </w:pPr>
      <w:bookmarkStart w:id="240" w:name="_Toc989052"/>
      <w:r>
        <w:rPr>
          <w:rFonts w:hint="default" w:ascii="Times New Roman" w:hAnsi="Times New Roman" w:eastAsia="宋体" w:cs="Times New Roman"/>
          <w:b/>
          <w:bCs/>
          <w:sz w:val="18"/>
          <w:szCs w:val="18"/>
        </w:rPr>
        <w:t>7</w:t>
      </w:r>
      <w:r>
        <w:rPr>
          <w:rFonts w:hint="eastAsia" w:ascii="宋体" w:hAnsi="宋体" w:eastAsia="宋体" w:cs="宋体"/>
          <w:b/>
          <w:bCs/>
          <w:sz w:val="18"/>
          <w:szCs w:val="18"/>
        </w:rPr>
        <w:t>、控制的判断标准和合并财务报表的编制方法</w:t>
      </w:r>
      <w:bookmarkEnd w:id="240"/>
    </w:p>
    <w:p w14:paraId="4AACF5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default" w:ascii="Times New Roman" w:hAnsi="Times New Roman" w:eastAsia="宋体" w:cs="Times New Roman"/>
          <w:sz w:val="18"/>
          <w:szCs w:val="18"/>
        </w:rPr>
        <w:t>1</w:t>
      </w:r>
      <w:r>
        <w:rPr>
          <w:rFonts w:hint="eastAsia" w:ascii="宋体" w:hAnsi="宋体" w:eastAsia="宋体" w:cs="宋体"/>
          <w:sz w:val="18"/>
          <w:szCs w:val="18"/>
        </w:rPr>
        <w:t>.控制的判断标准</w:t>
      </w:r>
    </w:p>
    <w:p w14:paraId="220C28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eastAsia" w:ascii="宋体" w:hAnsi="宋体" w:eastAsia="宋体" w:cs="宋体"/>
          <w:sz w:val="18"/>
          <w:szCs w:val="18"/>
        </w:rPr>
        <w:t>财务报表的合并范围以控制作为基础予以确定。具备以下三个要素的被投资单位，认定为对其控制：拥有对被投资单位的权力、因参与被投资单位的相关活动而享有可变回报、有能力运用对被投资单位的权力影响回报金额。</w:t>
      </w:r>
    </w:p>
    <w:p w14:paraId="3E1DAF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default" w:ascii="Times New Roman" w:hAnsi="Times New Roman" w:eastAsia="宋体" w:cs="Times New Roman"/>
          <w:sz w:val="18"/>
          <w:szCs w:val="18"/>
        </w:rPr>
        <w:t>2</w:t>
      </w:r>
      <w:r>
        <w:rPr>
          <w:rFonts w:hint="eastAsia" w:ascii="宋体" w:hAnsi="宋体" w:eastAsia="宋体" w:cs="宋体"/>
          <w:sz w:val="18"/>
          <w:szCs w:val="18"/>
        </w:rPr>
        <w:t>.合并报表的编制方法</w:t>
      </w:r>
    </w:p>
    <w:p w14:paraId="601B820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）统一母子公司的会计政策、统一母子公司的资产负债表日及会计期间</w:t>
      </w:r>
    </w:p>
    <w:p w14:paraId="05B027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子公司与本公司采用的会计政策或会计期间不一致的，在编制合并财务报表时，按照本公司的会计政策或会计期间对子公司财务报表进行必要的调整。</w:t>
      </w:r>
    </w:p>
    <w:p w14:paraId="09D5387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）合并财务报表抵销事项</w:t>
      </w:r>
    </w:p>
    <w:p w14:paraId="548D34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rPr>
          <w:rFonts w:hint="eastAsia" w:ascii="宋体" w:hAnsi="宋体" w:eastAsia="宋体" w:cs="宋体"/>
          <w:sz w:val="18"/>
          <w:szCs w:val="18"/>
        </w:rPr>
      </w:pPr>
      <w:r>
        <w:rPr>
          <w:rFonts w:hint="eastAsia" w:ascii="宋体" w:hAnsi="宋体" w:eastAsia="宋体" w:cs="宋体"/>
          <w:sz w:val="18"/>
          <w:szCs w:val="18"/>
        </w:rPr>
        <w:t>合并财务报表以本公司和子公司的财务报表为基础，已抵销了本公司与子公司、子公司相互之间发生的内部交易。子公司所有者权益中不属于本公司的份额，作为少数股东权益，在合并资产负债表中股东权益项目下以“少数股东权益”项目列示。子公司持有本公司的长期股权投资，视为本公司的库存股，作为股东权益的减项，在合并资产负债表中股东权益项目下以“减：库存股”项目列示。</w:t>
      </w:r>
    </w:p>
    <w:p w14:paraId="1E9EA3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eastAsia" w:ascii="宋体" w:hAnsi="宋体" w:eastAsia="宋体" w:cs="宋体"/>
          <w:sz w:val="18"/>
          <w:szCs w:val="18"/>
        </w:rPr>
        <w:t>（</w:t>
      </w:r>
      <w:r>
        <w:rPr>
          <w:rFonts w:hint="default" w:ascii="Times New Roman" w:hAnsi="Times New Roman" w:eastAsia="宋体" w:cs="Times New Roman"/>
          <w:sz w:val="18"/>
          <w:szCs w:val="18"/>
        </w:rPr>
        <w:t>3</w:t>
      </w:r>
      <w:r>
        <w:rPr>
          <w:rFonts w:hint="eastAsia" w:ascii="宋体" w:hAnsi="宋体" w:eastAsia="宋体" w:cs="宋体"/>
          <w:sz w:val="18"/>
          <w:szCs w:val="18"/>
        </w:rPr>
        <w:t>）合并取得子公司会计处理</w:t>
      </w:r>
    </w:p>
    <w:p w14:paraId="2DD5E8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对于同一控制下企业合并取得的子公司，视同该企业合并于自最终控制方开始实施控制时已经发生，从合并当期的期初起将其资产、负债、经营成果和现金流量纳入合并财务报表；对于非同一控制下企业合并取得的子公司，在编制合并财务报表时，以购买日可辨认净资产公允价值为基础对其个别财务报表进行调整。</w:t>
      </w:r>
    </w:p>
    <w:p w14:paraId="6C0097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eastAsia" w:ascii="宋体" w:hAnsi="宋体" w:eastAsia="宋体" w:cs="宋体"/>
          <w:sz w:val="18"/>
          <w:szCs w:val="18"/>
        </w:rPr>
        <w:t>（</w:t>
      </w:r>
      <w:r>
        <w:rPr>
          <w:rFonts w:hint="default" w:ascii="Times New Roman" w:hAnsi="Times New Roman" w:eastAsia="宋体" w:cs="Times New Roman"/>
          <w:sz w:val="18"/>
          <w:szCs w:val="18"/>
        </w:rPr>
        <w:t>4</w:t>
      </w:r>
      <w:r>
        <w:rPr>
          <w:rFonts w:hint="eastAsia" w:ascii="宋体" w:hAnsi="宋体" w:eastAsia="宋体" w:cs="宋体"/>
          <w:sz w:val="18"/>
          <w:szCs w:val="18"/>
        </w:rPr>
        <w:t>）处置子公司的会计处理</w:t>
      </w:r>
    </w:p>
    <w:p w14:paraId="500E29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eastAsia" w:ascii="宋体" w:hAnsi="宋体" w:eastAsia="宋体" w:cs="宋体"/>
          <w:sz w:val="18"/>
          <w:szCs w:val="18"/>
        </w:rPr>
      </w:pPr>
      <w:r>
        <w:rPr>
          <w:rFonts w:hint="eastAsia" w:ascii="宋体" w:hAnsi="宋体" w:eastAsia="宋体" w:cs="宋体"/>
          <w:sz w:val="18"/>
          <w:szCs w:val="18"/>
        </w:rPr>
        <w:t>在不丧失控制权的情况下部分处置对子公司的长期股权投资，在合并财务报表中，处置价款与处置长期股权投资相对应享有子公司自购买日或合并日开始持续计算的净资产份额之间的差额，调整资本公积，资本公积不足冲减的，调整留存收益。</w:t>
      </w:r>
    </w:p>
    <w:p w14:paraId="54D3847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在丧失控制权时转为当期投资收益。</w:t>
      </w:r>
    </w:p>
    <w:p w14:paraId="145BA46D">
      <w:pPr>
        <w:pStyle w:val="3"/>
        <w:keepNext/>
        <w:keepLines/>
        <w:pageBreakBefore w:val="0"/>
        <w:kinsoku/>
        <w:wordWrap/>
        <w:overflowPunct/>
        <w:topLinePunct w:val="0"/>
        <w:autoSpaceDE/>
        <w:autoSpaceDN/>
        <w:bidi w:val="0"/>
        <w:adjustRightInd/>
        <w:snapToGrid/>
        <w:spacing w:before="0" w:beforeAutospacing="0" w:after="0" w:afterAutospacing="0" w:line="240" w:lineRule="auto"/>
        <w:ind w:left="0" w:firstLine="360" w:firstLineChars="200"/>
        <w:jc w:val="left"/>
        <w:outlineLvl w:val="2"/>
        <w:rPr>
          <w:rFonts w:hint="eastAsia" w:ascii="宋体" w:hAnsi="宋体" w:eastAsia="宋体" w:cs="宋体"/>
          <w:b/>
          <w:bCs/>
          <w:sz w:val="18"/>
          <w:szCs w:val="18"/>
        </w:rPr>
      </w:pPr>
      <w:bookmarkStart w:id="241" w:name="_Toc989053"/>
      <w:r>
        <w:rPr>
          <w:rFonts w:hint="default" w:ascii="Times New Roman" w:hAnsi="Times New Roman" w:eastAsia="宋体" w:cs="Times New Roman"/>
          <w:b/>
          <w:bCs/>
          <w:sz w:val="18"/>
          <w:szCs w:val="18"/>
        </w:rPr>
        <w:t>8</w:t>
      </w:r>
      <w:r>
        <w:rPr>
          <w:rFonts w:hint="eastAsia" w:ascii="宋体" w:hAnsi="宋体" w:eastAsia="宋体" w:cs="宋体"/>
          <w:b/>
          <w:bCs/>
          <w:sz w:val="18"/>
          <w:szCs w:val="18"/>
        </w:rPr>
        <w:t>、合营安排分类及共同经营会计处理方法</w:t>
      </w:r>
      <w:bookmarkEnd w:id="241"/>
    </w:p>
    <w:p w14:paraId="49BD5B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default" w:ascii="Times New Roman" w:hAnsi="Times New Roman" w:eastAsia="宋体" w:cs="Times New Roman"/>
          <w:sz w:val="18"/>
          <w:szCs w:val="18"/>
        </w:rPr>
        <w:t>1</w:t>
      </w:r>
      <w:r>
        <w:rPr>
          <w:rFonts w:hint="eastAsia" w:ascii="宋体" w:hAnsi="宋体" w:eastAsia="宋体" w:cs="宋体"/>
          <w:sz w:val="18"/>
          <w:szCs w:val="18"/>
        </w:rPr>
        <w:t>.合营安排的分类</w:t>
      </w:r>
    </w:p>
    <w:p w14:paraId="598C8889">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360" w:firstLineChars="200"/>
        <w:jc w:val="both"/>
        <w:rPr>
          <w:rFonts w:hint="eastAsia" w:ascii="宋体" w:hAnsi="宋体" w:eastAsia="宋体" w:cs="宋体"/>
          <w:sz w:val="18"/>
          <w:szCs w:val="18"/>
        </w:rPr>
      </w:pPr>
      <w:r>
        <w:rPr>
          <w:rFonts w:hint="eastAsia" w:ascii="宋体" w:hAnsi="宋体" w:eastAsia="宋体" w:cs="宋体"/>
          <w:sz w:val="18"/>
          <w:szCs w:val="18"/>
          <w:shd w:val="clear" w:fill="FFFFFF"/>
        </w:rPr>
        <w:t>合营安排分为共同经营和合营企业。未通过单独主体达成的合营安排，划分为共同经营。单独主体，是指具有单独可辨认的财务架构的主体，包括单独的法人主体和不具备法人主体资格但法律认可的主体。通过单独主体达成的合营安排，通常划分为合营企业。相关事实和情况变化导致合营方在合营安排中享有的权利和承担的义务发生变化的，合营方对合营安排的分类进行重新评估。</w:t>
      </w:r>
    </w:p>
    <w:p w14:paraId="4994172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default" w:ascii="Times New Roman" w:hAnsi="Times New Roman" w:eastAsia="宋体" w:cs="Times New Roman"/>
          <w:sz w:val="18"/>
          <w:szCs w:val="18"/>
        </w:rPr>
        <w:t>2</w:t>
      </w:r>
      <w:r>
        <w:rPr>
          <w:rFonts w:hint="eastAsia" w:ascii="宋体" w:hAnsi="宋体" w:eastAsia="宋体" w:cs="宋体"/>
          <w:sz w:val="18"/>
          <w:szCs w:val="18"/>
        </w:rPr>
        <w:t>.共同经营的会计处理</w:t>
      </w:r>
    </w:p>
    <w:p w14:paraId="3FD93349">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eastAsia" w:ascii="宋体" w:hAnsi="宋体" w:eastAsia="宋体" w:cs="宋体"/>
          <w:sz w:val="18"/>
          <w:szCs w:val="18"/>
        </w:rPr>
      </w:pPr>
      <w:r>
        <w:rPr>
          <w:rFonts w:hint="eastAsia" w:ascii="宋体" w:hAnsi="宋体" w:eastAsia="宋体" w:cs="宋体"/>
          <w:sz w:val="18"/>
          <w:szCs w:val="18"/>
          <w:shd w:val="clear" w:fill="FFFFFF"/>
        </w:rPr>
        <w:t>本公司为共同经营参与方，确认与共同经营中利益份额相关的下列项目，并按照相关企业会计准则的规定进行会计处理：确认单独所持有的资产或负债，以及按份额确认共同持有的资产或负债；确认出售享有的共同经营产出份额所产生的收入；按份额确认共同经营因出售产出所产生的收入；确认单独所发生的费用，以及按份额确认共同经营发生的费用。</w:t>
      </w:r>
    </w:p>
    <w:p w14:paraId="0A55B445">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eastAsia" w:ascii="宋体" w:hAnsi="宋体" w:eastAsia="宋体" w:cs="宋体"/>
          <w:sz w:val="18"/>
          <w:szCs w:val="18"/>
        </w:rPr>
      </w:pPr>
      <w:r>
        <w:rPr>
          <w:rFonts w:hint="eastAsia" w:ascii="宋体" w:hAnsi="宋体" w:eastAsia="宋体" w:cs="宋体"/>
          <w:sz w:val="18"/>
          <w:szCs w:val="18"/>
          <w:shd w:val="clear" w:fill="FFFFFF"/>
        </w:rPr>
        <w:t>本公司为对共同经营不享有共同控制的参与方，如果享有该共同经营相关资产且承担该共同经营相关负债，则参照共同经营参与方的规定进行会计处理；否则，按照相关企业会计准则的规定进行会计处理。</w:t>
      </w:r>
    </w:p>
    <w:p w14:paraId="57B790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default" w:ascii="Times New Roman" w:hAnsi="Times New Roman" w:eastAsia="宋体" w:cs="Times New Roman"/>
          <w:sz w:val="18"/>
          <w:szCs w:val="18"/>
        </w:rPr>
        <w:t>3</w:t>
      </w:r>
      <w:r>
        <w:rPr>
          <w:rFonts w:hint="eastAsia" w:ascii="宋体" w:hAnsi="宋体" w:eastAsia="宋体" w:cs="宋体"/>
          <w:sz w:val="18"/>
          <w:szCs w:val="18"/>
        </w:rPr>
        <w:t>.合营企业的会计处理</w:t>
      </w:r>
    </w:p>
    <w:p w14:paraId="740B799D">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eastAsia" w:ascii="宋体" w:hAnsi="宋体" w:eastAsia="宋体" w:cs="宋体"/>
          <w:sz w:val="18"/>
          <w:szCs w:val="18"/>
        </w:rPr>
      </w:pPr>
      <w:r>
        <w:rPr>
          <w:rFonts w:hint="eastAsia" w:ascii="宋体" w:hAnsi="宋体" w:eastAsia="宋体" w:cs="宋体"/>
          <w:sz w:val="18"/>
          <w:szCs w:val="18"/>
          <w:shd w:val="clear" w:fill="FFFFFF"/>
        </w:rPr>
        <w:t>本公司为合营企业合营方，按照《企业会计准则第</w:t>
      </w:r>
      <w:r>
        <w:rPr>
          <w:rFonts w:hint="default" w:ascii="Times New Roman" w:hAnsi="Times New Roman" w:eastAsia="宋体" w:cs="Times New Roman"/>
          <w:sz w:val="18"/>
          <w:szCs w:val="18"/>
          <w:shd w:val="clear" w:fill="FFFFFF"/>
        </w:rPr>
        <w:t>2</w:t>
      </w:r>
      <w:r>
        <w:rPr>
          <w:rFonts w:hint="eastAsia" w:ascii="宋体" w:hAnsi="宋体" w:eastAsia="宋体" w:cs="宋体"/>
          <w:sz w:val="18"/>
          <w:szCs w:val="18"/>
          <w:shd w:val="clear" w:fill="FFFFFF"/>
        </w:rPr>
        <w:t>号——长期股权投资》的规定对合营企业的投资进行会计处理；本公司为非合营方，根据对该合营企业的影响程度进行会计处理。</w:t>
      </w:r>
    </w:p>
    <w:p w14:paraId="3170BD78">
      <w:pPr>
        <w:pStyle w:val="3"/>
        <w:keepNext/>
        <w:keepLines/>
        <w:pageBreakBefore w:val="0"/>
        <w:kinsoku/>
        <w:wordWrap/>
        <w:overflowPunct/>
        <w:topLinePunct w:val="0"/>
        <w:autoSpaceDE/>
        <w:autoSpaceDN/>
        <w:bidi w:val="0"/>
        <w:adjustRightInd/>
        <w:snapToGrid/>
        <w:spacing w:before="0" w:beforeAutospacing="0" w:after="0" w:afterAutospacing="0" w:line="240" w:lineRule="auto"/>
        <w:ind w:left="0" w:firstLine="360" w:firstLineChars="200"/>
        <w:jc w:val="left"/>
        <w:outlineLvl w:val="2"/>
        <w:rPr>
          <w:rFonts w:hint="eastAsia" w:ascii="宋体" w:hAnsi="宋体" w:eastAsia="宋体" w:cs="宋体"/>
          <w:b/>
          <w:bCs/>
          <w:sz w:val="18"/>
          <w:szCs w:val="18"/>
        </w:rPr>
      </w:pPr>
      <w:bookmarkStart w:id="242" w:name="_Toc989054"/>
      <w:r>
        <w:rPr>
          <w:rFonts w:hint="default" w:ascii="Times New Roman" w:hAnsi="Times New Roman" w:eastAsia="宋体" w:cs="Times New Roman"/>
          <w:b/>
          <w:bCs/>
          <w:sz w:val="18"/>
          <w:szCs w:val="18"/>
        </w:rPr>
        <w:t>9</w:t>
      </w:r>
      <w:r>
        <w:rPr>
          <w:rFonts w:hint="eastAsia" w:ascii="宋体" w:hAnsi="宋体" w:eastAsia="宋体" w:cs="宋体"/>
          <w:b/>
          <w:bCs/>
          <w:sz w:val="18"/>
          <w:szCs w:val="18"/>
        </w:rPr>
        <w:t>、现金及现金等价物的确定标准</w:t>
      </w:r>
      <w:bookmarkEnd w:id="242"/>
    </w:p>
    <w:p w14:paraId="5AFBCEF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本公司在编制现金流量表时所确定的现金，是指本公司库存现金以及可以随时用于支付的存款。在编制现金流量表时所确定的现金等价物，是指持有的期限短、流动性强、易于转换为已知金额现金、价值变动风险很小的投资。</w:t>
      </w:r>
    </w:p>
    <w:p w14:paraId="21AE1448">
      <w:pPr>
        <w:pStyle w:val="3"/>
        <w:keepNext/>
        <w:keepLines/>
        <w:pageBreakBefore w:val="0"/>
        <w:kinsoku/>
        <w:wordWrap/>
        <w:overflowPunct/>
        <w:topLinePunct w:val="0"/>
        <w:autoSpaceDE/>
        <w:autoSpaceDN/>
        <w:bidi w:val="0"/>
        <w:adjustRightInd/>
        <w:snapToGrid/>
        <w:spacing w:before="0" w:beforeAutospacing="0" w:after="0" w:afterAutospacing="0" w:line="240" w:lineRule="auto"/>
        <w:ind w:left="0" w:firstLine="360" w:firstLineChars="200"/>
        <w:jc w:val="left"/>
        <w:outlineLvl w:val="2"/>
        <w:rPr>
          <w:rFonts w:hint="eastAsia" w:ascii="宋体" w:hAnsi="宋体" w:eastAsia="宋体" w:cs="宋体"/>
          <w:b/>
          <w:bCs/>
          <w:sz w:val="18"/>
          <w:szCs w:val="18"/>
        </w:rPr>
      </w:pPr>
      <w:bookmarkStart w:id="243" w:name="_Toc989055"/>
      <w:r>
        <w:rPr>
          <w:rFonts w:hint="default" w:ascii="Times New Roman" w:hAnsi="Times New Roman" w:eastAsia="宋体" w:cs="Times New Roman"/>
          <w:b/>
          <w:bCs/>
          <w:sz w:val="18"/>
          <w:szCs w:val="18"/>
        </w:rPr>
        <w:t>10</w:t>
      </w:r>
      <w:r>
        <w:rPr>
          <w:rFonts w:hint="eastAsia" w:ascii="宋体" w:hAnsi="宋体" w:eastAsia="宋体" w:cs="宋体"/>
          <w:b/>
          <w:bCs/>
          <w:sz w:val="18"/>
          <w:szCs w:val="18"/>
        </w:rPr>
        <w:t>、外币业务和外币报表折算</w:t>
      </w:r>
      <w:bookmarkEnd w:id="243"/>
    </w:p>
    <w:p w14:paraId="541D2FB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default" w:ascii="Times New Roman" w:hAnsi="Times New Roman" w:eastAsia="宋体" w:cs="Times New Roman"/>
          <w:sz w:val="18"/>
          <w:szCs w:val="18"/>
        </w:rPr>
        <w:t>1</w:t>
      </w:r>
      <w:r>
        <w:rPr>
          <w:rFonts w:hint="eastAsia" w:ascii="宋体" w:hAnsi="宋体" w:eastAsia="宋体" w:cs="宋体"/>
          <w:sz w:val="18"/>
          <w:szCs w:val="18"/>
        </w:rPr>
        <w:t>.外币业务折算</w:t>
      </w:r>
    </w:p>
    <w:p w14:paraId="79A2A9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本公司对发生的外币交易，采用与交易发生日即期汇率折合本位币入账。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含汇率变动)处理，计入当期损益或确认为其他综合收益。</w:t>
      </w:r>
    </w:p>
    <w:p w14:paraId="3FDE965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default" w:ascii="Times New Roman" w:hAnsi="Times New Roman" w:eastAsia="宋体" w:cs="Times New Roman"/>
          <w:sz w:val="18"/>
          <w:szCs w:val="18"/>
        </w:rPr>
        <w:t>2</w:t>
      </w:r>
      <w:r>
        <w:rPr>
          <w:rFonts w:hint="eastAsia" w:ascii="宋体" w:hAnsi="宋体" w:eastAsia="宋体" w:cs="宋体"/>
          <w:sz w:val="18"/>
          <w:szCs w:val="18"/>
        </w:rPr>
        <w:t>.外币财务报表折算</w:t>
      </w:r>
    </w:p>
    <w:p w14:paraId="454941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360" w:firstLineChars="200"/>
        <w:rPr>
          <w:rFonts w:hint="eastAsia" w:ascii="宋体" w:hAnsi="宋体" w:eastAsia="宋体" w:cs="宋体"/>
          <w:sz w:val="18"/>
          <w:szCs w:val="18"/>
        </w:rPr>
      </w:pPr>
      <w:r>
        <w:rPr>
          <w:rFonts w:hint="eastAsia" w:ascii="宋体" w:hAnsi="宋体" w:eastAsia="宋体" w:cs="宋体"/>
          <w:sz w:val="18"/>
          <w:szCs w:val="18"/>
        </w:rPr>
        <w:t>本公司的子公司、合营企业、联营企业等，若采用与本公司不同的记账本位币，需对其外币财务报表折算后，再进行会计核算及合并财务报表的编报。资产负债表中的资产和负债项目，采用资产负债表日的即期汇率折算，所有者权益项目除“未分配利润”项目外，其他项目采用发生时的即期汇率折算。利润表中的收入和费用项目，采用交易发生日的即期汇率的近似汇率折算。折算产生的外币财务报表折算差额，在资产负债表中所有者权益项目其他综合收益下列示。外币现金流量按照系统合理方法确定的，采用交易发生日即期汇率的近似汇率折算。汇率变动对现金的影响额，在现金流量表中单独列示。处置境外经营时，与该境外经营有关的外币报表折算差额，全部或按处置该境外经营的比例转入处置当期损益。</w:t>
      </w:r>
    </w:p>
    <w:p w14:paraId="177469EF">
      <w:pPr>
        <w:pStyle w:val="3"/>
        <w:keepNext/>
        <w:keepLines/>
        <w:pageBreakBefore w:val="0"/>
        <w:kinsoku/>
        <w:wordWrap/>
        <w:overflowPunct/>
        <w:topLinePunct w:val="0"/>
        <w:autoSpaceDE/>
        <w:autoSpaceDN/>
        <w:bidi w:val="0"/>
        <w:adjustRightInd/>
        <w:snapToGrid/>
        <w:spacing w:before="0" w:beforeAutospacing="0" w:after="0" w:afterAutospacing="0" w:line="240" w:lineRule="auto"/>
        <w:ind w:left="0" w:firstLine="360" w:firstLineChars="200"/>
        <w:jc w:val="left"/>
        <w:outlineLvl w:val="2"/>
        <w:rPr>
          <w:rFonts w:hint="eastAsia" w:ascii="宋体" w:hAnsi="宋体" w:eastAsia="宋体" w:cs="宋体"/>
          <w:b/>
          <w:bCs/>
          <w:sz w:val="18"/>
          <w:szCs w:val="18"/>
        </w:rPr>
      </w:pPr>
      <w:bookmarkStart w:id="244" w:name="_Toc989056"/>
      <w:r>
        <w:rPr>
          <w:rFonts w:hint="default" w:ascii="Times New Roman" w:hAnsi="Times New Roman" w:eastAsia="宋体" w:cs="Times New Roman"/>
          <w:b/>
          <w:bCs/>
          <w:sz w:val="18"/>
          <w:szCs w:val="18"/>
        </w:rPr>
        <w:t>11</w:t>
      </w:r>
      <w:r>
        <w:rPr>
          <w:rFonts w:hint="eastAsia" w:ascii="宋体" w:hAnsi="宋体" w:eastAsia="宋体" w:cs="宋体"/>
          <w:b/>
          <w:bCs/>
          <w:sz w:val="18"/>
          <w:szCs w:val="18"/>
        </w:rPr>
        <w:t>、金融工具</w:t>
      </w:r>
      <w:bookmarkEnd w:id="244"/>
    </w:p>
    <w:p w14:paraId="61C24FE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default" w:ascii="Times New Roman" w:hAnsi="Times New Roman" w:eastAsia="宋体" w:cs="Times New Roman"/>
          <w:sz w:val="18"/>
          <w:szCs w:val="18"/>
        </w:rPr>
        <w:t>1</w:t>
      </w:r>
      <w:r>
        <w:rPr>
          <w:rFonts w:hint="eastAsia" w:ascii="宋体" w:hAnsi="宋体" w:eastAsia="宋体" w:cs="宋体"/>
          <w:sz w:val="18"/>
          <w:szCs w:val="18"/>
        </w:rPr>
        <w:t>.金融工具的分类、确认和计量</w:t>
      </w:r>
    </w:p>
    <w:p w14:paraId="0A25F3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eastAsia" w:ascii="宋体" w:hAnsi="宋体" w:eastAsia="宋体" w:cs="宋体"/>
          <w:sz w:val="18"/>
          <w:szCs w:val="18"/>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）金融资产</w:t>
      </w:r>
    </w:p>
    <w:p w14:paraId="50574B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eastAsia" w:ascii="宋体" w:hAnsi="宋体" w:eastAsia="宋体" w:cs="宋体"/>
          <w:sz w:val="18"/>
          <w:szCs w:val="18"/>
        </w:rPr>
      </w:pPr>
      <w:r>
        <w:rPr>
          <w:rFonts w:hint="eastAsia" w:ascii="宋体" w:hAnsi="宋体" w:eastAsia="宋体" w:cs="宋体"/>
          <w:sz w:val="18"/>
          <w:szCs w:val="18"/>
        </w:rPr>
        <w:t>根据管理金融资产的业务模式和金融资产的合同现金流量特征，本公司将金融资产划分为以下三类：</w:t>
      </w:r>
    </w:p>
    <w:p w14:paraId="4FE433C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eastAsia" w:ascii="宋体" w:hAnsi="宋体" w:eastAsia="宋体" w:cs="宋体"/>
          <w:sz w:val="18"/>
          <w:szCs w:val="18"/>
        </w:rPr>
      </w:pPr>
      <w:r>
        <w:rPr>
          <w:rFonts w:hint="eastAsia" w:ascii="宋体" w:hAnsi="宋体" w:eastAsia="宋体" w:cs="宋体"/>
          <w:sz w:val="18"/>
          <w:szCs w:val="18"/>
        </w:rPr>
        <w:t>①以摊余成本计量的金融资产。管理此类金融资产的业务模式是以收取合同现金流量为目标，且此类金融资产的合同现金流量特征与基本借贷安排相一致，即在特定日期产生的现金流量仅为对本金和以未偿付本金金额为基础的利息的支付。该类金融资产后续按照实际利率法确认利息收入。</w:t>
      </w:r>
    </w:p>
    <w:p w14:paraId="303D15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eastAsia" w:ascii="宋体" w:hAnsi="宋体" w:eastAsia="宋体" w:cs="宋体"/>
          <w:sz w:val="18"/>
          <w:szCs w:val="18"/>
        </w:rPr>
      </w:pPr>
      <w:r>
        <w:rPr>
          <w:rFonts w:hint="eastAsia" w:ascii="宋体" w:hAnsi="宋体" w:eastAsia="宋体" w:cs="宋体"/>
          <w:sz w:val="18"/>
          <w:szCs w:val="18"/>
        </w:rPr>
        <w:t>②以公允价值计量且其变动计入其他综合收益的金融资产。管理此类金融资产的业务模式既以收取合同现金流量又以出售该金融资产为目标，且此类金融资产的合同现金流量特征与基本借贷安排相一致。该类金融资产后续按照公允价值计量，且其变动计入其他综合收益，但按照实际利率法计算的利息收入、减值损失或利得及汇兑损益计入当期损益。</w:t>
      </w:r>
    </w:p>
    <w:p w14:paraId="4E1307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eastAsia" w:ascii="宋体" w:hAnsi="宋体" w:eastAsia="宋体" w:cs="宋体"/>
          <w:sz w:val="18"/>
          <w:szCs w:val="18"/>
        </w:rPr>
      </w:pPr>
      <w:r>
        <w:rPr>
          <w:rFonts w:hint="eastAsia" w:ascii="宋体" w:hAnsi="宋体" w:eastAsia="宋体" w:cs="宋体"/>
          <w:sz w:val="18"/>
          <w:szCs w:val="18"/>
        </w:rPr>
        <w:t>③以公允价值计量且其变动计入当期损益。将持有的未划分为以摊余成本计量和以公允价值计量且其变动计入其他综合收益的金融资产，以公允价值计量，产生的利得或损失（包括利息和股利收入）计入当期损益。在初始确认时，如果能消除或减少会计错配，可以将金融资产不可撤销地指定为以公允价值计量且其变动计入当期损益的金融资产。该指定一经做出，不得撤销。</w:t>
      </w:r>
    </w:p>
    <w:p w14:paraId="011C6FB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eastAsia" w:ascii="宋体" w:hAnsi="宋体" w:eastAsia="宋体" w:cs="宋体"/>
          <w:sz w:val="18"/>
          <w:szCs w:val="18"/>
        </w:rPr>
      </w:pPr>
      <w:r>
        <w:rPr>
          <w:rFonts w:hint="eastAsia" w:ascii="宋体" w:hAnsi="宋体" w:eastAsia="宋体" w:cs="宋体"/>
          <w:sz w:val="18"/>
          <w:szCs w:val="18"/>
        </w:rPr>
        <w:t>对于非交易性权益工具投资，本公司可在初始确认时将其不可撤销地指定为以公允价值计量且其变动计入其他综合收益的金融资产。该指定在单项投资的基础上作出，且相关投资从发行者的角度符合权益工具的定义。该类金融资产以公允价值进行后续计量，除获得的股利（属于投资成本收回部分的除外）计入当期损益外，其他相关利得和损失均计入其他综合收益，且后续不转入当期损益。</w:t>
      </w:r>
    </w:p>
    <w:p w14:paraId="64C0BB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eastAsia" w:ascii="宋体" w:hAnsi="宋体" w:eastAsia="宋体" w:cs="宋体"/>
          <w:sz w:val="18"/>
          <w:szCs w:val="18"/>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）金融负债</w:t>
      </w:r>
    </w:p>
    <w:p w14:paraId="67589B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eastAsia" w:ascii="宋体" w:hAnsi="宋体" w:eastAsia="宋体" w:cs="宋体"/>
          <w:sz w:val="18"/>
          <w:szCs w:val="18"/>
        </w:rPr>
      </w:pPr>
      <w:r>
        <w:rPr>
          <w:rFonts w:hint="eastAsia" w:ascii="宋体" w:hAnsi="宋体" w:eastAsia="宋体" w:cs="宋体"/>
          <w:sz w:val="18"/>
          <w:szCs w:val="18"/>
        </w:rPr>
        <w:t>金融负债于初始确认时分类为：</w:t>
      </w:r>
    </w:p>
    <w:p w14:paraId="7312FE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①以公允价值计量且其变动计入当期损益的金融负债。该类金融负债以公允价值进行后续计量，形成的利得或损失计入当期损益。</w:t>
      </w:r>
    </w:p>
    <w:p w14:paraId="554BC0A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②金融资产转移不符合终止确认条件或继续涉入被转移金融资产所形成的金融负债。</w:t>
      </w:r>
    </w:p>
    <w:p w14:paraId="1BB40F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③以摊余成本计量的金融负债。该类金融负债采用实际利率法以摊余成本计量。</w:t>
      </w:r>
    </w:p>
    <w:p w14:paraId="1A0C3A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default" w:ascii="Times New Roman" w:hAnsi="Times New Roman" w:eastAsia="宋体" w:cs="Times New Roman"/>
          <w:sz w:val="18"/>
          <w:szCs w:val="18"/>
        </w:rPr>
        <w:t>2</w:t>
      </w:r>
      <w:r>
        <w:rPr>
          <w:rFonts w:hint="eastAsia" w:ascii="宋体" w:hAnsi="宋体" w:eastAsia="宋体" w:cs="宋体"/>
          <w:sz w:val="18"/>
          <w:szCs w:val="18"/>
        </w:rPr>
        <w:t>.金融工具的公允价值的确认方法</w:t>
      </w:r>
    </w:p>
    <w:p w14:paraId="4FA415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eastAsia" w:ascii="宋体" w:hAnsi="宋体" w:eastAsia="宋体" w:cs="宋体"/>
          <w:sz w:val="18"/>
          <w:szCs w:val="18"/>
        </w:rPr>
      </w:pPr>
      <w:r>
        <w:rPr>
          <w:rFonts w:hint="eastAsia" w:ascii="宋体" w:hAnsi="宋体" w:eastAsia="宋体" w:cs="宋体"/>
          <w:sz w:val="18"/>
          <w:szCs w:val="18"/>
        </w:rPr>
        <w:t>存在活跃市场的金融工具，以活跃市场中的报价确定其公允价值；如不存在活跃市场，采用估值技术确定其公允价值。在有限情况下，如果用以确定公允价值的近期信息不足，或者公允价值的可能估计金额分布范围很广，而成本代表了该范围内对公允价值的最佳估计的，该成本可代表其在该分布范围内对公允价值的恰当估计。本公司利用初始确认日后可获得的关于被投资方业绩和经营的所有信息，判断成本能否代表公允价值。</w:t>
      </w:r>
    </w:p>
    <w:p w14:paraId="76877B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default" w:ascii="Times New Roman" w:hAnsi="Times New Roman" w:eastAsia="宋体" w:cs="Times New Roman"/>
          <w:sz w:val="18"/>
          <w:szCs w:val="18"/>
        </w:rPr>
        <w:t>3</w:t>
      </w:r>
      <w:r>
        <w:rPr>
          <w:rFonts w:hint="eastAsia" w:ascii="宋体" w:hAnsi="宋体" w:eastAsia="宋体" w:cs="宋体"/>
          <w:sz w:val="18"/>
          <w:szCs w:val="18"/>
        </w:rPr>
        <w:t>.金融工具的终止确认</w:t>
      </w:r>
    </w:p>
    <w:p w14:paraId="1831A5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eastAsia" w:ascii="宋体" w:hAnsi="宋体" w:eastAsia="宋体" w:cs="宋体"/>
          <w:sz w:val="18"/>
          <w:szCs w:val="18"/>
        </w:rPr>
      </w:pPr>
      <w:r>
        <w:rPr>
          <w:rFonts w:hint="eastAsia" w:ascii="宋体" w:hAnsi="宋体" w:eastAsia="宋体" w:cs="宋体"/>
          <w:sz w:val="18"/>
          <w:szCs w:val="18"/>
        </w:rPr>
        <w:t>金融资产满足下列条件之一的，予以终止确认：（</w:t>
      </w:r>
      <w:r>
        <w:rPr>
          <w:rFonts w:hint="default" w:ascii="Times New Roman" w:hAnsi="Times New Roman" w:eastAsia="宋体" w:cs="Times New Roman"/>
          <w:sz w:val="18"/>
          <w:szCs w:val="18"/>
        </w:rPr>
        <w:t>1</w:t>
      </w:r>
      <w:r>
        <w:rPr>
          <w:rFonts w:hint="eastAsia" w:ascii="宋体" w:hAnsi="宋体" w:eastAsia="宋体" w:cs="宋体"/>
          <w:sz w:val="18"/>
          <w:szCs w:val="18"/>
        </w:rPr>
        <w:t>）收取金融资产现金流量的合同权利终止；（</w:t>
      </w:r>
      <w:r>
        <w:rPr>
          <w:rFonts w:hint="default" w:ascii="Times New Roman" w:hAnsi="Times New Roman" w:eastAsia="宋体" w:cs="Times New Roman"/>
          <w:sz w:val="18"/>
          <w:szCs w:val="18"/>
        </w:rPr>
        <w:t>2</w:t>
      </w:r>
      <w:r>
        <w:rPr>
          <w:rFonts w:hint="eastAsia" w:ascii="宋体" w:hAnsi="宋体" w:eastAsia="宋体" w:cs="宋体"/>
          <w:sz w:val="18"/>
          <w:szCs w:val="18"/>
        </w:rPr>
        <w:t>）金融资产已转移，且符合终止确认条件。</w:t>
      </w:r>
    </w:p>
    <w:p w14:paraId="221F3A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eastAsia" w:ascii="宋体" w:hAnsi="宋体" w:eastAsia="宋体" w:cs="宋体"/>
          <w:sz w:val="18"/>
          <w:szCs w:val="18"/>
        </w:rPr>
      </w:pPr>
      <w:r>
        <w:rPr>
          <w:rFonts w:hint="eastAsia" w:ascii="宋体" w:hAnsi="宋体" w:eastAsia="宋体" w:cs="宋体"/>
          <w:sz w:val="18"/>
          <w:szCs w:val="18"/>
        </w:rPr>
        <w:t>金融负债的现时义务全部或部分得以解除的，终止确认已解除的部分。如果现有负债被同一债权人以实质上几乎完全不同条款的另一金融负债所取代，或现有负债的条款被实质性修改，终止确认现有金融负债，并同时确认新金融负债。以常规方式买卖金融资产，按交易日会计进行确认和终止确认。</w:t>
      </w:r>
    </w:p>
    <w:p w14:paraId="77B145B6">
      <w:pPr>
        <w:pStyle w:val="3"/>
        <w:keepNext/>
        <w:keepLines/>
        <w:pageBreakBefore w:val="0"/>
        <w:kinsoku/>
        <w:wordWrap/>
        <w:overflowPunct/>
        <w:topLinePunct w:val="0"/>
        <w:autoSpaceDE/>
        <w:autoSpaceDN/>
        <w:bidi w:val="0"/>
        <w:adjustRightInd/>
        <w:snapToGrid/>
        <w:spacing w:before="0" w:beforeAutospacing="0" w:after="0" w:afterAutospacing="0" w:line="240" w:lineRule="auto"/>
        <w:ind w:left="0" w:firstLine="360" w:firstLineChars="200"/>
        <w:jc w:val="left"/>
        <w:outlineLvl w:val="2"/>
        <w:rPr>
          <w:rFonts w:hint="eastAsia" w:ascii="宋体" w:hAnsi="宋体" w:eastAsia="宋体" w:cs="宋体"/>
          <w:b/>
          <w:bCs/>
          <w:sz w:val="18"/>
          <w:szCs w:val="18"/>
        </w:rPr>
      </w:pPr>
      <w:bookmarkStart w:id="245" w:name="_Toc989057"/>
      <w:r>
        <w:rPr>
          <w:rFonts w:hint="default" w:ascii="Times New Roman" w:hAnsi="Times New Roman" w:eastAsia="宋体" w:cs="Times New Roman"/>
          <w:b/>
          <w:bCs/>
          <w:sz w:val="18"/>
          <w:szCs w:val="18"/>
        </w:rPr>
        <w:t>12</w:t>
      </w:r>
      <w:r>
        <w:rPr>
          <w:rFonts w:hint="eastAsia" w:ascii="宋体" w:hAnsi="宋体" w:eastAsia="宋体" w:cs="宋体"/>
          <w:b/>
          <w:bCs/>
          <w:sz w:val="18"/>
          <w:szCs w:val="18"/>
        </w:rPr>
        <w:t>、预期信用损失的确定方法及会计处理方法</w:t>
      </w:r>
      <w:bookmarkEnd w:id="245"/>
    </w:p>
    <w:p w14:paraId="696DBF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default" w:ascii="Times New Roman" w:hAnsi="Times New Roman" w:eastAsia="宋体" w:cs="Times New Roman"/>
          <w:sz w:val="18"/>
          <w:szCs w:val="18"/>
        </w:rPr>
        <w:t>1</w:t>
      </w:r>
      <w:r>
        <w:rPr>
          <w:rFonts w:hint="eastAsia" w:ascii="宋体" w:hAnsi="宋体" w:eastAsia="宋体" w:cs="宋体"/>
          <w:sz w:val="18"/>
          <w:szCs w:val="18"/>
        </w:rPr>
        <w:t>.预期信用损失的范围</w:t>
      </w:r>
    </w:p>
    <w:p w14:paraId="6D2158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本公司以预期信用损失为基础，对以摊余成本计量的金融资产（含应收款项，包括应收票据和应收账款）、应收款项融资、租赁应收款、其他应收款进行减值会计处理并确认坏账准备。</w:t>
      </w:r>
    </w:p>
    <w:p w14:paraId="0BF18D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eastAsia" w:ascii="宋体" w:hAnsi="宋体" w:eastAsia="宋体" w:cs="宋体"/>
          <w:sz w:val="18"/>
          <w:szCs w:val="18"/>
        </w:rPr>
      </w:pPr>
      <w:r>
        <w:rPr>
          <w:rFonts w:hint="default" w:ascii="Times New Roman" w:hAnsi="Times New Roman" w:eastAsia="宋体" w:cs="Times New Roman"/>
          <w:sz w:val="18"/>
          <w:szCs w:val="18"/>
        </w:rPr>
        <w:t>2</w:t>
      </w:r>
      <w:r>
        <w:rPr>
          <w:rFonts w:hint="eastAsia" w:ascii="宋体" w:hAnsi="宋体" w:eastAsia="宋体" w:cs="宋体"/>
          <w:sz w:val="18"/>
          <w:szCs w:val="18"/>
        </w:rPr>
        <w:t>.预期信用损失的确定方法</w:t>
      </w:r>
    </w:p>
    <w:p w14:paraId="73CABE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本公司以预期信用损失为基础，对以摊余成本计量的金融资产（含应收款项）、分类为以公允价值计量且其变动计入其他综合收益的金融资产（含应收款项融资）、租赁应收款、长期应收款进行减值会计处理并确认损失准备。</w:t>
      </w:r>
    </w:p>
    <w:p w14:paraId="077300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本公司在每个资产负债表日评估相关金融工具的信用风险自初始确认后是否显著增加，将金融工具发生信用减值的过程分为三个阶段，对于不同阶段的金融工具减值采用不同的会计处理方法：（</w:t>
      </w:r>
      <w:r>
        <w:rPr>
          <w:rFonts w:hint="default" w:ascii="Times New Roman" w:hAnsi="Times New Roman" w:eastAsia="宋体" w:cs="Times New Roman"/>
          <w:sz w:val="18"/>
          <w:szCs w:val="18"/>
          <w:vertAlign w:val="baseline"/>
        </w:rPr>
        <w:t>1</w:t>
      </w:r>
      <w:r>
        <w:rPr>
          <w:rFonts w:hint="eastAsia" w:ascii="宋体" w:hAnsi="宋体" w:eastAsia="宋体" w:cs="宋体"/>
          <w:sz w:val="18"/>
          <w:szCs w:val="18"/>
          <w:vertAlign w:val="baseline"/>
        </w:rPr>
        <w:t>）第一阶段，金融工具的信用风险自初始确认后未显著增加的，本公司按照该金融工具未来</w:t>
      </w:r>
      <w:r>
        <w:rPr>
          <w:rFonts w:hint="default" w:ascii="Times New Roman" w:hAnsi="Times New Roman" w:eastAsia="宋体" w:cs="Times New Roman"/>
          <w:sz w:val="18"/>
          <w:szCs w:val="18"/>
          <w:vertAlign w:val="baseline"/>
        </w:rPr>
        <w:t>12</w:t>
      </w:r>
      <w:r>
        <w:rPr>
          <w:rFonts w:hint="eastAsia" w:ascii="宋体" w:hAnsi="宋体" w:eastAsia="宋体" w:cs="宋体"/>
          <w:sz w:val="18"/>
          <w:szCs w:val="18"/>
          <w:vertAlign w:val="baseline"/>
        </w:rPr>
        <w:t>个月的预期信用损失计量损失准备，并按照其账面余额（即未扣除减值准备）和实际利率计算利息收入；（</w:t>
      </w:r>
      <w:r>
        <w:rPr>
          <w:rFonts w:hint="default" w:ascii="Times New Roman" w:hAnsi="Times New Roman" w:eastAsia="宋体" w:cs="Times New Roman"/>
          <w:sz w:val="18"/>
          <w:szCs w:val="18"/>
          <w:vertAlign w:val="baseline"/>
        </w:rPr>
        <w:t>2</w:t>
      </w:r>
      <w:r>
        <w:rPr>
          <w:rFonts w:hint="eastAsia" w:ascii="宋体" w:hAnsi="宋体" w:eastAsia="宋体" w:cs="宋体"/>
          <w:sz w:val="18"/>
          <w:szCs w:val="18"/>
          <w:vertAlign w:val="baseline"/>
        </w:rPr>
        <w:t>）第二阶段，金融工具的信用风险自初始确认后已显著增加但未发生信用减值的，本公司按照该金融工具整个存续期的预期信用损失计量损失准备，并按照其账面余额和实际利率计算利息收入；（</w:t>
      </w:r>
      <w:r>
        <w:rPr>
          <w:rFonts w:hint="default" w:ascii="Times New Roman" w:hAnsi="Times New Roman" w:eastAsia="宋体" w:cs="Times New Roman"/>
          <w:sz w:val="18"/>
          <w:szCs w:val="18"/>
          <w:vertAlign w:val="baseline"/>
        </w:rPr>
        <w:t>3</w:t>
      </w:r>
      <w:r>
        <w:rPr>
          <w:rFonts w:hint="eastAsia" w:ascii="宋体" w:hAnsi="宋体" w:eastAsia="宋体" w:cs="宋体"/>
          <w:sz w:val="18"/>
          <w:szCs w:val="18"/>
          <w:vertAlign w:val="baseline"/>
        </w:rPr>
        <w:t>）第三阶段，初始确认后发生信用减值的，本公司按照该金融工具整个存续期的预期信用损失计量损失准备，并按照其摊余成本（账面余额减已计提减值准备）和实际利率计算利息收入。</w:t>
      </w:r>
    </w:p>
    <w:p w14:paraId="422B8E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w:t>
      </w:r>
      <w:r>
        <w:rPr>
          <w:rFonts w:hint="default" w:ascii="Times New Roman" w:hAnsi="Times New Roman" w:eastAsia="宋体" w:cs="Times New Roman"/>
          <w:sz w:val="18"/>
          <w:szCs w:val="18"/>
          <w:vertAlign w:val="baseline"/>
        </w:rPr>
        <w:t>1</w:t>
      </w:r>
      <w:r>
        <w:rPr>
          <w:rFonts w:hint="eastAsia" w:ascii="宋体" w:hAnsi="宋体" w:eastAsia="宋体" w:cs="宋体"/>
          <w:sz w:val="18"/>
          <w:szCs w:val="18"/>
          <w:vertAlign w:val="baseline"/>
        </w:rPr>
        <w:t>）较低信用风险的金融工具计量损失准备的方法</w:t>
      </w:r>
    </w:p>
    <w:p w14:paraId="152B1F9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对于在资产负债表日具有较低信用风险的金融工具，本公司可以不用与其初始确认时的信用风险进行比较，而直接做出该工具的信用风险自初始确认后未显著增加的假定。</w:t>
      </w:r>
    </w:p>
    <w:p w14:paraId="075B61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如果金融工具的违约风险较低，债务人在短期内履行其合同现金流量义务的能力很强，并且即便较长时期内经济形势和经营环境存在不利变化但未必一定降低借款人履行其合同现金流量义务的能力，该金融工具被视为具有较低的信用风险。</w:t>
      </w:r>
    </w:p>
    <w:p w14:paraId="739043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w:t>
      </w:r>
      <w:r>
        <w:rPr>
          <w:rFonts w:hint="default" w:ascii="Times New Roman" w:hAnsi="Times New Roman" w:eastAsia="宋体" w:cs="Times New Roman"/>
          <w:sz w:val="18"/>
          <w:szCs w:val="18"/>
          <w:vertAlign w:val="baseline"/>
        </w:rPr>
        <w:t>2</w:t>
      </w:r>
      <w:r>
        <w:rPr>
          <w:rFonts w:hint="eastAsia" w:ascii="宋体" w:hAnsi="宋体" w:eastAsia="宋体" w:cs="宋体"/>
          <w:sz w:val="18"/>
          <w:szCs w:val="18"/>
          <w:vertAlign w:val="baseline"/>
        </w:rPr>
        <w:t>）应收款项、租赁应收款计量损失准备的方法</w:t>
      </w:r>
    </w:p>
    <w:p w14:paraId="19BE36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本公司对于由《企业会计准则第</w:t>
      </w:r>
      <w:r>
        <w:rPr>
          <w:rFonts w:hint="default" w:ascii="Times New Roman" w:hAnsi="Times New Roman" w:eastAsia="宋体" w:cs="Times New Roman"/>
          <w:sz w:val="18"/>
          <w:szCs w:val="18"/>
          <w:vertAlign w:val="baseline"/>
        </w:rPr>
        <w:t>14</w:t>
      </w:r>
      <w:r>
        <w:rPr>
          <w:rFonts w:hint="eastAsia" w:ascii="宋体" w:hAnsi="宋体" w:eastAsia="宋体" w:cs="宋体"/>
          <w:sz w:val="18"/>
          <w:szCs w:val="18"/>
          <w:vertAlign w:val="baseline"/>
        </w:rPr>
        <w:t>号——收入》规范的交易形成的应收款项（无论是否含重大融资成分），以及由《企业会计准则第</w:t>
      </w:r>
      <w:r>
        <w:rPr>
          <w:rFonts w:hint="default" w:ascii="Times New Roman" w:hAnsi="Times New Roman" w:eastAsia="宋体" w:cs="Times New Roman"/>
          <w:sz w:val="18"/>
          <w:szCs w:val="18"/>
          <w:vertAlign w:val="baseline"/>
        </w:rPr>
        <w:t>21</w:t>
      </w:r>
      <w:r>
        <w:rPr>
          <w:rFonts w:hint="eastAsia" w:ascii="宋体" w:hAnsi="宋体" w:eastAsia="宋体" w:cs="宋体"/>
          <w:sz w:val="18"/>
          <w:szCs w:val="18"/>
          <w:vertAlign w:val="baseline"/>
        </w:rPr>
        <w:t>号——租赁》规范的租赁应收款，均采用简化方法，即始终按整个存续期预期信用损失计量损失准备。</w:t>
      </w:r>
    </w:p>
    <w:p w14:paraId="1910C9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根据金融工具的性质，本公司以单项金融资产或金融资产组合为基础评估信用风险是否显著增加。对信用风险显著不同的金融资产单项评价信用风险，按照该应收款项的账面金额与预期能收到的现金流量现值的差额，确定预期信用损失，如：已有明显迹象表明债务人很可能无法履行还款义务的应收款项等。除了单项评估信用风险的金融资产外，本公司基于相同风险特征将金融资产划分为不同组别，在组合的基础上评估信用风险，确定组合依据如下：</w:t>
      </w:r>
    </w:p>
    <w:p w14:paraId="509734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应收账款组合</w:t>
      </w:r>
      <w:r>
        <w:rPr>
          <w:rFonts w:hint="default" w:ascii="Times New Roman" w:hAnsi="Times New Roman" w:eastAsia="宋体" w:cs="Times New Roman"/>
          <w:sz w:val="18"/>
          <w:szCs w:val="18"/>
          <w:vertAlign w:val="baseline"/>
        </w:rPr>
        <w:t>1</w:t>
      </w:r>
      <w:r>
        <w:rPr>
          <w:rFonts w:hint="eastAsia" w:ascii="宋体" w:hAnsi="宋体" w:eastAsia="宋体" w:cs="宋体"/>
          <w:sz w:val="18"/>
          <w:szCs w:val="18"/>
          <w:vertAlign w:val="baseline"/>
        </w:rPr>
        <w:t>：合并范围内关联方款项</w:t>
      </w:r>
    </w:p>
    <w:p w14:paraId="273238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应收账款组合</w:t>
      </w:r>
      <w:r>
        <w:rPr>
          <w:rFonts w:hint="default" w:ascii="Times New Roman" w:hAnsi="Times New Roman" w:eastAsia="宋体" w:cs="Times New Roman"/>
          <w:sz w:val="18"/>
          <w:szCs w:val="18"/>
          <w:vertAlign w:val="baseline"/>
        </w:rPr>
        <w:t>2</w:t>
      </w:r>
      <w:r>
        <w:rPr>
          <w:rFonts w:hint="eastAsia" w:ascii="宋体" w:hAnsi="宋体" w:eastAsia="宋体" w:cs="宋体"/>
          <w:sz w:val="18"/>
          <w:szCs w:val="18"/>
          <w:vertAlign w:val="baseline"/>
        </w:rPr>
        <w:t>：账龄分析组合</w:t>
      </w:r>
    </w:p>
    <w:p w14:paraId="57D932A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划分为组合</w:t>
      </w:r>
      <w:r>
        <w:rPr>
          <w:rFonts w:hint="default" w:ascii="Times New Roman" w:hAnsi="Times New Roman" w:eastAsia="宋体" w:cs="Times New Roman"/>
          <w:sz w:val="18"/>
          <w:szCs w:val="18"/>
          <w:vertAlign w:val="baseline"/>
        </w:rPr>
        <w:t>1</w:t>
      </w:r>
      <w:r>
        <w:rPr>
          <w:rFonts w:hint="eastAsia" w:ascii="宋体" w:hAnsi="宋体" w:eastAsia="宋体" w:cs="宋体"/>
          <w:sz w:val="18"/>
          <w:szCs w:val="18"/>
          <w:vertAlign w:val="baseline"/>
        </w:rPr>
        <w:t>的应收账款，此类应收款项历年没有发生坏账的情况，一般不计提损失准备；对于划分为组合</w:t>
      </w:r>
      <w:r>
        <w:rPr>
          <w:rFonts w:hint="default" w:ascii="Times New Roman" w:hAnsi="Times New Roman" w:eastAsia="宋体" w:cs="Times New Roman"/>
          <w:sz w:val="18"/>
          <w:szCs w:val="18"/>
          <w:vertAlign w:val="baseline"/>
        </w:rPr>
        <w:t>2</w:t>
      </w:r>
      <w:r>
        <w:rPr>
          <w:rFonts w:hint="eastAsia" w:ascii="宋体" w:hAnsi="宋体" w:eastAsia="宋体" w:cs="宋体"/>
          <w:sz w:val="18"/>
          <w:szCs w:val="18"/>
          <w:vertAlign w:val="baseline"/>
        </w:rPr>
        <w:t>的应收账款，本公司参考历史信用损失经验，结合当前状况及对未来经济状况的预测，编制应收账款及应收票据账龄与整个存续期预期信用损失率对照表，计算预期信用损失。</w:t>
      </w:r>
    </w:p>
    <w:p w14:paraId="5F5A348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账龄分析组合预期信用损失率如下：</w:t>
      </w:r>
    </w:p>
    <w:tbl>
      <w:tblPr>
        <w:tblStyle w:val="7"/>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924"/>
        <w:gridCol w:w="4927"/>
      </w:tblGrid>
      <w:tr w14:paraId="481E4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2499"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A296984">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账龄</w:t>
            </w:r>
          </w:p>
        </w:tc>
        <w:tc>
          <w:tcPr>
            <w:tcW w:w="2500" w:type="pc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29A33CA">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应收账款预期信用损失率（%）</w:t>
            </w:r>
          </w:p>
        </w:tc>
      </w:tr>
      <w:tr w14:paraId="54BF8A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340" w:hRule="atLeast"/>
          <w:jc w:val="center"/>
        </w:trPr>
        <w:tc>
          <w:tcPr>
            <w:tcW w:w="2499"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827146B">
            <w:pPr>
              <w:pStyle w:val="6"/>
              <w:keepNext w:val="0"/>
              <w:keepLines w:val="0"/>
              <w:widowControl/>
              <w:suppressLineNumbers w:val="0"/>
              <w:snapToGrid w:val="0"/>
              <w:spacing w:before="0" w:beforeAutospacing="1" w:after="0" w:afterAutospacing="0"/>
              <w:ind w:left="0" w:right="0"/>
              <w:rPr>
                <w:rFonts w:hint="default" w:ascii="Times New Roman" w:hAnsi="Times New Roman" w:cs="Times New Roman"/>
              </w:rPr>
            </w:pPr>
            <w:r>
              <w:rPr>
                <w:rFonts w:hint="default" w:ascii="Times New Roman" w:hAnsi="Times New Roman" w:eastAsia="Arial Narrow" w:cs="Times New Roman"/>
                <w:sz w:val="18"/>
                <w:szCs w:val="18"/>
              </w:rPr>
              <w:t>1</w:t>
            </w:r>
            <w:r>
              <w:rPr>
                <w:rFonts w:hint="default" w:ascii="Times New Roman" w:hAnsi="Times New Roman" w:eastAsia="宋体" w:cs="Times New Roman"/>
                <w:sz w:val="18"/>
                <w:szCs w:val="18"/>
              </w:rPr>
              <w:t>年以内（含</w:t>
            </w:r>
            <w:r>
              <w:rPr>
                <w:rFonts w:hint="default" w:ascii="Times New Roman" w:hAnsi="Times New Roman" w:eastAsia="Arial Narrow" w:cs="Times New Roman"/>
                <w:sz w:val="18"/>
                <w:szCs w:val="18"/>
              </w:rPr>
              <w:t>1</w:t>
            </w:r>
            <w:r>
              <w:rPr>
                <w:rFonts w:hint="default" w:ascii="Times New Roman" w:hAnsi="Times New Roman" w:eastAsia="宋体" w:cs="Times New Roman"/>
                <w:sz w:val="18"/>
                <w:szCs w:val="18"/>
              </w:rPr>
              <w:t>年）</w:t>
            </w:r>
          </w:p>
        </w:tc>
        <w:tc>
          <w:tcPr>
            <w:tcW w:w="25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167C4F1">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1.00</w:t>
            </w:r>
          </w:p>
        </w:tc>
      </w:tr>
      <w:tr w14:paraId="6CC0AF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340" w:hRule="atLeast"/>
          <w:jc w:val="center"/>
        </w:trPr>
        <w:tc>
          <w:tcPr>
            <w:tcW w:w="2499"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8F02478">
            <w:pPr>
              <w:pStyle w:val="6"/>
              <w:keepNext w:val="0"/>
              <w:keepLines w:val="0"/>
              <w:widowControl/>
              <w:suppressLineNumbers w:val="0"/>
              <w:snapToGrid w:val="0"/>
              <w:spacing w:before="0" w:beforeAutospacing="1" w:after="0" w:afterAutospacing="0"/>
              <w:ind w:left="0" w:right="0"/>
              <w:rPr>
                <w:rFonts w:hint="default" w:ascii="Times New Roman" w:hAnsi="Times New Roman" w:cs="Times New Roman"/>
              </w:rPr>
            </w:pPr>
            <w:r>
              <w:rPr>
                <w:rFonts w:hint="default" w:ascii="Times New Roman" w:hAnsi="Times New Roman" w:eastAsia="Arial Narrow" w:cs="Times New Roman"/>
                <w:sz w:val="18"/>
                <w:szCs w:val="18"/>
              </w:rPr>
              <w:t>1</w:t>
            </w:r>
            <w:r>
              <w:rPr>
                <w:rFonts w:hint="default" w:ascii="Times New Roman" w:hAnsi="Times New Roman" w:eastAsia="宋体" w:cs="Times New Roman"/>
                <w:sz w:val="18"/>
                <w:szCs w:val="18"/>
              </w:rPr>
              <w:t>至</w:t>
            </w:r>
            <w:r>
              <w:rPr>
                <w:rFonts w:hint="default" w:ascii="Times New Roman" w:hAnsi="Times New Roman" w:eastAsia="Arial Narrow" w:cs="Times New Roman"/>
                <w:sz w:val="18"/>
                <w:szCs w:val="18"/>
              </w:rPr>
              <w:t>2</w:t>
            </w:r>
            <w:r>
              <w:rPr>
                <w:rFonts w:hint="default" w:ascii="Times New Roman" w:hAnsi="Times New Roman" w:eastAsia="宋体" w:cs="Times New Roman"/>
                <w:sz w:val="18"/>
                <w:szCs w:val="18"/>
              </w:rPr>
              <w:t>年</w:t>
            </w:r>
          </w:p>
        </w:tc>
        <w:tc>
          <w:tcPr>
            <w:tcW w:w="25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BDBA462">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10.00</w:t>
            </w:r>
          </w:p>
        </w:tc>
      </w:tr>
      <w:tr w14:paraId="05872D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340" w:hRule="atLeast"/>
          <w:jc w:val="center"/>
        </w:trPr>
        <w:tc>
          <w:tcPr>
            <w:tcW w:w="2499"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036573C">
            <w:pPr>
              <w:pStyle w:val="6"/>
              <w:keepNext w:val="0"/>
              <w:keepLines w:val="0"/>
              <w:widowControl/>
              <w:suppressLineNumbers w:val="0"/>
              <w:snapToGrid w:val="0"/>
              <w:spacing w:before="0" w:beforeAutospacing="1" w:after="0" w:afterAutospacing="0"/>
              <w:ind w:left="0" w:right="0"/>
              <w:rPr>
                <w:rFonts w:hint="default" w:ascii="Times New Roman" w:hAnsi="Times New Roman" w:cs="Times New Roman"/>
              </w:rPr>
            </w:pPr>
            <w:r>
              <w:rPr>
                <w:rFonts w:hint="default" w:ascii="Times New Roman" w:hAnsi="Times New Roman" w:eastAsia="Arial Narrow" w:cs="Times New Roman"/>
                <w:sz w:val="18"/>
                <w:szCs w:val="18"/>
              </w:rPr>
              <w:t>2</w:t>
            </w:r>
            <w:r>
              <w:rPr>
                <w:rFonts w:hint="default" w:ascii="Times New Roman" w:hAnsi="Times New Roman" w:eastAsia="宋体" w:cs="Times New Roman"/>
                <w:sz w:val="18"/>
                <w:szCs w:val="18"/>
              </w:rPr>
              <w:t>至</w:t>
            </w:r>
            <w:r>
              <w:rPr>
                <w:rFonts w:hint="default" w:ascii="Times New Roman" w:hAnsi="Times New Roman" w:eastAsia="Arial Narrow" w:cs="Times New Roman"/>
                <w:sz w:val="18"/>
                <w:szCs w:val="18"/>
              </w:rPr>
              <w:t>3</w:t>
            </w:r>
            <w:r>
              <w:rPr>
                <w:rFonts w:hint="default" w:ascii="Times New Roman" w:hAnsi="Times New Roman" w:eastAsia="宋体" w:cs="Times New Roman"/>
                <w:sz w:val="18"/>
                <w:szCs w:val="18"/>
              </w:rPr>
              <w:t>年</w:t>
            </w:r>
          </w:p>
        </w:tc>
        <w:tc>
          <w:tcPr>
            <w:tcW w:w="25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29B05E1">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30.00</w:t>
            </w:r>
          </w:p>
        </w:tc>
      </w:tr>
      <w:tr w14:paraId="554148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340" w:hRule="atLeast"/>
          <w:jc w:val="center"/>
        </w:trPr>
        <w:tc>
          <w:tcPr>
            <w:tcW w:w="2499"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65085F1">
            <w:pPr>
              <w:pStyle w:val="6"/>
              <w:keepNext w:val="0"/>
              <w:keepLines w:val="0"/>
              <w:widowControl/>
              <w:suppressLineNumbers w:val="0"/>
              <w:snapToGrid w:val="0"/>
              <w:spacing w:before="0" w:beforeAutospacing="1" w:after="0" w:afterAutospacing="0"/>
              <w:ind w:left="0" w:right="0"/>
              <w:rPr>
                <w:rFonts w:hint="default" w:ascii="Times New Roman" w:hAnsi="Times New Roman" w:cs="Times New Roman"/>
              </w:rPr>
            </w:pPr>
            <w:r>
              <w:rPr>
                <w:rFonts w:hint="default" w:ascii="Times New Roman" w:hAnsi="Times New Roman" w:eastAsia="Arial Narrow" w:cs="Times New Roman"/>
                <w:sz w:val="18"/>
                <w:szCs w:val="18"/>
              </w:rPr>
              <w:t>3</w:t>
            </w:r>
            <w:r>
              <w:rPr>
                <w:rFonts w:hint="default" w:ascii="Times New Roman" w:hAnsi="Times New Roman" w:eastAsia="宋体" w:cs="Times New Roman"/>
                <w:sz w:val="18"/>
                <w:szCs w:val="18"/>
              </w:rPr>
              <w:t>至</w:t>
            </w:r>
            <w:r>
              <w:rPr>
                <w:rFonts w:hint="default" w:ascii="Times New Roman" w:hAnsi="Times New Roman" w:eastAsia="Arial Narrow" w:cs="Times New Roman"/>
                <w:sz w:val="18"/>
                <w:szCs w:val="18"/>
              </w:rPr>
              <w:t>4</w:t>
            </w:r>
            <w:r>
              <w:rPr>
                <w:rFonts w:hint="default" w:ascii="Times New Roman" w:hAnsi="Times New Roman" w:eastAsia="宋体" w:cs="Times New Roman"/>
                <w:sz w:val="18"/>
                <w:szCs w:val="18"/>
              </w:rPr>
              <w:t>年</w:t>
            </w:r>
          </w:p>
        </w:tc>
        <w:tc>
          <w:tcPr>
            <w:tcW w:w="25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9E69ABC">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50.00</w:t>
            </w:r>
          </w:p>
        </w:tc>
      </w:tr>
      <w:tr w14:paraId="625415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340" w:hRule="atLeast"/>
          <w:jc w:val="center"/>
        </w:trPr>
        <w:tc>
          <w:tcPr>
            <w:tcW w:w="2499"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5A76D05">
            <w:pPr>
              <w:pStyle w:val="6"/>
              <w:keepNext w:val="0"/>
              <w:keepLines w:val="0"/>
              <w:widowControl/>
              <w:suppressLineNumbers w:val="0"/>
              <w:snapToGrid w:val="0"/>
              <w:spacing w:before="0" w:beforeAutospacing="1" w:after="0" w:afterAutospacing="0"/>
              <w:ind w:left="0" w:right="0"/>
              <w:rPr>
                <w:rFonts w:hint="default" w:ascii="Times New Roman" w:hAnsi="Times New Roman" w:cs="Times New Roman"/>
              </w:rPr>
            </w:pPr>
            <w:r>
              <w:rPr>
                <w:rFonts w:hint="default" w:ascii="Times New Roman" w:hAnsi="Times New Roman" w:eastAsia="Arial Narrow" w:cs="Times New Roman"/>
                <w:sz w:val="18"/>
                <w:szCs w:val="18"/>
              </w:rPr>
              <w:t>4</w:t>
            </w:r>
            <w:r>
              <w:rPr>
                <w:rFonts w:hint="default" w:ascii="Times New Roman" w:hAnsi="Times New Roman" w:eastAsia="宋体" w:cs="Times New Roman"/>
                <w:sz w:val="18"/>
                <w:szCs w:val="18"/>
              </w:rPr>
              <w:t>至</w:t>
            </w:r>
            <w:r>
              <w:rPr>
                <w:rFonts w:hint="default" w:ascii="Times New Roman" w:hAnsi="Times New Roman" w:eastAsia="Arial Narrow" w:cs="Times New Roman"/>
                <w:sz w:val="18"/>
                <w:szCs w:val="18"/>
              </w:rPr>
              <w:t>5</w:t>
            </w:r>
            <w:r>
              <w:rPr>
                <w:rFonts w:hint="default" w:ascii="Times New Roman" w:hAnsi="Times New Roman" w:eastAsia="宋体" w:cs="Times New Roman"/>
                <w:sz w:val="18"/>
                <w:szCs w:val="18"/>
              </w:rPr>
              <w:t>年</w:t>
            </w:r>
          </w:p>
        </w:tc>
        <w:tc>
          <w:tcPr>
            <w:tcW w:w="25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55D63D1">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80.00</w:t>
            </w:r>
          </w:p>
        </w:tc>
      </w:tr>
      <w:tr w14:paraId="0C5D36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340" w:hRule="atLeast"/>
          <w:jc w:val="center"/>
        </w:trPr>
        <w:tc>
          <w:tcPr>
            <w:tcW w:w="2499"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608E665">
            <w:pPr>
              <w:pStyle w:val="6"/>
              <w:keepNext w:val="0"/>
              <w:keepLines w:val="0"/>
              <w:widowControl/>
              <w:suppressLineNumbers w:val="0"/>
              <w:snapToGrid w:val="0"/>
              <w:spacing w:before="0" w:beforeAutospacing="1" w:after="0" w:afterAutospacing="0"/>
              <w:ind w:left="0" w:right="0"/>
              <w:rPr>
                <w:rFonts w:hint="default" w:ascii="Times New Roman" w:hAnsi="Times New Roman" w:cs="Times New Roman"/>
              </w:rPr>
            </w:pPr>
            <w:r>
              <w:rPr>
                <w:rFonts w:hint="default" w:ascii="Times New Roman" w:hAnsi="Times New Roman" w:eastAsia="Arial Narrow" w:cs="Times New Roman"/>
                <w:sz w:val="18"/>
                <w:szCs w:val="18"/>
              </w:rPr>
              <w:t>5</w:t>
            </w:r>
            <w:r>
              <w:rPr>
                <w:rFonts w:hint="default" w:ascii="Times New Roman" w:hAnsi="Times New Roman" w:eastAsia="宋体" w:cs="Times New Roman"/>
                <w:sz w:val="18"/>
                <w:szCs w:val="18"/>
              </w:rPr>
              <w:t>年以上</w:t>
            </w:r>
          </w:p>
        </w:tc>
        <w:tc>
          <w:tcPr>
            <w:tcW w:w="25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5DBE132">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100.00</w:t>
            </w:r>
          </w:p>
        </w:tc>
      </w:tr>
    </w:tbl>
    <w:p w14:paraId="0E7F01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sz w:val="18"/>
          <w:szCs w:val="18"/>
        </w:rPr>
      </w:pPr>
      <w:r>
        <w:rPr>
          <w:rFonts w:hint="eastAsia" w:ascii="宋体" w:hAnsi="宋体" w:eastAsia="宋体" w:cs="宋体"/>
          <w:sz w:val="18"/>
          <w:szCs w:val="18"/>
        </w:rPr>
        <w:t>如果有客观证据表明某项应收款项、租赁应收款已经发生信用减值，则本公司对该应收款项、租赁应收款单项计提损失准备并确认预期信用损失计提损失准备。</w:t>
      </w:r>
    </w:p>
    <w:p w14:paraId="068E94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sz w:val="18"/>
          <w:szCs w:val="18"/>
        </w:rPr>
      </w:pPr>
      <w:r>
        <w:rPr>
          <w:rFonts w:hint="eastAsia" w:ascii="宋体" w:hAnsi="宋体" w:eastAsia="宋体" w:cs="宋体"/>
          <w:sz w:val="18"/>
          <w:szCs w:val="18"/>
        </w:rPr>
        <w:t>（</w:t>
      </w:r>
      <w:r>
        <w:rPr>
          <w:rFonts w:hint="default" w:ascii="Times New Roman" w:hAnsi="Times New Roman" w:eastAsia="宋体" w:cs="Times New Roman"/>
          <w:sz w:val="18"/>
          <w:szCs w:val="18"/>
        </w:rPr>
        <w:t>3</w:t>
      </w:r>
      <w:r>
        <w:rPr>
          <w:rFonts w:hint="eastAsia" w:ascii="宋体" w:hAnsi="宋体" w:eastAsia="宋体" w:cs="宋体"/>
          <w:sz w:val="18"/>
          <w:szCs w:val="18"/>
        </w:rPr>
        <w:t>）其他金融资产计量损失准备的方法</w:t>
      </w:r>
    </w:p>
    <w:p w14:paraId="2511E8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对于除上述以外的金融资产，如：债权投资、其他债权投资、其他应收款、除租赁应收款以外的长期应收款等，本公司按照一般方法，即“三阶段”模型计量损失准备。</w:t>
      </w:r>
    </w:p>
    <w:p w14:paraId="203144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sz w:val="18"/>
          <w:szCs w:val="18"/>
        </w:rPr>
      </w:pPr>
      <w:r>
        <w:rPr>
          <w:rFonts w:hint="eastAsia" w:ascii="宋体" w:hAnsi="宋体" w:eastAsia="宋体" w:cs="宋体"/>
          <w:sz w:val="18"/>
          <w:szCs w:val="18"/>
        </w:rPr>
        <w:t>本公司在计量金融工具发生信用减值时，评估信用风险是否显著增加考虑了以下因素：</w:t>
      </w:r>
    </w:p>
    <w:p w14:paraId="12CC0B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sz w:val="18"/>
          <w:szCs w:val="18"/>
        </w:rPr>
      </w:pPr>
      <w:r>
        <w:rPr>
          <w:rFonts w:hint="eastAsia" w:ascii="宋体" w:hAnsi="宋体" w:eastAsia="宋体" w:cs="宋体"/>
          <w:sz w:val="18"/>
          <w:szCs w:val="18"/>
        </w:rPr>
        <w:t xml:space="preserve">① 预期将导致债务人履行其偿债义务的能力发生显著变化的业务、财务或外部经济状况的不利变化。 </w:t>
      </w:r>
    </w:p>
    <w:p w14:paraId="0E9D3C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sz w:val="18"/>
          <w:szCs w:val="18"/>
        </w:rPr>
      </w:pPr>
      <w:r>
        <w:rPr>
          <w:rFonts w:hint="eastAsia" w:ascii="宋体" w:hAnsi="宋体" w:eastAsia="宋体" w:cs="宋体"/>
          <w:sz w:val="18"/>
          <w:szCs w:val="18"/>
        </w:rPr>
        <w:t>② 债务人经营成果实际或预期的显著变化。</w:t>
      </w:r>
    </w:p>
    <w:p w14:paraId="4DB12B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sz w:val="18"/>
          <w:szCs w:val="18"/>
        </w:rPr>
      </w:pPr>
      <w:r>
        <w:rPr>
          <w:rFonts w:hint="eastAsia" w:ascii="宋体" w:hAnsi="宋体" w:eastAsia="宋体" w:cs="宋体"/>
          <w:sz w:val="18"/>
          <w:szCs w:val="18"/>
        </w:rPr>
        <w:t>③ 债务人所处的监管、经济或技术环境的显著不利变化。</w:t>
      </w:r>
    </w:p>
    <w:p w14:paraId="661FB4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sz w:val="18"/>
          <w:szCs w:val="18"/>
        </w:rPr>
      </w:pPr>
      <w:r>
        <w:rPr>
          <w:rFonts w:hint="eastAsia" w:ascii="宋体" w:hAnsi="宋体" w:eastAsia="宋体" w:cs="宋体"/>
          <w:sz w:val="18"/>
          <w:szCs w:val="18"/>
        </w:rPr>
        <w:t xml:space="preserve">④ 作为债务抵押的担保物价值或第三方提供的担保或信用增级质量的显著变化。 </w:t>
      </w:r>
    </w:p>
    <w:p w14:paraId="277A65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sz w:val="18"/>
          <w:szCs w:val="18"/>
        </w:rPr>
      </w:pPr>
      <w:r>
        <w:rPr>
          <w:rFonts w:hint="eastAsia" w:ascii="宋体" w:hAnsi="宋体" w:eastAsia="宋体" w:cs="宋体"/>
          <w:sz w:val="18"/>
          <w:szCs w:val="18"/>
        </w:rPr>
        <w:t xml:space="preserve">⑤ 债务人预期表现和还款行为的显著变化。 </w:t>
      </w:r>
    </w:p>
    <w:p w14:paraId="465EE6E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pPr>
      <w:r>
        <w:rPr>
          <w:rFonts w:hint="eastAsia" w:ascii="宋体" w:hAnsi="宋体" w:eastAsia="宋体" w:cs="宋体"/>
          <w:sz w:val="18"/>
          <w:szCs w:val="18"/>
        </w:rPr>
        <w:t>⑥ 逾期信息。</w:t>
      </w:r>
    </w:p>
    <w:p w14:paraId="453CB6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对信用风险显著不同的其他金融资产单项评价信用风险，按照其他应收款的账面金额与预期能收到的现金流量现值的差额，确定预期信用损失，如：已有明显迹象表明债务人很可能无法履行还款义务的应收款项等。除了单项评估信用风险的金融资产外，本公司基于相同风险特征将其他应收款划分为不同组别，在组合的基础上评估信用风险，确定组合依据如下：</w:t>
      </w:r>
    </w:p>
    <w:p w14:paraId="541485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其他应收款组合</w:t>
      </w:r>
      <w:r>
        <w:rPr>
          <w:rFonts w:hint="default" w:ascii="Times New Roman" w:hAnsi="Times New Roman" w:eastAsia="宋体" w:cs="Times New Roman"/>
          <w:sz w:val="18"/>
          <w:szCs w:val="18"/>
          <w:vertAlign w:val="baseline"/>
        </w:rPr>
        <w:t>1</w:t>
      </w:r>
      <w:r>
        <w:rPr>
          <w:rFonts w:hint="eastAsia" w:ascii="宋体" w:hAnsi="宋体" w:eastAsia="宋体" w:cs="宋体"/>
          <w:sz w:val="18"/>
          <w:szCs w:val="18"/>
          <w:vertAlign w:val="baseline"/>
        </w:rPr>
        <w:t>：合并范围内关联方款项</w:t>
      </w:r>
    </w:p>
    <w:p w14:paraId="16B533B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其他应收款组合</w:t>
      </w:r>
      <w:r>
        <w:rPr>
          <w:rFonts w:hint="default" w:ascii="Times New Roman" w:hAnsi="Times New Roman" w:eastAsia="宋体" w:cs="Times New Roman"/>
          <w:sz w:val="18"/>
          <w:szCs w:val="18"/>
          <w:vertAlign w:val="baseline"/>
        </w:rPr>
        <w:t>2</w:t>
      </w:r>
      <w:r>
        <w:rPr>
          <w:rFonts w:hint="eastAsia" w:ascii="宋体" w:hAnsi="宋体" w:eastAsia="宋体" w:cs="宋体"/>
          <w:sz w:val="18"/>
          <w:szCs w:val="18"/>
          <w:vertAlign w:val="baseline"/>
        </w:rPr>
        <w:t>：账龄分析组合</w:t>
      </w:r>
    </w:p>
    <w:p w14:paraId="02D5F3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对于划分为组合</w:t>
      </w:r>
      <w:r>
        <w:rPr>
          <w:rFonts w:hint="default" w:ascii="Times New Roman" w:hAnsi="Times New Roman" w:eastAsia="宋体" w:cs="Times New Roman"/>
          <w:sz w:val="18"/>
          <w:szCs w:val="18"/>
          <w:vertAlign w:val="baseline"/>
        </w:rPr>
        <w:t>1</w:t>
      </w:r>
      <w:r>
        <w:rPr>
          <w:rFonts w:hint="eastAsia" w:ascii="宋体" w:hAnsi="宋体" w:eastAsia="宋体" w:cs="宋体"/>
          <w:sz w:val="18"/>
          <w:szCs w:val="18"/>
          <w:vertAlign w:val="baseline"/>
        </w:rPr>
        <w:t>的其他应收款，此类其他应收款历年没有发生坏账的情况，一般不计提损失准备；对于划分为组合</w:t>
      </w:r>
      <w:r>
        <w:rPr>
          <w:rFonts w:hint="default" w:ascii="Times New Roman" w:hAnsi="Times New Roman" w:eastAsia="宋体" w:cs="Times New Roman"/>
          <w:sz w:val="18"/>
          <w:szCs w:val="18"/>
          <w:vertAlign w:val="baseline"/>
        </w:rPr>
        <w:t>2</w:t>
      </w:r>
      <w:r>
        <w:rPr>
          <w:rFonts w:hint="eastAsia" w:ascii="宋体" w:hAnsi="宋体" w:eastAsia="宋体" w:cs="宋体"/>
          <w:sz w:val="18"/>
          <w:szCs w:val="18"/>
          <w:vertAlign w:val="baseline"/>
        </w:rPr>
        <w:t>的其他应收款，以账龄作为信用风险特征的进行组合，并基于所有合理且有依据的信息，包括前瞻性信息，计算预期信用损失。</w:t>
      </w:r>
    </w:p>
    <w:p w14:paraId="228AFC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default" w:ascii="Times New Roman" w:hAnsi="Times New Roman" w:cs="Times New Roman"/>
          <w:sz w:val="18"/>
          <w:szCs w:val="18"/>
        </w:rPr>
      </w:pPr>
      <w:r>
        <w:rPr>
          <w:rFonts w:hint="eastAsia" w:ascii="宋体" w:hAnsi="宋体" w:eastAsia="宋体" w:cs="宋体"/>
          <w:sz w:val="18"/>
          <w:szCs w:val="18"/>
        </w:rPr>
        <w:t>账龄分析组合预期信用损失率如下：</w:t>
      </w:r>
    </w:p>
    <w:tbl>
      <w:tblPr>
        <w:tblStyle w:val="7"/>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924"/>
        <w:gridCol w:w="4927"/>
      </w:tblGrid>
      <w:tr w14:paraId="123D53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2499"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6DFA742">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账龄</w:t>
            </w:r>
          </w:p>
        </w:tc>
        <w:tc>
          <w:tcPr>
            <w:tcW w:w="2500" w:type="pc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15FB06A">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其他应收款预期信用损失率（%）</w:t>
            </w:r>
          </w:p>
        </w:tc>
      </w:tr>
      <w:tr w14:paraId="41670B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340" w:hRule="atLeast"/>
          <w:jc w:val="center"/>
        </w:trPr>
        <w:tc>
          <w:tcPr>
            <w:tcW w:w="2499"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975FD96">
            <w:pPr>
              <w:pStyle w:val="6"/>
              <w:keepNext w:val="0"/>
              <w:keepLines w:val="0"/>
              <w:widowControl/>
              <w:suppressLineNumbers w:val="0"/>
              <w:snapToGrid w:val="0"/>
              <w:spacing w:before="0" w:beforeAutospacing="1" w:after="0" w:afterAutospacing="0"/>
              <w:ind w:left="0" w:right="0"/>
              <w:rPr>
                <w:rFonts w:hint="default" w:ascii="Times New Roman" w:hAnsi="Times New Roman" w:cs="Times New Roman"/>
              </w:rPr>
            </w:pPr>
            <w:r>
              <w:rPr>
                <w:rFonts w:hint="default" w:ascii="Times New Roman" w:hAnsi="Times New Roman" w:eastAsia="Arial Narrow" w:cs="Times New Roman"/>
                <w:sz w:val="18"/>
                <w:szCs w:val="18"/>
              </w:rPr>
              <w:t>1</w:t>
            </w:r>
            <w:r>
              <w:rPr>
                <w:rFonts w:hint="default" w:ascii="Times New Roman" w:hAnsi="Times New Roman" w:eastAsia="宋体" w:cs="Times New Roman"/>
                <w:sz w:val="18"/>
                <w:szCs w:val="18"/>
              </w:rPr>
              <w:t>年以内（含</w:t>
            </w:r>
            <w:r>
              <w:rPr>
                <w:rFonts w:hint="default" w:ascii="Times New Roman" w:hAnsi="Times New Roman" w:eastAsia="Arial Narrow" w:cs="Times New Roman"/>
                <w:sz w:val="18"/>
                <w:szCs w:val="18"/>
              </w:rPr>
              <w:t>1</w:t>
            </w:r>
            <w:r>
              <w:rPr>
                <w:rFonts w:hint="default" w:ascii="Times New Roman" w:hAnsi="Times New Roman" w:eastAsia="宋体" w:cs="Times New Roman"/>
                <w:sz w:val="18"/>
                <w:szCs w:val="18"/>
              </w:rPr>
              <w:t>年）</w:t>
            </w:r>
          </w:p>
        </w:tc>
        <w:tc>
          <w:tcPr>
            <w:tcW w:w="25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99E085E">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1.00</w:t>
            </w:r>
          </w:p>
        </w:tc>
      </w:tr>
      <w:tr w14:paraId="3CBD01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340" w:hRule="atLeast"/>
          <w:jc w:val="center"/>
        </w:trPr>
        <w:tc>
          <w:tcPr>
            <w:tcW w:w="2499"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15518F6">
            <w:pPr>
              <w:pStyle w:val="6"/>
              <w:keepNext w:val="0"/>
              <w:keepLines w:val="0"/>
              <w:widowControl/>
              <w:suppressLineNumbers w:val="0"/>
              <w:snapToGrid w:val="0"/>
              <w:spacing w:before="0" w:beforeAutospacing="1" w:after="0" w:afterAutospacing="0"/>
              <w:ind w:left="0" w:right="0"/>
              <w:rPr>
                <w:rFonts w:hint="default" w:ascii="Times New Roman" w:hAnsi="Times New Roman" w:cs="Times New Roman"/>
              </w:rPr>
            </w:pPr>
            <w:r>
              <w:rPr>
                <w:rFonts w:hint="default" w:ascii="Times New Roman" w:hAnsi="Times New Roman" w:eastAsia="Arial Narrow" w:cs="Times New Roman"/>
                <w:sz w:val="18"/>
                <w:szCs w:val="18"/>
              </w:rPr>
              <w:t>1</w:t>
            </w:r>
            <w:r>
              <w:rPr>
                <w:rFonts w:hint="default" w:ascii="Times New Roman" w:hAnsi="Times New Roman" w:eastAsia="宋体" w:cs="Times New Roman"/>
                <w:sz w:val="18"/>
                <w:szCs w:val="18"/>
              </w:rPr>
              <w:t>至</w:t>
            </w:r>
            <w:r>
              <w:rPr>
                <w:rFonts w:hint="default" w:ascii="Times New Roman" w:hAnsi="Times New Roman" w:eastAsia="Arial Narrow" w:cs="Times New Roman"/>
                <w:sz w:val="18"/>
                <w:szCs w:val="18"/>
              </w:rPr>
              <w:t>2</w:t>
            </w:r>
            <w:r>
              <w:rPr>
                <w:rFonts w:hint="default" w:ascii="Times New Roman" w:hAnsi="Times New Roman" w:eastAsia="宋体" w:cs="Times New Roman"/>
                <w:sz w:val="18"/>
                <w:szCs w:val="18"/>
              </w:rPr>
              <w:t>年</w:t>
            </w:r>
          </w:p>
        </w:tc>
        <w:tc>
          <w:tcPr>
            <w:tcW w:w="25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3024C67">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10.00</w:t>
            </w:r>
          </w:p>
        </w:tc>
      </w:tr>
      <w:tr w14:paraId="61FFAB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340" w:hRule="atLeast"/>
          <w:jc w:val="center"/>
        </w:trPr>
        <w:tc>
          <w:tcPr>
            <w:tcW w:w="2499"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7281FA7">
            <w:pPr>
              <w:pStyle w:val="6"/>
              <w:keepNext w:val="0"/>
              <w:keepLines w:val="0"/>
              <w:widowControl/>
              <w:suppressLineNumbers w:val="0"/>
              <w:snapToGrid w:val="0"/>
              <w:spacing w:before="0" w:beforeAutospacing="1" w:after="0" w:afterAutospacing="0"/>
              <w:ind w:left="0" w:right="0"/>
              <w:rPr>
                <w:rFonts w:hint="default" w:ascii="Times New Roman" w:hAnsi="Times New Roman" w:cs="Times New Roman"/>
              </w:rPr>
            </w:pPr>
            <w:r>
              <w:rPr>
                <w:rFonts w:hint="default" w:ascii="Times New Roman" w:hAnsi="Times New Roman" w:eastAsia="Arial Narrow" w:cs="Times New Roman"/>
                <w:sz w:val="18"/>
                <w:szCs w:val="18"/>
              </w:rPr>
              <w:t>2</w:t>
            </w:r>
            <w:r>
              <w:rPr>
                <w:rFonts w:hint="default" w:ascii="Times New Roman" w:hAnsi="Times New Roman" w:eastAsia="宋体" w:cs="Times New Roman"/>
                <w:sz w:val="18"/>
                <w:szCs w:val="18"/>
              </w:rPr>
              <w:t>至</w:t>
            </w:r>
            <w:r>
              <w:rPr>
                <w:rFonts w:hint="default" w:ascii="Times New Roman" w:hAnsi="Times New Roman" w:eastAsia="Arial Narrow" w:cs="Times New Roman"/>
                <w:sz w:val="18"/>
                <w:szCs w:val="18"/>
              </w:rPr>
              <w:t>3</w:t>
            </w:r>
            <w:r>
              <w:rPr>
                <w:rFonts w:hint="default" w:ascii="Times New Roman" w:hAnsi="Times New Roman" w:eastAsia="宋体" w:cs="Times New Roman"/>
                <w:sz w:val="18"/>
                <w:szCs w:val="18"/>
              </w:rPr>
              <w:t>年</w:t>
            </w:r>
          </w:p>
        </w:tc>
        <w:tc>
          <w:tcPr>
            <w:tcW w:w="25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A5976A8">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30.00</w:t>
            </w:r>
          </w:p>
        </w:tc>
      </w:tr>
      <w:tr w14:paraId="4696CA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340" w:hRule="atLeast"/>
          <w:jc w:val="center"/>
        </w:trPr>
        <w:tc>
          <w:tcPr>
            <w:tcW w:w="2499"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3E425BD">
            <w:pPr>
              <w:pStyle w:val="6"/>
              <w:keepNext w:val="0"/>
              <w:keepLines w:val="0"/>
              <w:widowControl/>
              <w:suppressLineNumbers w:val="0"/>
              <w:snapToGrid w:val="0"/>
              <w:spacing w:before="0" w:beforeAutospacing="1" w:after="0" w:afterAutospacing="0"/>
              <w:ind w:left="0" w:right="0"/>
              <w:rPr>
                <w:rFonts w:hint="default" w:ascii="Times New Roman" w:hAnsi="Times New Roman" w:cs="Times New Roman"/>
              </w:rPr>
            </w:pPr>
            <w:r>
              <w:rPr>
                <w:rFonts w:hint="default" w:ascii="Times New Roman" w:hAnsi="Times New Roman" w:eastAsia="Arial Narrow" w:cs="Times New Roman"/>
                <w:sz w:val="18"/>
                <w:szCs w:val="18"/>
              </w:rPr>
              <w:t>3</w:t>
            </w:r>
            <w:r>
              <w:rPr>
                <w:rFonts w:hint="default" w:ascii="Times New Roman" w:hAnsi="Times New Roman" w:eastAsia="宋体" w:cs="Times New Roman"/>
                <w:sz w:val="18"/>
                <w:szCs w:val="18"/>
              </w:rPr>
              <w:t>至</w:t>
            </w:r>
            <w:r>
              <w:rPr>
                <w:rFonts w:hint="default" w:ascii="Times New Roman" w:hAnsi="Times New Roman" w:eastAsia="Arial Narrow" w:cs="Times New Roman"/>
                <w:sz w:val="18"/>
                <w:szCs w:val="18"/>
              </w:rPr>
              <w:t>4</w:t>
            </w:r>
            <w:r>
              <w:rPr>
                <w:rFonts w:hint="default" w:ascii="Times New Roman" w:hAnsi="Times New Roman" w:eastAsia="宋体" w:cs="Times New Roman"/>
                <w:sz w:val="18"/>
                <w:szCs w:val="18"/>
              </w:rPr>
              <w:t>年</w:t>
            </w:r>
          </w:p>
        </w:tc>
        <w:tc>
          <w:tcPr>
            <w:tcW w:w="25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A656667">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50.00</w:t>
            </w:r>
          </w:p>
        </w:tc>
      </w:tr>
      <w:tr w14:paraId="2FAB75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340" w:hRule="atLeast"/>
          <w:jc w:val="center"/>
        </w:trPr>
        <w:tc>
          <w:tcPr>
            <w:tcW w:w="2499"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3697BE6">
            <w:pPr>
              <w:pStyle w:val="6"/>
              <w:keepNext w:val="0"/>
              <w:keepLines w:val="0"/>
              <w:widowControl/>
              <w:suppressLineNumbers w:val="0"/>
              <w:snapToGrid w:val="0"/>
              <w:spacing w:before="0" w:beforeAutospacing="1" w:after="0" w:afterAutospacing="0"/>
              <w:ind w:left="0" w:right="0"/>
              <w:rPr>
                <w:rFonts w:hint="default" w:ascii="Times New Roman" w:hAnsi="Times New Roman" w:cs="Times New Roman"/>
              </w:rPr>
            </w:pPr>
            <w:r>
              <w:rPr>
                <w:rFonts w:hint="default" w:ascii="Times New Roman" w:hAnsi="Times New Roman" w:eastAsia="Arial Narrow" w:cs="Times New Roman"/>
                <w:sz w:val="18"/>
                <w:szCs w:val="18"/>
              </w:rPr>
              <w:t>4</w:t>
            </w:r>
            <w:r>
              <w:rPr>
                <w:rFonts w:hint="default" w:ascii="Times New Roman" w:hAnsi="Times New Roman" w:eastAsia="宋体" w:cs="Times New Roman"/>
                <w:sz w:val="18"/>
                <w:szCs w:val="18"/>
              </w:rPr>
              <w:t>至</w:t>
            </w:r>
            <w:r>
              <w:rPr>
                <w:rFonts w:hint="default" w:ascii="Times New Roman" w:hAnsi="Times New Roman" w:eastAsia="Arial Narrow" w:cs="Times New Roman"/>
                <w:sz w:val="18"/>
                <w:szCs w:val="18"/>
              </w:rPr>
              <w:t>5</w:t>
            </w:r>
            <w:r>
              <w:rPr>
                <w:rFonts w:hint="default" w:ascii="Times New Roman" w:hAnsi="Times New Roman" w:eastAsia="宋体" w:cs="Times New Roman"/>
                <w:sz w:val="18"/>
                <w:szCs w:val="18"/>
              </w:rPr>
              <w:t>年</w:t>
            </w:r>
          </w:p>
        </w:tc>
        <w:tc>
          <w:tcPr>
            <w:tcW w:w="25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19C007E">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80.00</w:t>
            </w:r>
          </w:p>
        </w:tc>
      </w:tr>
      <w:tr w14:paraId="324A8D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340" w:hRule="atLeast"/>
          <w:jc w:val="center"/>
        </w:trPr>
        <w:tc>
          <w:tcPr>
            <w:tcW w:w="2499"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0025664">
            <w:pPr>
              <w:pStyle w:val="6"/>
              <w:keepNext w:val="0"/>
              <w:keepLines w:val="0"/>
              <w:widowControl/>
              <w:suppressLineNumbers w:val="0"/>
              <w:snapToGrid w:val="0"/>
              <w:spacing w:before="0" w:beforeAutospacing="1" w:after="0" w:afterAutospacing="0"/>
              <w:ind w:left="0" w:right="0"/>
              <w:rPr>
                <w:rFonts w:hint="default" w:ascii="Times New Roman" w:hAnsi="Times New Roman" w:cs="Times New Roman"/>
              </w:rPr>
            </w:pPr>
            <w:r>
              <w:rPr>
                <w:rFonts w:hint="default" w:ascii="Times New Roman" w:hAnsi="Times New Roman" w:eastAsia="Arial Narrow" w:cs="Times New Roman"/>
                <w:sz w:val="18"/>
                <w:szCs w:val="18"/>
              </w:rPr>
              <w:t>5</w:t>
            </w:r>
            <w:r>
              <w:rPr>
                <w:rFonts w:hint="default" w:ascii="Times New Roman" w:hAnsi="Times New Roman" w:eastAsia="宋体" w:cs="Times New Roman"/>
                <w:sz w:val="18"/>
                <w:szCs w:val="18"/>
              </w:rPr>
              <w:t>年以上</w:t>
            </w:r>
          </w:p>
        </w:tc>
        <w:tc>
          <w:tcPr>
            <w:tcW w:w="25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D3C8EEA">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100.00</w:t>
            </w:r>
          </w:p>
        </w:tc>
      </w:tr>
    </w:tbl>
    <w:p w14:paraId="0B6C48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default" w:ascii="Times New Roman" w:hAnsi="Times New Roman" w:cs="Times New Roman"/>
          <w:sz w:val="18"/>
          <w:szCs w:val="18"/>
        </w:rPr>
      </w:pPr>
      <w:r>
        <w:rPr>
          <w:rFonts w:hint="default" w:ascii="Times New Roman" w:hAnsi="Times New Roman" w:eastAsia="宋体" w:cs="Times New Roman"/>
          <w:sz w:val="18"/>
          <w:szCs w:val="18"/>
        </w:rPr>
        <w:t>3.预期信用损失的会计处理方法</w:t>
      </w:r>
    </w:p>
    <w:p w14:paraId="39D921B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为反映金融工具的信用风险自初始确认后的变化，本公司在每个资产负债表日重新计量预期信用损失，由此形成的损失准备的增加或转回金额，应当作为减值损失或利得计入当期损益，并根据金融工具的种类，抵减该金融资产在资产负债表中列示的账面价值或计入预计负债（贷款承诺或财务担保合同）或计入其他综合收益（以公允价值计量且其变动计入其他综合收益的债权投资）。</w:t>
      </w:r>
    </w:p>
    <w:p w14:paraId="0F8CF5EF">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46" w:name="_Toc989058"/>
      <w:r>
        <w:rPr>
          <w:rFonts w:hint="default" w:ascii="Times New Roman" w:hAnsi="Times New Roman" w:eastAsia="宋体" w:cs="Times New Roman"/>
          <w:b/>
          <w:bCs/>
          <w:sz w:val="21"/>
          <w:szCs w:val="21"/>
        </w:rPr>
        <w:t>13、存货</w:t>
      </w:r>
      <w:bookmarkEnd w:id="246"/>
    </w:p>
    <w:p w14:paraId="4B7380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default" w:ascii="Times New Roman" w:hAnsi="Times New Roman" w:cs="Times New Roman"/>
          <w:sz w:val="18"/>
          <w:szCs w:val="18"/>
        </w:rPr>
      </w:pPr>
      <w:r>
        <w:rPr>
          <w:rFonts w:hint="default" w:ascii="Times New Roman" w:hAnsi="Times New Roman" w:eastAsia="宋体" w:cs="Times New Roman"/>
          <w:sz w:val="18"/>
          <w:szCs w:val="18"/>
        </w:rPr>
        <w:t>1.存货的分类</w:t>
      </w:r>
    </w:p>
    <w:p w14:paraId="58E579D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存货是指本公司在日常活动中持有以备出售的产成品或商品、处在生产过程中的在产品、在生产过程或提供劳务过程中耗用的材料和物料等。存货主要包括原材料、包装物、库存商品、发出商品等。</w:t>
      </w:r>
    </w:p>
    <w:p w14:paraId="15CF146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default" w:ascii="Times New Roman" w:hAnsi="Times New Roman" w:cs="Times New Roman"/>
          <w:sz w:val="18"/>
          <w:szCs w:val="18"/>
        </w:rPr>
      </w:pPr>
      <w:r>
        <w:rPr>
          <w:rFonts w:hint="default" w:ascii="Times New Roman" w:hAnsi="Times New Roman" w:eastAsia="宋体" w:cs="Times New Roman"/>
          <w:sz w:val="18"/>
          <w:szCs w:val="18"/>
        </w:rPr>
        <w:t>2.发出存货的计价方法</w:t>
      </w:r>
    </w:p>
    <w:p w14:paraId="4E2420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存货发出时，采取加权平均法确定其发出的实际成本。</w:t>
      </w:r>
    </w:p>
    <w:p w14:paraId="778EE5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default" w:ascii="Times New Roman" w:hAnsi="Times New Roman" w:cs="Times New Roman"/>
          <w:sz w:val="18"/>
          <w:szCs w:val="18"/>
        </w:rPr>
      </w:pPr>
      <w:r>
        <w:rPr>
          <w:rFonts w:hint="default" w:ascii="Times New Roman" w:hAnsi="Times New Roman" w:eastAsia="宋体" w:cs="Times New Roman"/>
          <w:sz w:val="18"/>
          <w:szCs w:val="18"/>
        </w:rPr>
        <w:t>3.存货跌价准备的计提方法</w:t>
      </w:r>
    </w:p>
    <w:p w14:paraId="0508B0F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default" w:ascii="Times New Roman" w:hAnsi="Times New Roman" w:cs="Times New Roman"/>
          <w:sz w:val="18"/>
          <w:szCs w:val="18"/>
        </w:rPr>
      </w:pPr>
      <w:r>
        <w:rPr>
          <w:rFonts w:hint="default" w:ascii="Times New Roman" w:hAnsi="Times New Roman" w:eastAsia="宋体" w:cs="Times New Roman"/>
          <w:sz w:val="18"/>
          <w:szCs w:val="18"/>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14:paraId="1AC260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default" w:ascii="Times New Roman" w:hAnsi="Times New Roman" w:cs="Times New Roman"/>
          <w:sz w:val="18"/>
          <w:szCs w:val="18"/>
        </w:rPr>
      </w:pPr>
      <w:r>
        <w:rPr>
          <w:rFonts w:hint="default" w:ascii="Times New Roman" w:hAnsi="Times New Roman" w:eastAsia="宋体" w:cs="Times New Roman"/>
          <w:sz w:val="18"/>
          <w:szCs w:val="18"/>
        </w:rPr>
        <w:t>期末按照单个存货项目计提存货跌价准备；但对于数量繁多、单价较低的存货，按照存货类别计提存货跌价准备；与在同一地区生产和销售的产品系列相关、具有相同或类似最终用途或目的，且难以与其他项目分开计量的存货，则合并计提存货跌价准备。</w:t>
      </w:r>
    </w:p>
    <w:p w14:paraId="0E184C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default" w:ascii="Times New Roman" w:hAnsi="Times New Roman" w:cs="Times New Roman"/>
          <w:sz w:val="18"/>
          <w:szCs w:val="18"/>
        </w:rPr>
      </w:pPr>
      <w:r>
        <w:rPr>
          <w:rFonts w:hint="default" w:ascii="Times New Roman" w:hAnsi="Times New Roman" w:eastAsia="宋体" w:cs="Times New Roman"/>
          <w:sz w:val="18"/>
          <w:szCs w:val="18"/>
        </w:rPr>
        <w:t>除有明确证据表明资产负债表日市场价格异常外，存货项目的可变现净值以资产负债表日市场价格为基础确定。</w:t>
      </w:r>
    </w:p>
    <w:p w14:paraId="19F0D7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default" w:ascii="Times New Roman" w:hAnsi="Times New Roman" w:cs="Times New Roman"/>
          <w:sz w:val="18"/>
          <w:szCs w:val="18"/>
        </w:rPr>
      </w:pPr>
      <w:r>
        <w:rPr>
          <w:rFonts w:hint="default" w:ascii="Times New Roman" w:hAnsi="Times New Roman" w:eastAsia="宋体" w:cs="Times New Roman"/>
          <w:sz w:val="18"/>
          <w:szCs w:val="18"/>
        </w:rPr>
        <w:t>本期期末存货项目的可变现净值以资产负债表日市场价格为基础确定。</w:t>
      </w:r>
    </w:p>
    <w:p w14:paraId="1684C5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default" w:ascii="Times New Roman" w:hAnsi="Times New Roman" w:cs="Times New Roman"/>
          <w:sz w:val="18"/>
          <w:szCs w:val="18"/>
        </w:rPr>
      </w:pPr>
      <w:r>
        <w:rPr>
          <w:rFonts w:hint="default" w:ascii="Times New Roman" w:hAnsi="Times New Roman" w:eastAsia="宋体" w:cs="Times New Roman"/>
          <w:sz w:val="18"/>
          <w:szCs w:val="18"/>
        </w:rPr>
        <w:t>4.存货的盘存制度</w:t>
      </w:r>
    </w:p>
    <w:p w14:paraId="5B70D4C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本公司的存货盘存制度为永续盘存制。</w:t>
      </w:r>
    </w:p>
    <w:p w14:paraId="31EECF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default" w:ascii="Times New Roman" w:hAnsi="Times New Roman" w:cs="Times New Roman"/>
          <w:sz w:val="18"/>
          <w:szCs w:val="18"/>
        </w:rPr>
      </w:pPr>
      <w:r>
        <w:rPr>
          <w:rFonts w:hint="default" w:ascii="Times New Roman" w:hAnsi="Times New Roman" w:eastAsia="宋体" w:cs="Times New Roman"/>
          <w:sz w:val="18"/>
          <w:szCs w:val="18"/>
        </w:rPr>
        <w:t>5.低值易耗品和包装物的摊销方法</w:t>
      </w:r>
    </w:p>
    <w:p w14:paraId="013CA81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sz w:val="18"/>
          <w:szCs w:val="18"/>
        </w:rPr>
      </w:pPr>
      <w:r>
        <w:rPr>
          <w:rFonts w:hint="default" w:ascii="Times New Roman" w:hAnsi="Times New Roman" w:eastAsia="宋体" w:cs="Times New Roman"/>
          <w:sz w:val="18"/>
          <w:szCs w:val="18"/>
        </w:rPr>
        <w:t>低值易耗品和包装物采用一次转销法摊销。</w:t>
      </w:r>
    </w:p>
    <w:p w14:paraId="7AC2F889">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47" w:name="_Toc989059"/>
      <w:r>
        <w:rPr>
          <w:rFonts w:hint="default" w:ascii="Times New Roman" w:hAnsi="Times New Roman" w:eastAsia="宋体" w:cs="Times New Roman"/>
          <w:b/>
          <w:bCs/>
          <w:sz w:val="21"/>
          <w:szCs w:val="21"/>
        </w:rPr>
        <w:t>14、合同资产和合同负债</w:t>
      </w:r>
      <w:bookmarkEnd w:id="247"/>
    </w:p>
    <w:p w14:paraId="773ADD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1.合同资产</w:t>
      </w:r>
    </w:p>
    <w:p w14:paraId="7EE4020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本公司将已向客户转让商品或服务而有权收取对价的权利(且该权利取决于时间流逝之外的其他因素)作为合同资产列示。合同资产的减值准备计提参照金融工具预期信用损失法。本公司对合同资产的预期信用损失的确定方法及会计处理方法详见附注三、（十二）。</w:t>
      </w:r>
    </w:p>
    <w:p w14:paraId="7361736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2.合同负债</w:t>
      </w:r>
    </w:p>
    <w:p w14:paraId="70E408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本公司将已收或应收客户对价而应向客户转让商品或提供服务的义务列示为合同负债。</w:t>
      </w:r>
    </w:p>
    <w:p w14:paraId="2ADE4B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本公司将同一合同下的合同资产和合同负债以净额列示。</w:t>
      </w:r>
    </w:p>
    <w:p w14:paraId="4CEFAC36">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48" w:name="_Toc989060"/>
      <w:r>
        <w:rPr>
          <w:rFonts w:hint="default" w:ascii="Times New Roman" w:hAnsi="Times New Roman" w:eastAsia="宋体" w:cs="Times New Roman"/>
          <w:b/>
          <w:bCs/>
          <w:sz w:val="21"/>
          <w:szCs w:val="21"/>
        </w:rPr>
        <w:t>15、长期股权投资</w:t>
      </w:r>
      <w:bookmarkEnd w:id="248"/>
    </w:p>
    <w:p w14:paraId="32BFB0F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1.初始投资成本确定</w:t>
      </w:r>
    </w:p>
    <w:p w14:paraId="2DCFA1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对于企业合并取得的长期股权投资，如为同一控制下的企业合并，应当在合并日按照被合并方所有者权益在最终控制方合并财务报表中的账面价值的份额作为长期股权投资的初始投资成本；非同一控制下的企业合并，按照购买日确定的合并成本作为长期股权投资的初始投资成本；以支付现金取得的长期股权投资，初始投资成本为实际支付的购买价款；以发行权益性证券取得的长期股权投资，初始投资成本为发行权益性证券的公允价值；通过债务重组取得的长期股权投资，其初始投资成本按照《企业会计准则第12号——债务重组》的有关规定确定；非货币性资产交换取得的长期股权投资，初始投资成本按照《企业会计准则第7号——非货币性资产交换》的有关规定确定。</w:t>
      </w:r>
    </w:p>
    <w:p w14:paraId="442709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2.后续计量及损益确认方法</w:t>
      </w:r>
    </w:p>
    <w:p w14:paraId="0DF2E0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本公司能够对被投资单位实施控制的长期股权投资采用成本法核算，对联营企业和合营企业的长期股权投资采用权益法核算。本公司对联营企业的权益性投资，其中一部分通过风险投资机构、共同基金、信托公司或包括投连险基金在内的类似主体间接持有的，无论以上主体是否对这部分投资具有重大影响，本公司按照《企业会计准则第22号——金融工具确认和计量》的有关规定处理，并对其余部分采用权益法核算。</w:t>
      </w:r>
    </w:p>
    <w:p w14:paraId="3790E0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3.确定对被投资单位具有共同控制、重大影响的依据</w:t>
      </w:r>
    </w:p>
    <w:p w14:paraId="1ECF1D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对被投资单位具有共同控制，是指对某项安排的回报产生重大影响的活动必须经过分享控制权的参与方一致同意后才能决策，包括商品或劳务的销售和购买、金融资产的管理、资产的购买和处置、研究与开发活动以及融资活动等；对被投资单位具有重大影响，是指当持有被投资单位20%以上至50%的表决权资本时，具有重大影响。或虽不足20%，但符合下列条件之一时，具有重大影响：在被投资单位的董事会或类似的权力机构中派有代表；参与被投资单位的政策制定过程；向被投资单位派出管理人员；被投资单位依赖投资公司的技术或技术资料；与被投资单位之间发生重要交易。</w:t>
      </w:r>
    </w:p>
    <w:p w14:paraId="1246EA87">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49" w:name="_Toc989061"/>
      <w:r>
        <w:rPr>
          <w:rFonts w:hint="default" w:ascii="Times New Roman" w:hAnsi="Times New Roman" w:eastAsia="宋体" w:cs="Times New Roman"/>
          <w:b/>
          <w:bCs/>
          <w:sz w:val="21"/>
          <w:szCs w:val="21"/>
        </w:rPr>
        <w:t>16、投资性房地产</w:t>
      </w:r>
      <w:bookmarkEnd w:id="249"/>
    </w:p>
    <w:p w14:paraId="5522A135">
      <w:pPr>
        <w:spacing w:before="100" w:after="100" w:line="240" w:lineRule="exact"/>
        <w:jc w:val="left"/>
        <w:rPr>
          <w:rFonts w:hint="eastAsia" w:cs="Times New Roman"/>
          <w:sz w:val="18"/>
          <w:szCs w:val="18"/>
          <w:lang w:eastAsia="zh-CN"/>
        </w:rPr>
      </w:pPr>
      <w:r>
        <w:rPr>
          <w:rFonts w:hint="default" w:ascii="Times New Roman" w:hAnsi="Times New Roman" w:eastAsia="宋体" w:cs="Times New Roman"/>
          <w:sz w:val="18"/>
          <w:szCs w:val="18"/>
        </w:rPr>
        <w:t>投资性房地产计量模式</w:t>
      </w:r>
      <w:r>
        <w:rPr>
          <w:rFonts w:hint="eastAsia" w:cs="Times New Roman"/>
          <w:sz w:val="18"/>
          <w:szCs w:val="18"/>
          <w:lang w:eastAsia="zh-CN"/>
        </w:rPr>
        <w:t>：</w:t>
      </w:r>
    </w:p>
    <w:p w14:paraId="2D18EAC5">
      <w:pPr>
        <w:spacing w:before="100" w:after="10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成本法计量</w:t>
      </w:r>
    </w:p>
    <w:p w14:paraId="69464CF5">
      <w:pPr>
        <w:spacing w:before="100" w:after="100" w:line="240" w:lineRule="exact"/>
        <w:jc w:val="left"/>
        <w:rPr>
          <w:rFonts w:hint="eastAsia" w:ascii="Times New Roman" w:hAnsi="Times New Roman" w:eastAsia="宋体" w:cs="Times New Roman"/>
          <w:sz w:val="18"/>
          <w:szCs w:val="18"/>
          <w:lang w:eastAsia="zh-CN"/>
        </w:rPr>
      </w:pPr>
      <w:r>
        <w:rPr>
          <w:rFonts w:hint="default" w:ascii="Times New Roman" w:hAnsi="Times New Roman" w:eastAsia="宋体" w:cs="Times New Roman"/>
          <w:sz w:val="18"/>
          <w:szCs w:val="18"/>
        </w:rPr>
        <w:t>折旧或摊销方法</w:t>
      </w:r>
      <w:r>
        <w:rPr>
          <w:rFonts w:hint="eastAsia" w:cs="Times New Roman"/>
          <w:sz w:val="18"/>
          <w:szCs w:val="18"/>
          <w:lang w:eastAsia="zh-CN"/>
        </w:rPr>
        <w:t>：</w:t>
      </w:r>
    </w:p>
    <w:p w14:paraId="2EB0A9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p w14:paraId="2D69621E">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50" w:name="_Toc989062"/>
      <w:r>
        <w:rPr>
          <w:rFonts w:hint="default" w:ascii="Times New Roman" w:hAnsi="Times New Roman" w:eastAsia="宋体" w:cs="Times New Roman"/>
          <w:b/>
          <w:bCs/>
          <w:sz w:val="21"/>
          <w:szCs w:val="21"/>
        </w:rPr>
        <w:t>17、固定资产</w:t>
      </w:r>
      <w:bookmarkEnd w:id="250"/>
    </w:p>
    <w:p w14:paraId="77503F79">
      <w:pPr>
        <w:keepNext/>
        <w:keepLines/>
        <w:spacing w:before="300" w:after="300" w:line="280" w:lineRule="exact"/>
        <w:jc w:val="left"/>
        <w:outlineLvl w:val="3"/>
        <w:rPr>
          <w:rFonts w:hint="default" w:ascii="Times New Roman" w:hAnsi="Times New Roman" w:eastAsia="宋体" w:cs="Times New Roman"/>
          <w:b/>
          <w:bCs/>
          <w:sz w:val="21"/>
          <w:szCs w:val="21"/>
        </w:rPr>
      </w:pPr>
      <w:bookmarkStart w:id="251" w:name="_Toc989063"/>
      <w:r>
        <w:rPr>
          <w:rFonts w:hint="default" w:ascii="Times New Roman" w:hAnsi="Times New Roman" w:eastAsia="宋体" w:cs="Times New Roman"/>
          <w:b/>
          <w:bCs/>
          <w:sz w:val="21"/>
          <w:szCs w:val="21"/>
        </w:rPr>
        <w:t>（1） 确认条件</w:t>
      </w:r>
      <w:bookmarkEnd w:id="251"/>
    </w:p>
    <w:p w14:paraId="0CDFF4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固定资产指为生产商品、提供劳务、出租或经营管理而持有的，使用寿命超过一个会计年度的有形资产。同时满足以下条件时予以确认：与该固定资产有关的经济利益很可能流入企业；该固定资产的成本能够可靠地计量。</w:t>
      </w:r>
    </w:p>
    <w:p w14:paraId="0FDCAC60">
      <w:pPr>
        <w:keepNext/>
        <w:keepLines/>
        <w:spacing w:before="300" w:after="300" w:line="280" w:lineRule="exact"/>
        <w:jc w:val="left"/>
        <w:outlineLvl w:val="3"/>
        <w:rPr>
          <w:rFonts w:hint="default" w:ascii="Times New Roman" w:hAnsi="Times New Roman" w:eastAsia="宋体" w:cs="Times New Roman"/>
          <w:b/>
          <w:bCs/>
          <w:sz w:val="21"/>
          <w:szCs w:val="21"/>
        </w:rPr>
      </w:pPr>
      <w:bookmarkStart w:id="252" w:name="_Toc989064"/>
      <w:r>
        <w:rPr>
          <w:rFonts w:hint="default" w:ascii="Times New Roman" w:hAnsi="Times New Roman" w:eastAsia="宋体" w:cs="Times New Roman"/>
          <w:b/>
          <w:bCs/>
          <w:sz w:val="21"/>
          <w:szCs w:val="21"/>
        </w:rPr>
        <w:t>（2） 固定资产分类和折旧方法</w:t>
      </w:r>
      <w:bookmarkEnd w:id="252"/>
    </w:p>
    <w:p w14:paraId="5010B6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固定资产主要分为：房屋建筑物、机器设备、电子设备、运输设备等；折旧方法采用年限平均法。根据各类固定资产的性质和使用情况，确定固定资产的使用寿命和预计净残值。并在年度终了，对固定资产的使用寿命、预计净残值和折旧方法进行复核，如与原先估计数存在差异的，进行相应的调整。除已提足折旧仍继续使用的固定资产和单独计价入账的土地之外，本公司对所有固定资产计提折旧。</w:t>
      </w:r>
    </w:p>
    <w:tbl>
      <w:tblPr>
        <w:tblStyle w:val="7"/>
        <w:tblW w:w="513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29"/>
        <w:gridCol w:w="2619"/>
        <w:gridCol w:w="2477"/>
        <w:gridCol w:w="2402"/>
      </w:tblGrid>
      <w:tr w14:paraId="6AA6AD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129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12F7D5">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资产类别</w:t>
            </w:r>
          </w:p>
        </w:tc>
        <w:tc>
          <w:tcPr>
            <w:tcW w:w="129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8CE213">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预计使用寿命（年）</w:t>
            </w:r>
          </w:p>
        </w:tc>
        <w:tc>
          <w:tcPr>
            <w:tcW w:w="122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74A374">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预计净残值率（</w:t>
            </w:r>
            <w:r>
              <w:rPr>
                <w:rFonts w:hint="default" w:ascii="Times New Roman" w:hAnsi="Times New Roman" w:eastAsia="Arial Narrow" w:cs="Times New Roman"/>
                <w:sz w:val="18"/>
                <w:szCs w:val="18"/>
              </w:rPr>
              <w:t>%</w:t>
            </w:r>
            <w:r>
              <w:rPr>
                <w:rFonts w:hint="default" w:ascii="Times New Roman" w:hAnsi="Times New Roman" w:eastAsia="宋体" w:cs="Times New Roman"/>
                <w:sz w:val="18"/>
                <w:szCs w:val="18"/>
              </w:rPr>
              <w:t>）</w:t>
            </w:r>
          </w:p>
        </w:tc>
        <w:tc>
          <w:tcPr>
            <w:tcW w:w="1186"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04B328">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年折旧率（</w:t>
            </w:r>
            <w:r>
              <w:rPr>
                <w:rFonts w:hint="default" w:ascii="Times New Roman" w:hAnsi="Times New Roman" w:eastAsia="Arial Narrow" w:cs="Times New Roman"/>
                <w:sz w:val="18"/>
                <w:szCs w:val="18"/>
              </w:rPr>
              <w:t>%</w:t>
            </w:r>
            <w:r>
              <w:rPr>
                <w:rFonts w:hint="default" w:ascii="Times New Roman" w:hAnsi="Times New Roman" w:eastAsia="宋体" w:cs="Times New Roman"/>
                <w:sz w:val="18"/>
                <w:szCs w:val="18"/>
              </w:rPr>
              <w:t>）</w:t>
            </w:r>
          </w:p>
        </w:tc>
      </w:tr>
      <w:tr w14:paraId="3228DE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12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ED94F3">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房屋及建筑物</w:t>
            </w:r>
          </w:p>
        </w:tc>
        <w:tc>
          <w:tcPr>
            <w:tcW w:w="12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F805D5">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15-50</w:t>
            </w:r>
          </w:p>
        </w:tc>
        <w:tc>
          <w:tcPr>
            <w:tcW w:w="122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7E2923">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5</w:t>
            </w:r>
          </w:p>
        </w:tc>
        <w:tc>
          <w:tcPr>
            <w:tcW w:w="118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832A60">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4.75-1.90</w:t>
            </w:r>
          </w:p>
        </w:tc>
      </w:tr>
      <w:tr w14:paraId="3841AC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jc w:val="center"/>
        </w:trPr>
        <w:tc>
          <w:tcPr>
            <w:tcW w:w="12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787EE0">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机器设备</w:t>
            </w:r>
          </w:p>
        </w:tc>
        <w:tc>
          <w:tcPr>
            <w:tcW w:w="12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4CB53F">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5-30</w:t>
            </w:r>
          </w:p>
        </w:tc>
        <w:tc>
          <w:tcPr>
            <w:tcW w:w="122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8826FD">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5-10</w:t>
            </w:r>
          </w:p>
        </w:tc>
        <w:tc>
          <w:tcPr>
            <w:tcW w:w="118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274B41">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19.00-3.00</w:t>
            </w:r>
          </w:p>
        </w:tc>
      </w:tr>
      <w:tr w14:paraId="5BFD92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12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EAB0CB">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电子设备</w:t>
            </w:r>
          </w:p>
        </w:tc>
        <w:tc>
          <w:tcPr>
            <w:tcW w:w="12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4262C2">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3-5</w:t>
            </w:r>
          </w:p>
        </w:tc>
        <w:tc>
          <w:tcPr>
            <w:tcW w:w="122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480A2A">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5-10</w:t>
            </w:r>
          </w:p>
        </w:tc>
        <w:tc>
          <w:tcPr>
            <w:tcW w:w="118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3707FB">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31.67-18.00</w:t>
            </w:r>
          </w:p>
        </w:tc>
      </w:tr>
      <w:tr w14:paraId="7CDCD1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jc w:val="center"/>
        </w:trPr>
        <w:tc>
          <w:tcPr>
            <w:tcW w:w="12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FA34C4">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运输设备</w:t>
            </w:r>
          </w:p>
        </w:tc>
        <w:tc>
          <w:tcPr>
            <w:tcW w:w="12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0F422A">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5-10</w:t>
            </w:r>
          </w:p>
        </w:tc>
        <w:tc>
          <w:tcPr>
            <w:tcW w:w="122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5864F5">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5-10</w:t>
            </w:r>
          </w:p>
        </w:tc>
        <w:tc>
          <w:tcPr>
            <w:tcW w:w="118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00B2B1">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19.00-9.00</w:t>
            </w:r>
          </w:p>
        </w:tc>
      </w:tr>
      <w:tr w14:paraId="717FB7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12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E1BFC1">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其他设备</w:t>
            </w:r>
          </w:p>
        </w:tc>
        <w:tc>
          <w:tcPr>
            <w:tcW w:w="12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6F3BA0">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3-5</w:t>
            </w:r>
          </w:p>
        </w:tc>
        <w:tc>
          <w:tcPr>
            <w:tcW w:w="122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889B06">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5-10</w:t>
            </w:r>
          </w:p>
        </w:tc>
        <w:tc>
          <w:tcPr>
            <w:tcW w:w="118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B9B199">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31.67-18.00</w:t>
            </w:r>
          </w:p>
        </w:tc>
      </w:tr>
    </w:tbl>
    <w:p w14:paraId="61E38EB2">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53" w:name="_Toc989065"/>
      <w:r>
        <w:rPr>
          <w:rFonts w:hint="default" w:ascii="Times New Roman" w:hAnsi="Times New Roman" w:eastAsia="宋体" w:cs="Times New Roman"/>
          <w:b/>
          <w:bCs/>
          <w:sz w:val="21"/>
          <w:szCs w:val="21"/>
        </w:rPr>
        <w:t>18、在建工程</w:t>
      </w:r>
      <w:bookmarkEnd w:id="253"/>
    </w:p>
    <w:p w14:paraId="70682B5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在建工程分为自营方式建造和出包方式建造两种。在建工程在工程完工达到预定可使用状态时，结转固定资产。预定可使用状态的判断标准，应符合下列情况之一：固定资产的实体建造（包括安装）工作已经全部完成或实质上已经全部完成；已经试生产或试运行，并且其结果表明资产能够正常运行或能够稳定地生产出合格产品，或者试运行结果表明其能够正常运转或营业；该项建造的固定资产上的支出金额很少或者几乎不再发生；所购建的固定资产已经达到设计或合同要求，或与设计或合同要求基本相符。</w:t>
      </w:r>
    </w:p>
    <w:p w14:paraId="257D53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在建工程项目按建造该项资产达到预定可使用状态前所发生的必要支出，作为固定资产的入账价值。所建造的固定资产在工程已达到预定可使用状态，但尚未办理竣工决算的，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14:paraId="23407BAF">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54" w:name="_Toc989066"/>
      <w:r>
        <w:rPr>
          <w:rFonts w:hint="default" w:ascii="Times New Roman" w:hAnsi="Times New Roman" w:eastAsia="宋体" w:cs="Times New Roman"/>
          <w:b/>
          <w:bCs/>
          <w:sz w:val="21"/>
          <w:szCs w:val="21"/>
        </w:rPr>
        <w:t>19、借款费用</w:t>
      </w:r>
      <w:bookmarkEnd w:id="254"/>
    </w:p>
    <w:p w14:paraId="127309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rPr>
          <w:rFonts w:hint="default" w:ascii="Times New Roman" w:hAnsi="Times New Roman" w:cs="Times New Roman"/>
          <w:sz w:val="18"/>
          <w:szCs w:val="18"/>
        </w:rPr>
      </w:pPr>
      <w:r>
        <w:rPr>
          <w:rFonts w:hint="default" w:ascii="Times New Roman" w:hAnsi="Times New Roman" w:eastAsia="宋体" w:cs="Times New Roman"/>
          <w:sz w:val="18"/>
          <w:szCs w:val="18"/>
        </w:rPr>
        <w:t>1.借款费用资本化的确认原则</w:t>
      </w:r>
    </w:p>
    <w:p w14:paraId="023044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14:paraId="1061AC6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rPr>
          <w:rFonts w:hint="default" w:ascii="Times New Roman" w:hAnsi="Times New Roman" w:cs="Times New Roman"/>
          <w:sz w:val="18"/>
          <w:szCs w:val="18"/>
        </w:rPr>
      </w:pPr>
      <w:r>
        <w:rPr>
          <w:rFonts w:hint="default" w:ascii="Times New Roman" w:hAnsi="Times New Roman" w:eastAsia="宋体" w:cs="Times New Roman"/>
          <w:sz w:val="18"/>
          <w:szCs w:val="18"/>
        </w:rPr>
        <w:t>2.资本化金额计算方法</w:t>
      </w:r>
    </w:p>
    <w:p w14:paraId="01CEA2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资本化期间，是指从借款费用开始资本化时点到停止资本化时点的期间。借款费用暂停资本化的期间不包括在内。在购建或生产过程中发生非正常中断、且中断时间连续超过3个月的，应当暂停借款费用的资本化。</w:t>
      </w:r>
    </w:p>
    <w:p w14:paraId="1E54EE5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借入专门借款，按照专门借款当期实际发生的利息费用，减去将尚未动用的借款资金存入银行取得的利息收入或进行暂时性投资取得的投资收益后的金额确定；占用一般借款按照累计资产支出超过专门借款部分的资产支出加权平均数乘以所占用一般借款的资本化率计算确定，资本化率为一般借款的加权平均利率；借款存在折价或溢价的，按照实际利率法确定每一会计期间应摊销的折价或溢价金额，调整每期利息金额。</w:t>
      </w:r>
    </w:p>
    <w:p w14:paraId="7222500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18"/>
          <w:szCs w:val="18"/>
          <w:vertAlign w:val="baseline"/>
        </w:rPr>
        <w:t>实际利率法是根据借款实际利率计算其摊余折价或溢价或利息费用的方法。其中实际利率是借款在预期存续期间的未来现金流量，折现为该借款当前账面价值所使用的利率。</w:t>
      </w:r>
    </w:p>
    <w:p w14:paraId="30545BC5">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55" w:name="_Toc989067"/>
      <w:r>
        <w:rPr>
          <w:rFonts w:hint="default" w:ascii="Times New Roman" w:hAnsi="Times New Roman" w:eastAsia="宋体" w:cs="Times New Roman"/>
          <w:b/>
          <w:bCs/>
          <w:sz w:val="21"/>
          <w:szCs w:val="21"/>
        </w:rPr>
        <w:t>20、无形资产</w:t>
      </w:r>
      <w:bookmarkEnd w:id="255"/>
    </w:p>
    <w:p w14:paraId="75D128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rPr>
          <w:rFonts w:hint="default" w:ascii="Times New Roman" w:hAnsi="Times New Roman" w:cs="Times New Roman"/>
          <w:sz w:val="18"/>
          <w:szCs w:val="18"/>
        </w:rPr>
      </w:pPr>
      <w:r>
        <w:rPr>
          <w:rFonts w:hint="default" w:ascii="Times New Roman" w:hAnsi="Times New Roman" w:eastAsia="宋体" w:cs="Times New Roman"/>
          <w:sz w:val="18"/>
          <w:szCs w:val="18"/>
        </w:rPr>
        <w:t>1.无形资产的计价方法</w:t>
      </w:r>
    </w:p>
    <w:p w14:paraId="113E38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w:t>
      </w:r>
    </w:p>
    <w:p w14:paraId="15384B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rPr>
          <w:rFonts w:hint="default" w:ascii="Times New Roman" w:hAnsi="Times New Roman" w:cs="Times New Roman"/>
          <w:sz w:val="18"/>
          <w:szCs w:val="18"/>
        </w:rPr>
      </w:pPr>
      <w:r>
        <w:rPr>
          <w:rFonts w:hint="default" w:ascii="Times New Roman" w:hAnsi="Times New Roman" w:eastAsia="宋体" w:cs="Times New Roman"/>
          <w:sz w:val="18"/>
          <w:szCs w:val="18"/>
        </w:rPr>
        <w:t>2.使用寿命及其确定依据、估计情况、摊销方法或复核程序</w:t>
      </w:r>
    </w:p>
    <w:p w14:paraId="77CE6A9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无形资产后续计量方法分别为：使用寿命有限无形资产采用直线法摊销，并在年度终了，对无形资产的使用寿命和摊销方法进行复核，如与原先估计数存在差异的，进行相应的调整；使用寿命不确定的无形资产不摊销，但在年度终了，对使用寿命进行复核，当有确凿证据表明其使用寿命是有限的，则估计其使用寿命，按直线法进行摊销。</w:t>
      </w:r>
    </w:p>
    <w:p w14:paraId="09A47A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使用寿命有限的无形资产的使用寿命估计情况：</w:t>
      </w:r>
    </w:p>
    <w:tbl>
      <w:tblPr>
        <w:tblStyle w:val="7"/>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354"/>
        <w:gridCol w:w="3339"/>
        <w:gridCol w:w="3160"/>
      </w:tblGrid>
      <w:tr w14:paraId="45039A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170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EC61C9">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资产类别</w:t>
            </w:r>
          </w:p>
        </w:tc>
        <w:tc>
          <w:tcPr>
            <w:tcW w:w="1694"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CE62A1">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使用寿命（年）</w:t>
            </w:r>
          </w:p>
        </w:tc>
        <w:tc>
          <w:tcPr>
            <w:tcW w:w="160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BFED79">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摊销方法</w:t>
            </w:r>
          </w:p>
        </w:tc>
      </w:tr>
      <w:tr w14:paraId="52942A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170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C16E03">
            <w:pPr>
              <w:pStyle w:val="6"/>
              <w:keepNext w:val="0"/>
              <w:keepLines w:val="0"/>
              <w:widowControl/>
              <w:suppressLineNumbers w:val="0"/>
              <w:snapToGrid w:val="0"/>
              <w:spacing w:before="0" w:beforeAutospacing="1" w:after="0" w:afterAutospacing="0"/>
              <w:ind w:left="0" w:right="0"/>
              <w:jc w:val="left"/>
              <w:rPr>
                <w:rFonts w:hint="default" w:ascii="Times New Roman" w:hAnsi="Times New Roman" w:cs="Times New Roman"/>
              </w:rPr>
            </w:pPr>
            <w:r>
              <w:rPr>
                <w:rFonts w:hint="default" w:ascii="Times New Roman" w:hAnsi="Times New Roman" w:eastAsia="宋体" w:cs="Times New Roman"/>
                <w:sz w:val="18"/>
                <w:szCs w:val="18"/>
              </w:rPr>
              <w:t>专利技术</w:t>
            </w:r>
          </w:p>
        </w:tc>
        <w:tc>
          <w:tcPr>
            <w:tcW w:w="169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D930ED">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按专利保护年限</w:t>
            </w:r>
          </w:p>
        </w:tc>
        <w:tc>
          <w:tcPr>
            <w:tcW w:w="160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7B60B6">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国家法律法规或者合同约定</w:t>
            </w:r>
          </w:p>
        </w:tc>
      </w:tr>
      <w:tr w14:paraId="13073B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170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1FD20B">
            <w:pPr>
              <w:pStyle w:val="6"/>
              <w:keepNext w:val="0"/>
              <w:keepLines w:val="0"/>
              <w:widowControl/>
              <w:suppressLineNumbers w:val="0"/>
              <w:snapToGrid w:val="0"/>
              <w:spacing w:before="0" w:beforeAutospacing="1" w:after="0" w:afterAutospacing="0"/>
              <w:ind w:left="0" w:right="0"/>
              <w:jc w:val="left"/>
              <w:rPr>
                <w:rFonts w:hint="default" w:ascii="Times New Roman" w:hAnsi="Times New Roman" w:cs="Times New Roman"/>
              </w:rPr>
            </w:pPr>
            <w:r>
              <w:rPr>
                <w:rFonts w:hint="default" w:ascii="Times New Roman" w:hAnsi="Times New Roman" w:eastAsia="宋体" w:cs="Times New Roman"/>
                <w:sz w:val="18"/>
                <w:szCs w:val="18"/>
              </w:rPr>
              <w:t>土地使用权</w:t>
            </w:r>
          </w:p>
        </w:tc>
        <w:tc>
          <w:tcPr>
            <w:tcW w:w="169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8B8101">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50</w:t>
            </w:r>
            <w:r>
              <w:rPr>
                <w:rFonts w:hint="default" w:ascii="Times New Roman" w:hAnsi="Times New Roman" w:eastAsia="宋体" w:cs="Times New Roman"/>
                <w:sz w:val="18"/>
                <w:szCs w:val="18"/>
              </w:rPr>
              <w:t>年</w:t>
            </w:r>
          </w:p>
        </w:tc>
        <w:tc>
          <w:tcPr>
            <w:tcW w:w="160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8FE7EF">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土地使用权证使用年限</w:t>
            </w:r>
          </w:p>
        </w:tc>
      </w:tr>
      <w:tr w14:paraId="3720A9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170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4038C9">
            <w:pPr>
              <w:pStyle w:val="6"/>
              <w:keepNext w:val="0"/>
              <w:keepLines w:val="0"/>
              <w:widowControl/>
              <w:suppressLineNumbers w:val="0"/>
              <w:snapToGrid w:val="0"/>
              <w:spacing w:before="0" w:beforeAutospacing="1" w:after="0" w:afterAutospacing="0"/>
              <w:ind w:left="0" w:right="0"/>
              <w:jc w:val="left"/>
              <w:rPr>
                <w:rFonts w:hint="default" w:ascii="Times New Roman" w:hAnsi="Times New Roman" w:cs="Times New Roman"/>
              </w:rPr>
            </w:pPr>
            <w:r>
              <w:rPr>
                <w:rFonts w:hint="default" w:ascii="Times New Roman" w:hAnsi="Times New Roman" w:eastAsia="宋体" w:cs="Times New Roman"/>
                <w:sz w:val="18"/>
                <w:szCs w:val="18"/>
              </w:rPr>
              <w:t>软件</w:t>
            </w:r>
          </w:p>
        </w:tc>
        <w:tc>
          <w:tcPr>
            <w:tcW w:w="169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8056ED">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Arial Narrow" w:cs="Times New Roman"/>
                <w:sz w:val="18"/>
                <w:szCs w:val="18"/>
              </w:rPr>
              <w:t>5-10</w:t>
            </w:r>
            <w:r>
              <w:rPr>
                <w:rFonts w:hint="default" w:ascii="Times New Roman" w:hAnsi="Times New Roman" w:eastAsia="宋体" w:cs="Times New Roman"/>
                <w:sz w:val="18"/>
                <w:szCs w:val="18"/>
              </w:rPr>
              <w:t>年</w:t>
            </w:r>
          </w:p>
        </w:tc>
        <w:tc>
          <w:tcPr>
            <w:tcW w:w="160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0D988C">
            <w:pPr>
              <w:pStyle w:val="6"/>
              <w:keepNext w:val="0"/>
              <w:keepLines w:val="0"/>
              <w:widowControl/>
              <w:suppressLineNumbers w:val="0"/>
              <w:snapToGrid w:val="0"/>
              <w:spacing w:before="0" w:beforeAutospacing="1" w:after="0" w:afterAutospacing="0"/>
              <w:ind w:left="0" w:right="0"/>
              <w:jc w:val="center"/>
              <w:rPr>
                <w:rFonts w:hint="default" w:ascii="Times New Roman" w:hAnsi="Times New Roman" w:cs="Times New Roman"/>
              </w:rPr>
            </w:pPr>
            <w:r>
              <w:rPr>
                <w:rFonts w:hint="default" w:ascii="Times New Roman" w:hAnsi="Times New Roman" w:eastAsia="宋体" w:cs="Times New Roman"/>
                <w:sz w:val="18"/>
                <w:szCs w:val="18"/>
              </w:rPr>
              <w:t>公司预计受益年限</w:t>
            </w:r>
          </w:p>
        </w:tc>
      </w:tr>
    </w:tbl>
    <w:p w14:paraId="5D2F8F2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将无法预见该资产为公司带来经济利益的期限，或使用期限不确定的无形资产确定为使用寿命不确定的无形资产。使用寿命不确定的判断依据为：来源于合同性权利或其他法定权利，但合同规定或法律规定无明确使用年限；综合同行业情况或相关专家论证等，仍无法判断无形资产为公司带来经济利益的期限。</w:t>
      </w:r>
    </w:p>
    <w:p w14:paraId="1FD2E85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每年年末，对使用寿命不确定的无形资产的使用寿命进行复核，主要采取自下而上的方式，由无形资产使用相关部门进行基础复核，评价使用寿命不确定判断依据是否存在变化等。</w:t>
      </w:r>
    </w:p>
    <w:p w14:paraId="79C7409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rPr>
          <w:rFonts w:hint="default" w:ascii="Times New Roman" w:hAnsi="Times New Roman" w:cs="Times New Roman"/>
          <w:sz w:val="18"/>
          <w:szCs w:val="18"/>
        </w:rPr>
      </w:pPr>
      <w:r>
        <w:rPr>
          <w:rFonts w:hint="default" w:ascii="Times New Roman" w:hAnsi="Times New Roman" w:eastAsia="宋体" w:cs="Times New Roman"/>
          <w:sz w:val="18"/>
          <w:szCs w:val="18"/>
        </w:rPr>
        <w:t>3.研发支出的归集范围及相关会计处理方法</w:t>
      </w:r>
    </w:p>
    <w:p w14:paraId="691212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研发支出的范围主要依据公司的研究开发项目情况制定，主要包括：研发人员职工薪酬、直接投入费用、折旧费用与长期待摊费用、设计费用、装备调试费、无形资产摊销费用、委托外部研究开发费用、其他费用等。</w:t>
      </w:r>
    </w:p>
    <w:p w14:paraId="3AC66B7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公司内部研究开发项目的支出分为研究阶段支出和开发阶段支出。研究阶段的支出，于发生时计入当期损益；开发阶段的支出，满足确认为无形资产条件的转入无形资产核算。</w:t>
      </w:r>
    </w:p>
    <w:p w14:paraId="77EA0B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①研究阶段</w:t>
      </w:r>
    </w:p>
    <w:p w14:paraId="0E42A59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指对技术的研究即针对动物组织处理的系列技术（组织固定技术、多方位除抗原技术、组织诱导技术、蛋白质力学改性技术等）的研究，对材料免疫和病毒的研究，为获取并理解新的科学或技术知识而进行的独创性的有计划调查（含市场研究），以及产品设计及试制、可行性动物实验注册检验（工业化制作、产品标准的制定、产品型式检验）、预临床试验（若需，包括临床试验、产品有效性与转归验证的动物实验）等所发生的应用研究、评价、最终选择的支出，均属于研究阶段的支出。</w:t>
      </w:r>
    </w:p>
    <w:p w14:paraId="52603B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研究阶段是为获取新的技术和知识等进行的有计划的调查，为进一步开发活动进行技术基础的准备，已进行的研究活动将来是否会转入开发、开发后是否会形成无形资产等均具有较大的不确定性。其特点是具有计划性、探索性，研究阶段支出应当于发生时计入当期损益，予以费用化。财务部根据公司制订的《研究开发管理制度》，根据项目的立项申请相关资料建立费用化项目，分科研项目及会计科目核算研究阶段支出，并于月末转入管理费用-研究费，计入当期损益。项目的立项、变更、暂缓、终止及完成均需提供书面的资料，财务部根据相关书面资料进行相应会计处理。</w:t>
      </w:r>
    </w:p>
    <w:p w14:paraId="2D1A388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②开发阶段</w:t>
      </w:r>
    </w:p>
    <w:p w14:paraId="79C99A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指利用已有的材料技术平台和已完成研究阶段的工作，在很大程度上具备了形成一项新产品或新技术的基本条件，在进行商业性生产或使用前，进行各种产品的注册临床试验和申报注册活动的支出，均属于开发阶段的支出。</w:t>
      </w:r>
    </w:p>
    <w:p w14:paraId="01B637D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开发阶段是在进行商业性生产或使用前将研究成果或其他知识应用于某项计划或设计，以生产出新的或具有实质性改进的材料、装置、产品等，开发阶段支出应当单独核算。同时从事多项开发活动的，所发生的支出应当按照合理的标准在各开发活动之间进行分配，并在发生时计入开发支出，予以资本化；无法合理分配的，应当计入当期损益，予以费用化。财务部根据公司制订的《研究开发管理制度》，对已达到开发阶段的项目支出予以资本化，开发阶段书面资料表现为取得第一例临床开展的注册通知书或CRF表（病例报告表）封面复印件。</w:t>
      </w:r>
    </w:p>
    <w:p w14:paraId="6BD976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开发阶段支出资本化的具体条件</w:t>
      </w:r>
    </w:p>
    <w:p w14:paraId="05D689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内部研究开发项目开发阶段的支出，同时满足下列条件时确认为无形资产：</w:t>
      </w:r>
    </w:p>
    <w:p w14:paraId="72B58CB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a.完成该无形资产以使其能够使用或出售在技术上具有可行性；</w:t>
      </w:r>
    </w:p>
    <w:p w14:paraId="5039E1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b.具有完成该无形资产并使用或出售的意图；</w:t>
      </w:r>
    </w:p>
    <w:p w14:paraId="63375F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c.无形资产产生经济利益的方式，包括能够证明运用该无形资产生产的产品存在市场或无形资产自身存在市场，无形资产将在内部使用的，应当证明其有用性；</w:t>
      </w:r>
    </w:p>
    <w:p w14:paraId="799B5E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d.有足够的技术、财务资源和其他资源支持，以完成该无形资产的开发，并有能力使用或出售该无形资产；</w:t>
      </w:r>
    </w:p>
    <w:p w14:paraId="3BE3BB4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e.归属于该无形资产开发阶段的支出能够可靠地计量。</w:t>
      </w:r>
    </w:p>
    <w:p w14:paraId="20FEB4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18"/>
          <w:szCs w:val="18"/>
          <w:vertAlign w:val="baseline"/>
        </w:rPr>
        <w:t>公司需遵守《深圳证券交易所创业板行业信息披露指引第10号--上市公司从事医疗器械业务》的披露要求。</w:t>
      </w:r>
    </w:p>
    <w:p w14:paraId="229FE292">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56" w:name="_Toc989068"/>
      <w:r>
        <w:rPr>
          <w:rFonts w:hint="default" w:ascii="Times New Roman" w:hAnsi="Times New Roman" w:eastAsia="宋体" w:cs="Times New Roman"/>
          <w:b/>
          <w:bCs/>
          <w:sz w:val="21"/>
          <w:szCs w:val="21"/>
        </w:rPr>
        <w:t>21、长期资产减值</w:t>
      </w:r>
      <w:bookmarkEnd w:id="256"/>
    </w:p>
    <w:p w14:paraId="20FBF3E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cs="Times New Roman"/>
          <w:sz w:val="18"/>
          <w:szCs w:val="18"/>
        </w:rPr>
      </w:pPr>
      <w:r>
        <w:rPr>
          <w:rFonts w:hint="default" w:ascii="Times New Roman" w:hAnsi="Times New Roman" w:eastAsia="宋体" w:cs="Times New Roman"/>
          <w:sz w:val="18"/>
          <w:szCs w:val="18"/>
        </w:rPr>
        <w:t>长期股权投资、采用成本模式计量的投资性房地产、固定资产、在建工程、采用成本模式计量的生产性生物资产、油气资产、无形资产等长期资产于资产负债表日存在减值迹象的，进行减值测试。减值测试结果表明资产的可收回金额低于其账面价值的，按其差额计提减值准备并计入减值损失。</w:t>
      </w:r>
    </w:p>
    <w:p w14:paraId="7766431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cs="Times New Roman"/>
          <w:sz w:val="18"/>
          <w:szCs w:val="18"/>
        </w:rPr>
      </w:pPr>
      <w:r>
        <w:rPr>
          <w:rFonts w:hint="default" w:ascii="Times New Roman" w:hAnsi="Times New Roman" w:eastAsia="宋体" w:cs="Times New Roman"/>
          <w:sz w:val="18"/>
          <w:szCs w:val="18"/>
        </w:rPr>
        <w:t>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14:paraId="02EF5F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cs="Times New Roman"/>
          <w:sz w:val="18"/>
          <w:szCs w:val="18"/>
        </w:rPr>
      </w:pPr>
      <w:r>
        <w:rPr>
          <w:rFonts w:hint="default" w:ascii="Times New Roman" w:hAnsi="Times New Roman" w:eastAsia="宋体" w:cs="Times New Roman"/>
          <w:sz w:val="18"/>
          <w:szCs w:val="18"/>
        </w:rPr>
        <w:t>在财务报表中单独列示的商誉，无论是否存在减值迹象，至少每年进行减值测试。减值测试时，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14:paraId="29EE4D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cs="Times New Roman"/>
          <w:sz w:val="18"/>
          <w:szCs w:val="18"/>
        </w:rPr>
      </w:pPr>
      <w:r>
        <w:rPr>
          <w:rFonts w:hint="default" w:ascii="Times New Roman" w:hAnsi="Times New Roman" w:eastAsia="宋体" w:cs="Times New Roman"/>
          <w:sz w:val="18"/>
          <w:szCs w:val="18"/>
        </w:rPr>
        <w:t>上述资产减值损失一经确认，以后期间不予转回价值得以恢复的部分。</w:t>
      </w:r>
    </w:p>
    <w:p w14:paraId="4387418D">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57" w:name="_Toc989069"/>
      <w:r>
        <w:rPr>
          <w:rFonts w:hint="default" w:ascii="Times New Roman" w:hAnsi="Times New Roman" w:eastAsia="宋体" w:cs="Times New Roman"/>
          <w:b/>
          <w:bCs/>
          <w:sz w:val="21"/>
          <w:szCs w:val="21"/>
        </w:rPr>
        <w:t>22、长期待摊费用</w:t>
      </w:r>
      <w:bookmarkEnd w:id="257"/>
    </w:p>
    <w:p w14:paraId="116DA7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p w14:paraId="291E9D2E">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58" w:name="_Toc989070"/>
      <w:r>
        <w:rPr>
          <w:rFonts w:hint="default" w:ascii="Times New Roman" w:hAnsi="Times New Roman" w:eastAsia="宋体" w:cs="Times New Roman"/>
          <w:b/>
          <w:bCs/>
          <w:sz w:val="21"/>
          <w:szCs w:val="21"/>
        </w:rPr>
        <w:t>23、职工薪酬</w:t>
      </w:r>
      <w:bookmarkEnd w:id="258"/>
    </w:p>
    <w:p w14:paraId="4AF634A7">
      <w:pPr>
        <w:keepNext/>
        <w:keepLines/>
        <w:spacing w:before="300" w:after="300" w:line="280" w:lineRule="exact"/>
        <w:jc w:val="left"/>
        <w:outlineLvl w:val="3"/>
        <w:rPr>
          <w:rFonts w:hint="default" w:ascii="Times New Roman" w:hAnsi="Times New Roman" w:eastAsia="宋体" w:cs="Times New Roman"/>
          <w:b/>
          <w:bCs/>
          <w:sz w:val="21"/>
          <w:szCs w:val="21"/>
        </w:rPr>
      </w:pPr>
      <w:bookmarkStart w:id="259" w:name="_Toc989071"/>
      <w:r>
        <w:rPr>
          <w:rFonts w:hint="default" w:ascii="Times New Roman" w:hAnsi="Times New Roman" w:eastAsia="宋体" w:cs="Times New Roman"/>
          <w:b/>
          <w:bCs/>
          <w:sz w:val="21"/>
          <w:szCs w:val="21"/>
        </w:rPr>
        <w:t>（1） 短期薪酬的会计处理方法</w:t>
      </w:r>
      <w:bookmarkEnd w:id="259"/>
    </w:p>
    <w:p w14:paraId="258865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职工为本公司提供服务的会计期间，将实际发生的短期薪酬确认为负债，并计入当期损益，企业会计准则要求或允许计入资产成本的除外。本公司发生的职工福利费，在实际发生时根据实际发生额计入当期损益或相关资产成本。职工福利费为非货币性福利的，按照公允价值计量。本公司为职工缴纳的医疗保险费、工伤保险费、生育保险费等社会保险费和住房公积金，以及按规定提取的工会经费和职工教育经费，在职工提供服务的会计期间，根据规定的计提基础和计提比例计算确定相应的职工薪酬金额，并确认相应负债，计入当期损益或相关资产成本。</w:t>
      </w:r>
    </w:p>
    <w:p w14:paraId="364D8B6C">
      <w:pPr>
        <w:keepNext/>
        <w:keepLines/>
        <w:spacing w:before="300" w:after="300" w:line="280" w:lineRule="exact"/>
        <w:jc w:val="left"/>
        <w:outlineLvl w:val="3"/>
        <w:rPr>
          <w:rFonts w:hint="default" w:ascii="Times New Roman" w:hAnsi="Times New Roman" w:eastAsia="宋体" w:cs="Times New Roman"/>
          <w:b/>
          <w:bCs/>
          <w:sz w:val="21"/>
          <w:szCs w:val="21"/>
        </w:rPr>
      </w:pPr>
      <w:bookmarkStart w:id="260" w:name="_Toc989072"/>
      <w:r>
        <w:rPr>
          <w:rFonts w:hint="default" w:ascii="Times New Roman" w:hAnsi="Times New Roman" w:eastAsia="宋体" w:cs="Times New Roman"/>
          <w:b/>
          <w:bCs/>
          <w:sz w:val="21"/>
          <w:szCs w:val="21"/>
        </w:rPr>
        <w:t>（2） 离职后福利的会计处理方法</w:t>
      </w:r>
      <w:bookmarkEnd w:id="260"/>
    </w:p>
    <w:p w14:paraId="09C9EE6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公司在职工提供服务的会计期间，根据设定提存计划计算的应缴存金额确认为负债，并计入当期损益或相关资产成本。根据预期累计福利单位法确定的公式将设定受益计划产生的福利义务归属于职工提供服务的期间，并计入当期损益或相关资产成本。</w:t>
      </w:r>
    </w:p>
    <w:p w14:paraId="45B9E086">
      <w:pPr>
        <w:keepNext/>
        <w:keepLines/>
        <w:spacing w:before="300" w:after="300" w:line="280" w:lineRule="exact"/>
        <w:jc w:val="left"/>
        <w:outlineLvl w:val="3"/>
        <w:rPr>
          <w:rFonts w:hint="default" w:ascii="Times New Roman" w:hAnsi="Times New Roman" w:eastAsia="宋体" w:cs="Times New Roman"/>
          <w:b/>
          <w:bCs/>
          <w:sz w:val="21"/>
          <w:szCs w:val="21"/>
        </w:rPr>
      </w:pPr>
      <w:bookmarkStart w:id="261" w:name="_Toc989073"/>
      <w:r>
        <w:rPr>
          <w:rFonts w:hint="default" w:ascii="Times New Roman" w:hAnsi="Times New Roman" w:eastAsia="宋体" w:cs="Times New Roman"/>
          <w:b/>
          <w:bCs/>
          <w:sz w:val="21"/>
          <w:szCs w:val="21"/>
        </w:rPr>
        <w:t>（3） 辞退福利的会计处理方法</w:t>
      </w:r>
      <w:bookmarkEnd w:id="261"/>
    </w:p>
    <w:p w14:paraId="2C2E65F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公司向职工提供辞退福利时，在下列两者孰早日确认辞退福利产生的职工薪酬负债，并计入当期损益：本公司不能单方面撤回因解除劳动关系计划或裁减建议所提供的辞退福利时；本公司确认与涉及支付辞退福利的重组相关的成本或费用时。</w:t>
      </w:r>
    </w:p>
    <w:p w14:paraId="08E573A8">
      <w:pPr>
        <w:keepNext/>
        <w:keepLines/>
        <w:spacing w:before="300" w:after="300" w:line="280" w:lineRule="exact"/>
        <w:jc w:val="left"/>
        <w:outlineLvl w:val="3"/>
        <w:rPr>
          <w:rFonts w:hint="default" w:ascii="Times New Roman" w:hAnsi="Times New Roman" w:eastAsia="宋体" w:cs="Times New Roman"/>
          <w:b/>
          <w:bCs/>
          <w:sz w:val="21"/>
          <w:szCs w:val="21"/>
        </w:rPr>
      </w:pPr>
      <w:bookmarkStart w:id="262" w:name="_Toc989074"/>
      <w:r>
        <w:rPr>
          <w:rFonts w:hint="default" w:ascii="Times New Roman" w:hAnsi="Times New Roman" w:eastAsia="宋体" w:cs="Times New Roman"/>
          <w:b/>
          <w:bCs/>
          <w:sz w:val="21"/>
          <w:szCs w:val="21"/>
        </w:rPr>
        <w:t>（4） 其他长期职工福利的会计处理方法</w:t>
      </w:r>
      <w:bookmarkEnd w:id="262"/>
    </w:p>
    <w:p w14:paraId="3E903B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18"/>
          <w:szCs w:val="18"/>
        </w:rPr>
        <w:t>本公司向职工提供的其他长期职工福利，符合设定提存计划条件的，应当按照有关设定提存计划的规定进行处理；除此外，根据设定受益计划的有关规定，确认和计量其他长期职工福利净负债或净资产。</w:t>
      </w:r>
    </w:p>
    <w:p w14:paraId="3A092C5F">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63" w:name="_Toc989075"/>
      <w:r>
        <w:rPr>
          <w:rFonts w:hint="default" w:ascii="Times New Roman" w:hAnsi="Times New Roman" w:eastAsia="宋体" w:cs="Times New Roman"/>
          <w:b/>
          <w:bCs/>
          <w:sz w:val="21"/>
          <w:szCs w:val="21"/>
        </w:rPr>
        <w:t>24、股份支付</w:t>
      </w:r>
      <w:bookmarkEnd w:id="263"/>
    </w:p>
    <w:p w14:paraId="761874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公司股份支付包括以权益结算的股份支付和以现金结算的股份支付。以权益结算的股份支付换取职工提供服务的，以授予职工权益工具的公允价值计量。存在活跃市场的，按照活跃市场中的报价确定；不存在活跃市场的，采用估值技术确定，包括参考熟悉情况并自愿交易的各方最近进行的市场交易中使用的价格、参照实质上相同的其他金融工具的当前公允价值、现金流量折现法和期权定价模型等。</w:t>
      </w:r>
    </w:p>
    <w:p w14:paraId="57E0EA6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各个资产负债表日，根据最新取得的可行权人数变动、业绩指标完成情况等后续信息，修正预计可行权的股票期权数量，并以此为依据确认各期应分摊的费用。对于跨越多个会计期间的期权费用，一般可以按照该期权在某会计期间内等待期长度占整个等待期长度的比例进行分摊。</w:t>
      </w:r>
    </w:p>
    <w:p w14:paraId="741FC418">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64" w:name="_Toc989076"/>
      <w:r>
        <w:rPr>
          <w:rFonts w:hint="default" w:ascii="Times New Roman" w:hAnsi="Times New Roman" w:eastAsia="宋体" w:cs="Times New Roman"/>
          <w:b/>
          <w:bCs/>
          <w:sz w:val="21"/>
          <w:szCs w:val="21"/>
        </w:rPr>
        <w:t>25、收入</w:t>
      </w:r>
      <w:bookmarkEnd w:id="264"/>
    </w:p>
    <w:p w14:paraId="7FB9145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1.一般原则</w:t>
      </w:r>
    </w:p>
    <w:p w14:paraId="41BD79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本公司在履行了合同中的履约义务，即在客户取得相关商品控制权时确认收入。</w:t>
      </w:r>
    </w:p>
    <w:p w14:paraId="452C44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当本公司与客户之间的合同同时满足下列条件时，本公司在客户取得相关商品控制权时确认收入：</w:t>
      </w:r>
    </w:p>
    <w:p w14:paraId="7F74F0D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（1）合同各方已批准该合同并承诺将履行各自义务；</w:t>
      </w:r>
    </w:p>
    <w:p w14:paraId="0DC1CC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（2）该合同明确了合同各方与所转让商品或提供劳务（以下简称转让“商品”）相关的权利和义务；</w:t>
      </w:r>
    </w:p>
    <w:p w14:paraId="0319EA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（3）该合同有明确的与所转让商品相关的支付条款；</w:t>
      </w:r>
    </w:p>
    <w:p w14:paraId="3704A9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（4）该合同具有商业实质，即履行该合同将改变企业未来现金流量的风险、时间分布或金额；</w:t>
      </w:r>
    </w:p>
    <w:p w14:paraId="017CFF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（5）本公司因向客户转让商品而有权取得的对价很可能收回。</w:t>
      </w:r>
    </w:p>
    <w:p w14:paraId="3E59A63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在合同开始日不符合前述规定的合同，本公司对其进行持续评估，并在其满足规定时进行会计处理。</w:t>
      </w:r>
    </w:p>
    <w:p w14:paraId="7EF350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对于不符合前述规定的合同，本公司只有在不再负有向客户转让商品的剩余义务，且已向客户收取的对价无需退回时，才能将已收取的对价确认为收入；否则，将已收取的对价作为负债进行会计处理。没有商业实质的非货币性资产交换，不确认收入。</w:t>
      </w:r>
    </w:p>
    <w:p w14:paraId="4886EEF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对于在某一时点履行的履约义务，本公司在客户取得相关商品控制权时点确认收入。在判断客户是否已取得商品控制权时，本公司考虑下列迹象：</w:t>
      </w:r>
    </w:p>
    <w:p w14:paraId="255E3B5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（1）本公司就该商品享有现时收款权利，即客户就该商品负有现时付款义务。</w:t>
      </w:r>
    </w:p>
    <w:p w14:paraId="31B25D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（2）本公司已将该商品的法定所有权转移给客户，即客户已拥有该商品的法定所有权。</w:t>
      </w:r>
    </w:p>
    <w:p w14:paraId="17CB10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（3）本公司已将该商品实物转移给客户，即客户已实物占有该商品。</w:t>
      </w:r>
    </w:p>
    <w:p w14:paraId="63C5F9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（4）本公司已将该商品所有权上的主要风险和报酬转移给客户，即客户已取得该商品所有权上的主要风险和报酬。</w:t>
      </w:r>
    </w:p>
    <w:p w14:paraId="21AC2F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（5）客户已接受该商品。</w:t>
      </w:r>
    </w:p>
    <w:p w14:paraId="403792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（6）其他表明客户已取得商品控制权的迹象。</w:t>
      </w:r>
    </w:p>
    <w:p w14:paraId="31E794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2.具体方法</w:t>
      </w:r>
    </w:p>
    <w:p w14:paraId="767565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本公司销售商品收入分为代理分销及服务配送两种模式，销售商品收入确认原则如下：</w:t>
      </w:r>
    </w:p>
    <w:p w14:paraId="4C28D81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1）代理分销模式：本公司与经销商签订代理协议，通过经销商分销产品，经销商分为一级经销商、二级经销商等，各级经销商向下一级经销商批发产品。经销商按与本公司的协议价格订购产品，经各地经销商分销配送，使产品进入医院。这种销售方式下，当收到经销商货款或承兑汇票且货物发出后确认销售收入，或货物发出并经经销商验收合格后确认销售收入，经销商在信用期内支付货款。</w:t>
      </w:r>
    </w:p>
    <w:p w14:paraId="6DF64E5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2）服务配送模式：公司直接对部分重点医院客户（主要为信用度较高的三级甲等医院）进行销售，并通过服务商提供物流配送、市场调研、产品使用情况跟踪等市场服务。这种销售方式下公司根据医院通知并通过服务商配送货物至医院，医院在产品使用后通知公司开具发票，公司通过使用医院反馈的植入记录卡等资料确认产品已使用，据此开具发票并确认销售收入。</w:t>
      </w:r>
    </w:p>
    <w:p w14:paraId="45CE21F4">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65" w:name="_Toc989077"/>
      <w:r>
        <w:rPr>
          <w:rFonts w:hint="default" w:ascii="Times New Roman" w:hAnsi="Times New Roman" w:eastAsia="宋体" w:cs="Times New Roman"/>
          <w:b/>
          <w:bCs/>
          <w:sz w:val="21"/>
          <w:szCs w:val="21"/>
        </w:rPr>
        <w:t>26、合同成本</w:t>
      </w:r>
      <w:bookmarkEnd w:id="265"/>
    </w:p>
    <w:p w14:paraId="6487EC1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的合同成本包括为取得合同发生的增量成本及合同履约成本。为取得合同发生的增量成本（“合同取得成本”）是指不取得合同就不会发生的成本。该成本预期能够收回的，本公司将其作为合同取得成本确认为一项资产。</w:t>
      </w:r>
    </w:p>
    <w:p w14:paraId="07F1841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本公司为履行合同发生的成本，不属于存货等其他企业会计准则规范范围且同时满足下列条件的，作为合同履约成本确认为一项资产：</w:t>
      </w:r>
    </w:p>
    <w:p w14:paraId="52E0CA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default" w:ascii="Times New Roman" w:hAnsi="Times New Roman" w:cs="Times New Roman"/>
          <w:sz w:val="18"/>
          <w:szCs w:val="18"/>
        </w:rPr>
      </w:pPr>
      <w:r>
        <w:rPr>
          <w:rFonts w:hint="default" w:ascii="Times New Roman" w:hAnsi="Times New Roman" w:eastAsia="宋体" w:cs="Times New Roman"/>
          <w:sz w:val="18"/>
          <w:szCs w:val="18"/>
        </w:rPr>
        <w:t>1.该成本与一份当前或预期取得的合同直接相关，包括直接人工、直接材料、制造费用（或类似费用）、明确由用户承担的成本以及仅因该合同而发生的其他成本；</w:t>
      </w:r>
    </w:p>
    <w:p w14:paraId="3A0F07B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2.该成本增加了本公司未来用于履行履约义务的资源；</w:t>
      </w:r>
    </w:p>
    <w:p w14:paraId="0BECFC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default" w:ascii="Times New Roman" w:hAnsi="Times New Roman" w:cs="Times New Roman"/>
          <w:sz w:val="18"/>
          <w:szCs w:val="18"/>
        </w:rPr>
      </w:pPr>
      <w:r>
        <w:rPr>
          <w:rFonts w:hint="default" w:ascii="Times New Roman" w:hAnsi="Times New Roman" w:eastAsia="宋体" w:cs="Times New Roman"/>
          <w:sz w:val="18"/>
          <w:szCs w:val="18"/>
        </w:rPr>
        <w:t>3.该成本预期能够收回。</w:t>
      </w:r>
    </w:p>
    <w:p w14:paraId="2A9F9C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default" w:ascii="Times New Roman" w:hAnsi="Times New Roman" w:cs="Times New Roman"/>
          <w:sz w:val="18"/>
          <w:szCs w:val="18"/>
        </w:rPr>
      </w:pPr>
      <w:r>
        <w:rPr>
          <w:rFonts w:hint="default" w:ascii="Times New Roman" w:hAnsi="Times New Roman" w:eastAsia="宋体" w:cs="Times New Roman"/>
          <w:sz w:val="18"/>
          <w:szCs w:val="18"/>
        </w:rPr>
        <w:t>与合同成本有关的资产的账面价值高于下列两项的差额时，本公司将超出部分计提减值准备并确认为资产减值损失：</w:t>
      </w:r>
    </w:p>
    <w:p w14:paraId="13C641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left"/>
        <w:rPr>
          <w:rFonts w:hint="default" w:ascii="Times New Roman" w:hAnsi="Times New Roman" w:cs="Times New Roman"/>
          <w:sz w:val="18"/>
          <w:szCs w:val="18"/>
        </w:rPr>
      </w:pPr>
      <w:r>
        <w:rPr>
          <w:rFonts w:hint="default" w:ascii="Times New Roman" w:hAnsi="Times New Roman" w:eastAsia="宋体" w:cs="Times New Roman"/>
          <w:sz w:val="18"/>
          <w:szCs w:val="18"/>
        </w:rPr>
        <w:t>1.因转让与该资产相关的商品预期能够取得的剩余对价；</w:t>
      </w:r>
    </w:p>
    <w:p w14:paraId="47975C7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18"/>
          <w:szCs w:val="18"/>
          <w:vertAlign w:val="baseline"/>
        </w:rPr>
        <w:t>2.为转让该相关商品估计将要发生的成本。</w:t>
      </w:r>
    </w:p>
    <w:p w14:paraId="258F5547">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66" w:name="_Toc989078"/>
      <w:r>
        <w:rPr>
          <w:rFonts w:hint="default" w:ascii="Times New Roman" w:hAnsi="Times New Roman" w:eastAsia="宋体" w:cs="Times New Roman"/>
          <w:b/>
          <w:bCs/>
          <w:sz w:val="21"/>
          <w:szCs w:val="21"/>
        </w:rPr>
        <w:t>27、政府补助</w:t>
      </w:r>
      <w:bookmarkEnd w:id="266"/>
    </w:p>
    <w:p w14:paraId="6734ECD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rPr>
          <w:rFonts w:hint="default" w:ascii="Times New Roman" w:hAnsi="Times New Roman" w:cs="Times New Roman"/>
          <w:sz w:val="18"/>
          <w:szCs w:val="18"/>
        </w:rPr>
      </w:pPr>
      <w:r>
        <w:rPr>
          <w:rFonts w:hint="default" w:ascii="Times New Roman" w:hAnsi="Times New Roman" w:eastAsia="宋体" w:cs="Times New Roman"/>
          <w:sz w:val="18"/>
          <w:szCs w:val="18"/>
        </w:rPr>
        <w:t>1.政府补助的类型及会计处理</w:t>
      </w:r>
    </w:p>
    <w:p w14:paraId="35E34AD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政府补助是指本公司从政府无偿取得的货币性资产或非货币性资产（但不包括政府作为所有者投入的资本）。政府补助为货币性资产的，应当按照收到或应收的金额计量。政府补助为非货币性资产的，应当按照公允价值计量；公允价值不能可靠取得的，按照名义金额计量。</w:t>
      </w:r>
    </w:p>
    <w:p w14:paraId="0EC83E4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与日常活动相关的政府补助，按照经济业务实质，计入其他收益。与日常活动无关的政府补助，计入营业外收入。</w:t>
      </w:r>
    </w:p>
    <w:p w14:paraId="3F07AC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政府文件明确规定用于购建或以其他方式形成长期资产的政府补助，确认为与资产相关的政府补助。政府文件未明确规定补助对象的，能够形成长期资产的，与资产价值相对应的政府补助部分作为与资产相关的政府补助，其余部分作为与收益相关的政府补助；难以区分的，将政府补助整体作为与收益相关的政府补助。与资产相关的政府补助确认为递延收益。确认为递延收益的金额，在相关资产使用寿命内按照合理、系统的方法分期计入当期损益。</w:t>
      </w:r>
    </w:p>
    <w:p w14:paraId="5E732C6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除与资产相关的政府补助之外的政府补助，确认为与收益相关的政府补助。与收益相关的政府补助用于补偿企业以后期间的相关费用或损失的，确认为递延收益，并在确认相关费用的期间，计入当期损益；用于补偿企业已发生的相关费用或损失的，直接计入当期损益。</w:t>
      </w:r>
    </w:p>
    <w:p w14:paraId="5C5D43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取得政策性优惠贷款贴息，财政将贴息资金拨付给贷款银行，由贷款银行以政策性优惠利率向本公司提供贷款的，以实际收到的借款金额作为借款的入账价值，按照借款本金和该政策性优惠利率计算相关借款费用；财政将贴息资金直接拨付给本公司的，本公司将对应的贴息冲减相关借款费用。</w:t>
      </w:r>
    </w:p>
    <w:p w14:paraId="5D8836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rPr>
          <w:rFonts w:hint="default" w:ascii="Times New Roman" w:hAnsi="Times New Roman" w:cs="Times New Roman"/>
          <w:sz w:val="18"/>
          <w:szCs w:val="18"/>
        </w:rPr>
      </w:pPr>
      <w:r>
        <w:rPr>
          <w:rFonts w:hint="default" w:ascii="Times New Roman" w:hAnsi="Times New Roman" w:eastAsia="宋体" w:cs="Times New Roman"/>
          <w:sz w:val="18"/>
          <w:szCs w:val="18"/>
        </w:rPr>
        <w:t>2.政府补助确认时点</w:t>
      </w:r>
    </w:p>
    <w:p w14:paraId="6BC390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18"/>
          <w:szCs w:val="18"/>
          <w:vertAlign w:val="baseline"/>
        </w:rPr>
        <w:t>政府补助在满足政府补助所附条件并能够收到时确认。按照应收金额计量的政府补助，在期末有确凿证据表明能够符合财政扶持政策规定的相关条件且预计能够收到财政扶持资金时予以确认。除按照应收金额计量的政府补助外的其他政府补助，在实际收到补助款项时予以确认。</w:t>
      </w:r>
    </w:p>
    <w:p w14:paraId="42C6BDA7">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67" w:name="_Toc989079"/>
      <w:r>
        <w:rPr>
          <w:rFonts w:hint="default" w:ascii="Times New Roman" w:hAnsi="Times New Roman" w:eastAsia="宋体" w:cs="Times New Roman"/>
          <w:b/>
          <w:bCs/>
          <w:sz w:val="21"/>
          <w:szCs w:val="21"/>
        </w:rPr>
        <w:t>28、递延所得税资产/递延所得税负债</w:t>
      </w:r>
      <w:bookmarkEnd w:id="267"/>
    </w:p>
    <w:p w14:paraId="4AE549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1.根据资产、负债的账面价值与其计税基础之间的差额（未作为资产和负债确认的项目按照税法规定可以确定其计税基础的，确定该计税基础为其差额），按照预期收回该资产或清偿该负债期间的适用税率计算确认递延所得税资产或递延所得税负债。</w:t>
      </w:r>
    </w:p>
    <w:p w14:paraId="3B46A9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2.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14:paraId="406F36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18"/>
          <w:szCs w:val="18"/>
          <w:vertAlign w:val="baseline"/>
        </w:rPr>
        <w:t>3.对</w:t>
      </w:r>
      <w:r>
        <w:rPr>
          <w:rFonts w:hint="eastAsia" w:cs="Times New Roman"/>
          <w:sz w:val="18"/>
          <w:szCs w:val="18"/>
          <w:vertAlign w:val="baseline"/>
          <w:lang w:val="en-US" w:eastAsia="zh-CN"/>
        </w:rPr>
        <w:t>于</w:t>
      </w:r>
      <w:r>
        <w:rPr>
          <w:rFonts w:hint="default" w:ascii="Times New Roman" w:hAnsi="Times New Roman" w:eastAsia="宋体" w:cs="Times New Roman"/>
          <w:sz w:val="18"/>
          <w:szCs w:val="18"/>
          <w:vertAlign w:val="baseline"/>
        </w:rPr>
        <w:t>子公司及联营企业投资相关的应纳税暂时性差异，确认递延所得税负债，除非本公司能够控制暂时性差异转回的时间且该暂时性差异在可预见的未来很可能不会转回。对与子公司及联营企业投资相关的可抵扣暂时性差异，当该暂时性差异在可预见的未来很可能转回且未来很可能获得用来抵扣可抵扣暂时性差异的应纳税所得额时，确认递延所得税资产。</w:t>
      </w:r>
    </w:p>
    <w:p w14:paraId="2BBBDDB5">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68" w:name="_Toc989080"/>
      <w:r>
        <w:rPr>
          <w:rFonts w:hint="default" w:ascii="Times New Roman" w:hAnsi="Times New Roman" w:eastAsia="宋体" w:cs="Times New Roman"/>
          <w:b/>
          <w:bCs/>
          <w:sz w:val="21"/>
          <w:szCs w:val="21"/>
        </w:rPr>
        <w:t>29、租赁</w:t>
      </w:r>
      <w:bookmarkEnd w:id="268"/>
    </w:p>
    <w:p w14:paraId="5EE129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default" w:ascii="Times New Roman" w:hAnsi="Times New Roman" w:cs="Times New Roman"/>
          <w:sz w:val="18"/>
          <w:szCs w:val="18"/>
        </w:rPr>
      </w:pPr>
      <w:r>
        <w:rPr>
          <w:rFonts w:hint="default" w:ascii="Times New Roman" w:hAnsi="Times New Roman" w:eastAsia="宋体" w:cs="Times New Roman"/>
          <w:sz w:val="18"/>
          <w:szCs w:val="18"/>
        </w:rPr>
        <w:t>1.租入资产的会计处理</w:t>
      </w:r>
    </w:p>
    <w:p w14:paraId="087E41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在租赁期开始日，本公司对除短期租赁和低价值资产租赁以外的租赁确认使用权资产和租赁负债，并在租赁期内分别确认折旧费用和利息费用。</w:t>
      </w:r>
    </w:p>
    <w:p w14:paraId="44EB32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本公司在租赁期内各个期间采用直线法，将短期租赁和低价值资产租赁的租赁付款额计入当期费用。</w:t>
      </w:r>
    </w:p>
    <w:p w14:paraId="1D8C28B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default" w:ascii="Times New Roman" w:hAnsi="Times New Roman" w:cs="Times New Roman"/>
          <w:sz w:val="18"/>
          <w:szCs w:val="18"/>
        </w:rPr>
      </w:pPr>
      <w:r>
        <w:rPr>
          <w:rFonts w:hint="default" w:ascii="Times New Roman" w:hAnsi="Times New Roman" w:eastAsia="宋体" w:cs="Times New Roman"/>
          <w:sz w:val="18"/>
          <w:szCs w:val="18"/>
        </w:rPr>
        <w:t>（1）使用权资产</w:t>
      </w:r>
    </w:p>
    <w:p w14:paraId="51CA68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使用权资产，是指承租人可在租赁期内使用租赁资产的权利。在租赁期开始日使用权资产按照成本进行初始计量。该成本包括：①租赁负债的初始计量金额；②在租赁期开始日或之前支付的租赁付款额，存在租赁激励的，扣除已享受的租赁激励相关金额；③承租人发生的初始直接费用；④承租人为拆卸及移除租赁资产、复原租赁资产所在场地或将租赁资产恢复至租赁条款约定状态预计将发生的成本。</w:t>
      </w:r>
    </w:p>
    <w:p w14:paraId="6A8079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使用权资产折旧采用年限平均法分类计提。对于能合理确定租赁期届满时将会取得租赁资产所有权的，在租赁资产预计剩余使用寿命内计提折旧；对于无法合理确定租赁期届满时将会取得租赁资产所有权的，在租赁期与租赁资产剩余使用寿命两者孰短的期间内计提折旧。</w:t>
      </w:r>
    </w:p>
    <w:p w14:paraId="27ED9A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本公司按照《企业会计准则第8号——资产减值》的相关规定来确定使用权资产是否已发生减值并进行会计处理。</w:t>
      </w:r>
    </w:p>
    <w:p w14:paraId="007E2EF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default" w:ascii="Times New Roman" w:hAnsi="Times New Roman" w:cs="Times New Roman"/>
          <w:sz w:val="18"/>
          <w:szCs w:val="18"/>
        </w:rPr>
      </w:pPr>
      <w:r>
        <w:rPr>
          <w:rFonts w:hint="default" w:ascii="Times New Roman" w:hAnsi="Times New Roman" w:eastAsia="宋体" w:cs="Times New Roman"/>
          <w:sz w:val="18"/>
          <w:szCs w:val="18"/>
        </w:rPr>
        <w:t>（2）租赁负债</w:t>
      </w:r>
    </w:p>
    <w:p w14:paraId="05F8CA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租赁负债按照租赁期开始日尚未支付的租赁付款额的现值进行初始计量。租赁付款额包括：①固定付款额（包括实质固定付款额），存在租赁激励的，扣除租赁激励相关金额；②取决于指数或比率的可变租赁付款额；③根据承租人提供的担保余值预计应支付的款项；④购买选择权的行权价格，前提是承租人合理确定将行使该选择权；⑤行使终止租赁选择权需支付的款项，前提是租赁期反映出承租人将行使终止租赁选择权；</w:t>
      </w:r>
    </w:p>
    <w:p w14:paraId="1A0A5E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本公司采用增量借款利率作为折现率。本公司按照固定的周期性利率计算租赁负债在租赁期内各期间的利息费用，并计入财务费用。该周期性利率是指公司所采用的折现率或修订后的折现率。</w:t>
      </w:r>
    </w:p>
    <w:p w14:paraId="52B0F2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未纳入租赁负债计量的可变租赁付款额在实际发生时计入当期损益。</w:t>
      </w:r>
    </w:p>
    <w:p w14:paraId="54324F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当本公司对续租选择权、终止租赁选择权或者购买选择权的评估结果发生变化的，则按变动后的租赁付款额和修订后的折现率计算的现值重新计量租赁负债，并相应调整使用权资产的账面价值。当实质租赁付款额、担保余值预计的应付金额或者取决于指数或比率的可变租赁付款额发生变动的，则按变动后的租赁付款额和原折现率计算的现值重新计量租赁负债，并相应调整使用权资产的账面价值。</w:t>
      </w:r>
    </w:p>
    <w:p w14:paraId="1BFC12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default" w:ascii="Times New Roman" w:hAnsi="Times New Roman" w:cs="Times New Roman"/>
          <w:sz w:val="18"/>
          <w:szCs w:val="18"/>
        </w:rPr>
      </w:pPr>
      <w:r>
        <w:rPr>
          <w:rFonts w:hint="default" w:ascii="Times New Roman" w:hAnsi="Times New Roman" w:eastAsia="宋体" w:cs="Times New Roman"/>
          <w:sz w:val="18"/>
          <w:szCs w:val="18"/>
        </w:rPr>
        <w:t>2.出租资产的会计处理</w:t>
      </w:r>
    </w:p>
    <w:p w14:paraId="689B9C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default" w:ascii="Times New Roman" w:hAnsi="Times New Roman" w:cs="Times New Roman"/>
          <w:sz w:val="18"/>
          <w:szCs w:val="18"/>
        </w:rPr>
      </w:pPr>
      <w:r>
        <w:rPr>
          <w:rFonts w:hint="default" w:ascii="Times New Roman" w:hAnsi="Times New Roman" w:eastAsia="宋体" w:cs="Times New Roman"/>
          <w:sz w:val="18"/>
          <w:szCs w:val="18"/>
        </w:rPr>
        <w:t>（1）经营租赁会计处理</w:t>
      </w:r>
    </w:p>
    <w:p w14:paraId="611DC1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本公司在租赁期内各个期间采用直线法，将经营租赁的租赁收款额确认为租金收入。本公司将发生的与经营租赁有关的初始直接费用予以资本化，在租赁期内按照与租金收入相同的确认基础分期计入当期收益。</w:t>
      </w:r>
    </w:p>
    <w:p w14:paraId="05C75C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rFonts w:hint="default" w:ascii="Times New Roman" w:hAnsi="Times New Roman" w:cs="Times New Roman"/>
          <w:sz w:val="18"/>
          <w:szCs w:val="18"/>
        </w:rPr>
      </w:pPr>
      <w:r>
        <w:rPr>
          <w:rFonts w:hint="default" w:ascii="Times New Roman" w:hAnsi="Times New Roman" w:eastAsia="宋体" w:cs="Times New Roman"/>
          <w:sz w:val="18"/>
          <w:szCs w:val="18"/>
        </w:rPr>
        <w:t>（2）融资租赁会计处理</w:t>
      </w:r>
    </w:p>
    <w:p w14:paraId="4A7AC9D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sz w:val="18"/>
          <w:szCs w:val="18"/>
        </w:rPr>
      </w:pPr>
      <w:r>
        <w:rPr>
          <w:rFonts w:hint="default" w:ascii="Times New Roman" w:hAnsi="Times New Roman" w:eastAsia="宋体" w:cs="Times New Roman"/>
          <w:sz w:val="18"/>
          <w:szCs w:val="18"/>
        </w:rPr>
        <w:t>本公司在租赁开始日，将应收融资租赁款，未担保余值之和与其现值的差额确认为未实现融资收益，在将来收到租金的各期间内确认为租赁收入。本公司发生的与出租交易相关的初始直接费用，计入应收融资租赁款的初始入账价值中。</w:t>
      </w:r>
    </w:p>
    <w:p w14:paraId="5CFBF317">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69" w:name="_Toc989081"/>
      <w:r>
        <w:rPr>
          <w:rFonts w:hint="default" w:ascii="Times New Roman" w:hAnsi="Times New Roman" w:eastAsia="宋体" w:cs="Times New Roman"/>
          <w:b/>
          <w:bCs/>
          <w:sz w:val="21"/>
          <w:szCs w:val="21"/>
        </w:rPr>
        <w:t>30、持有待售和终止经营</w:t>
      </w:r>
      <w:bookmarkEnd w:id="269"/>
    </w:p>
    <w:p w14:paraId="6DEC03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本公司将同时满足下列条件的非流动资产或处置组划分为持有待售类别：一是根据类似交易中出售此类资产或处置组的惯例，在当前状况下即可立即出售；二是出售极可能发生，即企业已经就一项出售计划作出决议且获得确定的购买承诺，预计出售将在一年内完成。有关规定要求企业相关权力机构或者监管部门批准后方可出售的，应当已经获得批准。</w:t>
      </w:r>
    </w:p>
    <w:p w14:paraId="515EFE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初始计量或在资产负债表日重新计量持有待售的非流动资产或处置组时，其账面价值高于公允价值减去出售费用后的净额的，应当将账面价值减记至公允价值减去出售费用后的净额，减记的金额确认为资产减值损失计入当期损益，同时计提持有待售资产减值准备。</w:t>
      </w:r>
    </w:p>
    <w:p w14:paraId="003A7D2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资产负债表中持有待售的非流动资产或持有待售的处置组中的资产列示为持有待售资产，持有待售的处置组中的负债列示为持有待售负债。</w:t>
      </w:r>
    </w:p>
    <w:p w14:paraId="425A5E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终止经营是满足下列条件之一的、能够单独区分的组成部分，且该组成部分已被本公司处置或被本公司划归为持有待售类别：</w:t>
      </w:r>
    </w:p>
    <w:p w14:paraId="50C8F5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1.该组成部分代表一项独立的主要业务或一个单独的主要经营地区；</w:t>
      </w:r>
    </w:p>
    <w:p w14:paraId="6C66F8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2.该组成部分是拟对一项独立的主要业务或一个单独的主要经营地区进行处置的一项相关联计划的一部分；</w:t>
      </w:r>
    </w:p>
    <w:p w14:paraId="50A01C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vertAlign w:val="baseline"/>
        </w:rPr>
        <w:t>3.该组成部分是专为转售而取得的子公司。</w:t>
      </w:r>
    </w:p>
    <w:p w14:paraId="4D3D46E9">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70" w:name="_Toc989082"/>
      <w:r>
        <w:rPr>
          <w:rFonts w:hint="default" w:ascii="Times New Roman" w:hAnsi="Times New Roman" w:eastAsia="宋体" w:cs="Times New Roman"/>
          <w:b/>
          <w:bCs/>
          <w:sz w:val="21"/>
          <w:szCs w:val="21"/>
        </w:rPr>
        <w:t>31、重要会计政策和会计估计变更</w:t>
      </w:r>
      <w:bookmarkEnd w:id="270"/>
    </w:p>
    <w:p w14:paraId="46F8441F">
      <w:pPr>
        <w:keepNext/>
        <w:keepLines/>
        <w:spacing w:before="300" w:after="300" w:line="280" w:lineRule="exact"/>
        <w:jc w:val="left"/>
        <w:outlineLvl w:val="3"/>
        <w:rPr>
          <w:rFonts w:hint="default" w:ascii="Times New Roman" w:hAnsi="Times New Roman" w:eastAsia="宋体" w:cs="Times New Roman"/>
          <w:b/>
          <w:bCs/>
          <w:sz w:val="18"/>
          <w:szCs w:val="18"/>
        </w:rPr>
      </w:pPr>
      <w:bookmarkStart w:id="271" w:name="_Toc989083"/>
      <w:r>
        <w:rPr>
          <w:rFonts w:hint="default" w:ascii="Times New Roman" w:hAnsi="Times New Roman" w:eastAsia="宋体" w:cs="Times New Roman"/>
          <w:b/>
          <w:bCs/>
          <w:sz w:val="18"/>
          <w:szCs w:val="18"/>
        </w:rPr>
        <w:t>（1） 重要会计政策变更</w:t>
      </w:r>
      <w:bookmarkEnd w:id="271"/>
    </w:p>
    <w:p w14:paraId="7B9F158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32CD3ABA">
      <w:pPr>
        <w:keepNext/>
        <w:keepLines/>
        <w:spacing w:before="300" w:after="300" w:line="280" w:lineRule="exact"/>
        <w:jc w:val="left"/>
        <w:outlineLvl w:val="3"/>
        <w:rPr>
          <w:rFonts w:hint="default" w:ascii="Times New Roman" w:hAnsi="Times New Roman" w:eastAsia="宋体" w:cs="Times New Roman"/>
          <w:b/>
          <w:bCs/>
          <w:sz w:val="18"/>
          <w:szCs w:val="18"/>
        </w:rPr>
      </w:pPr>
      <w:bookmarkStart w:id="272" w:name="_Toc989084"/>
      <w:r>
        <w:rPr>
          <w:rFonts w:hint="default" w:ascii="Times New Roman" w:hAnsi="Times New Roman" w:eastAsia="宋体" w:cs="Times New Roman"/>
          <w:b/>
          <w:bCs/>
          <w:sz w:val="18"/>
          <w:szCs w:val="18"/>
        </w:rPr>
        <w:t>（2） 重要会计估计变更</w:t>
      </w:r>
      <w:bookmarkEnd w:id="272"/>
    </w:p>
    <w:p w14:paraId="565622C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6B63421C">
      <w:pPr>
        <w:keepNext/>
        <w:keepLines/>
        <w:spacing w:before="300" w:after="300" w:line="280" w:lineRule="exact"/>
        <w:jc w:val="left"/>
        <w:outlineLvl w:val="3"/>
        <w:rPr>
          <w:rFonts w:hint="default" w:ascii="Times New Roman" w:hAnsi="Times New Roman" w:eastAsia="宋体" w:cs="Times New Roman"/>
          <w:b/>
          <w:bCs/>
          <w:sz w:val="18"/>
          <w:szCs w:val="18"/>
        </w:rPr>
      </w:pPr>
      <w:bookmarkStart w:id="273" w:name="_Toc989085"/>
      <w:r>
        <w:rPr>
          <w:rFonts w:hint="default" w:ascii="Times New Roman" w:hAnsi="Times New Roman" w:eastAsia="宋体" w:cs="Times New Roman"/>
          <w:b/>
          <w:bCs/>
          <w:sz w:val="18"/>
          <w:szCs w:val="18"/>
        </w:rPr>
        <w:t>（3） 2025年起首次执行新会计准则调整首次执行当年年初财务报表相关项目情况</w:t>
      </w:r>
      <w:bookmarkEnd w:id="273"/>
    </w:p>
    <w:p w14:paraId="0614E5F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14:paraId="0A5DAE43">
      <w:pPr>
        <w:pStyle w:val="2"/>
        <w:keepNext/>
        <w:keepLines/>
        <w:spacing w:before="300" w:after="300" w:line="320" w:lineRule="exact"/>
        <w:jc w:val="left"/>
        <w:outlineLvl w:val="1"/>
        <w:rPr>
          <w:rFonts w:hint="default" w:ascii="Times New Roman" w:hAnsi="Times New Roman" w:eastAsia="宋体" w:cs="Times New Roman"/>
          <w:b/>
          <w:bCs/>
          <w:sz w:val="24"/>
          <w:szCs w:val="24"/>
        </w:rPr>
      </w:pPr>
      <w:bookmarkStart w:id="274" w:name="_Toc23258"/>
      <w:bookmarkStart w:id="275" w:name="_Toc989086"/>
      <w:r>
        <w:rPr>
          <w:rFonts w:hint="default" w:ascii="Times New Roman" w:hAnsi="Times New Roman" w:eastAsia="宋体" w:cs="Times New Roman"/>
          <w:b/>
          <w:bCs/>
          <w:sz w:val="24"/>
          <w:szCs w:val="24"/>
        </w:rPr>
        <w:t>六、税项</w:t>
      </w:r>
      <w:bookmarkEnd w:id="274"/>
      <w:bookmarkEnd w:id="275"/>
    </w:p>
    <w:p w14:paraId="69BBB670">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76" w:name="_Toc989087"/>
      <w:r>
        <w:rPr>
          <w:rFonts w:hint="default" w:ascii="Times New Roman" w:hAnsi="Times New Roman" w:eastAsia="宋体" w:cs="Times New Roman"/>
          <w:b/>
          <w:bCs/>
          <w:sz w:val="21"/>
          <w:szCs w:val="21"/>
        </w:rPr>
        <w:t>1、主要税种及税率</w:t>
      </w:r>
      <w:bookmarkEnd w:id="276"/>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9D6E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57A1F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277D2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331E6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税率</w:t>
            </w:r>
          </w:p>
        </w:tc>
      </w:tr>
      <w:tr w14:paraId="451C4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82694B">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14:paraId="1540D42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应纳税增值额</w:t>
            </w:r>
          </w:p>
        </w:tc>
        <w:tc>
          <w:tcPr>
            <w:tcW w:w="3213" w:type="dxa"/>
            <w:tcBorders>
              <w:top w:val="single" w:color="auto" w:sz="2" w:space="0"/>
              <w:left w:val="single" w:color="auto" w:sz="2" w:space="0"/>
              <w:bottom w:val="single" w:color="auto" w:sz="2" w:space="0"/>
              <w:right w:val="single" w:color="auto" w:sz="2" w:space="0"/>
            </w:tcBorders>
            <w:vAlign w:val="center"/>
          </w:tcPr>
          <w:p w14:paraId="7514D02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13%，9%，6%，5%, 3%</w:t>
            </w:r>
          </w:p>
        </w:tc>
      </w:tr>
      <w:tr w14:paraId="00D32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A6B220">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14:paraId="72252B8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实际缴纳增值税额</w:t>
            </w:r>
          </w:p>
        </w:tc>
        <w:tc>
          <w:tcPr>
            <w:tcW w:w="3213" w:type="dxa"/>
            <w:tcBorders>
              <w:top w:val="single" w:color="auto" w:sz="2" w:space="0"/>
              <w:left w:val="single" w:color="auto" w:sz="2" w:space="0"/>
              <w:bottom w:val="single" w:color="auto" w:sz="2" w:space="0"/>
              <w:right w:val="single" w:color="auto" w:sz="2" w:space="0"/>
            </w:tcBorders>
            <w:vAlign w:val="center"/>
          </w:tcPr>
          <w:p w14:paraId="0C920DC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w:t>
            </w:r>
          </w:p>
        </w:tc>
      </w:tr>
      <w:tr w14:paraId="1EA46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462F08">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14:paraId="5F751C4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应纳税所得额</w:t>
            </w:r>
          </w:p>
        </w:tc>
        <w:tc>
          <w:tcPr>
            <w:tcW w:w="3213" w:type="dxa"/>
            <w:tcBorders>
              <w:top w:val="single" w:color="auto" w:sz="2" w:space="0"/>
              <w:left w:val="single" w:color="auto" w:sz="2" w:space="0"/>
              <w:bottom w:val="single" w:color="auto" w:sz="2" w:space="0"/>
              <w:right w:val="single" w:color="auto" w:sz="2" w:space="0"/>
            </w:tcBorders>
            <w:vAlign w:val="center"/>
          </w:tcPr>
          <w:p w14:paraId="5CFCFC6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25%，20%，15%，16.5%</w:t>
            </w:r>
          </w:p>
        </w:tc>
      </w:tr>
    </w:tbl>
    <w:p w14:paraId="1B5E44CC">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存在不同企业所得税税率纳税主体的，披露情况说明</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151C3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986386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纳税主体名称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248968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所得税税率</w:t>
            </w:r>
          </w:p>
        </w:tc>
      </w:tr>
      <w:tr w14:paraId="25F4F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6251DE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冠昊生物科技股份有限公司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B7860F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w:t>
            </w:r>
          </w:p>
        </w:tc>
      </w:tr>
      <w:tr w14:paraId="02E9F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ACC88C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广东中昊药业有限公司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ED3B70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w:t>
            </w:r>
          </w:p>
        </w:tc>
      </w:tr>
      <w:tr w14:paraId="487E7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C69869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北昊干细胞与再生医学研究院有限公司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F2C8CE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w:t>
            </w:r>
          </w:p>
        </w:tc>
      </w:tr>
      <w:tr w14:paraId="353DB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D88051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武汉北度生物科技有限公司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28D301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w:t>
            </w:r>
          </w:p>
        </w:tc>
      </w:tr>
      <w:tr w14:paraId="696D7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DB0237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上海冠昊医疗器械有限公司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10F89E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r>
      <w:tr w14:paraId="51DB7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99BF5B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广东冠昊生物医用材料开发有限公司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752354C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r>
      <w:tr w14:paraId="549DC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B2FB0D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杭州明兴生物科技有限公司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298D109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r>
      <w:tr w14:paraId="05AC0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41EA2E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北京申佑医学研究有限公司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401770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r>
      <w:tr w14:paraId="10B6C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C991EE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冠昊再生型医用植入器械国家工程实验室有限公司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79C1F9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r>
      <w:tr w14:paraId="3093D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8FF5D4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珠海市祥乐医疗器械有限公司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93C9BA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r>
      <w:tr w14:paraId="2B65E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33701F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广东昊赛科技企业孵化器有限公司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D25D1C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r>
      <w:tr w14:paraId="19EE3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0B8B6F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北京文丰天济医药科技有限公司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F47136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r>
      <w:tr w14:paraId="0D770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EBBAEA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广州百尼夫生物科技有限公司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9636A0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r>
      <w:tr w14:paraId="14775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DAA3B4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北京军科正昊生物科技有限公司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B6B532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r>
      <w:tr w14:paraId="58A70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4530C4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中山市天昊医疗器械有限公司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6B9275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r>
      <w:tr w14:paraId="0F2A5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C17B3F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广州祥乐生物科技有限公司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2369AF1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r>
      <w:tr w14:paraId="28367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EF610B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广州聚明生物科技有限公司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C2FB84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r>
      <w:tr w14:paraId="030A6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81280C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广州天佑北昊生物科技有限公司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72DEF0D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r>
      <w:tr w14:paraId="4964F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271B60A">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广东冠昊再生医学科技开发有限公司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79AEE8F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w:t>
            </w:r>
          </w:p>
        </w:tc>
      </w:tr>
      <w:tr w14:paraId="2EF25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DBAA61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冠昊生命健康科技园有限公司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262F0808">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w:t>
            </w:r>
          </w:p>
        </w:tc>
      </w:tr>
      <w:tr w14:paraId="301C6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615FC8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中山天昊科技园有限公司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E055C0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w:t>
            </w:r>
          </w:p>
        </w:tc>
      </w:tr>
      <w:tr w14:paraId="1A3F6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7E11E1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广东冠昊华南细胞库有限公司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2B11EAE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w:t>
            </w:r>
          </w:p>
        </w:tc>
      </w:tr>
      <w:tr w14:paraId="432F5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C57908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广东天昊药业有限公司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36B027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w:t>
            </w:r>
          </w:p>
        </w:tc>
      </w:tr>
      <w:tr w14:paraId="6877F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D4BD97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冠昊生物科技（香港）有限公司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31F0D4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16.50%</w:t>
            </w:r>
          </w:p>
        </w:tc>
      </w:tr>
      <w:tr w14:paraId="778BF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E8BABFE">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祥乐医药（香港）有限公司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578D8D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16.50%</w:t>
            </w:r>
          </w:p>
        </w:tc>
      </w:tr>
      <w:tr w14:paraId="17ACE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B1DAC2F">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耀昌国际贸易有限公司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5CFB1A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16.50%</w:t>
            </w:r>
          </w:p>
        </w:tc>
      </w:tr>
      <w:tr w14:paraId="4E47F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2221A8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北京宏冠再生医学科技有限公司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CB3C36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w:t>
            </w:r>
          </w:p>
        </w:tc>
      </w:tr>
      <w:tr w14:paraId="1E8D5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A96706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北京天佑启元生物科技有限公司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2BA2A0B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w:t>
            </w:r>
          </w:p>
        </w:tc>
      </w:tr>
    </w:tbl>
    <w:p w14:paraId="0B813493">
      <w:pPr>
        <w:pStyle w:val="3"/>
        <w:keepNext/>
        <w:keepLines/>
        <w:spacing w:before="300" w:after="300" w:line="280" w:lineRule="exact"/>
        <w:jc w:val="left"/>
        <w:outlineLvl w:val="2"/>
        <w:rPr>
          <w:rFonts w:hint="default" w:ascii="Times New Roman" w:hAnsi="Times New Roman" w:eastAsia="宋体" w:cs="Times New Roman"/>
          <w:b/>
          <w:bCs/>
          <w:sz w:val="21"/>
          <w:szCs w:val="21"/>
        </w:rPr>
      </w:pPr>
      <w:bookmarkStart w:id="277" w:name="_Toc989088"/>
      <w:r>
        <w:rPr>
          <w:rFonts w:hint="default" w:ascii="Times New Roman" w:hAnsi="Times New Roman" w:eastAsia="宋体" w:cs="Times New Roman"/>
          <w:b/>
          <w:bCs/>
          <w:sz w:val="21"/>
          <w:szCs w:val="21"/>
        </w:rPr>
        <w:t>2、税收优惠</w:t>
      </w:r>
      <w:bookmarkEnd w:id="277"/>
    </w:p>
    <w:p w14:paraId="5898489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cs="Times New Roman"/>
          <w:sz w:val="18"/>
          <w:szCs w:val="18"/>
        </w:rPr>
      </w:pPr>
      <w:r>
        <w:rPr>
          <w:rFonts w:hint="default" w:ascii="Times New Roman" w:hAnsi="Times New Roman" w:eastAsia="宋体" w:cs="Times New Roman"/>
          <w:sz w:val="18"/>
          <w:szCs w:val="18"/>
        </w:rPr>
        <w:t>1.2024年12月11日，本公司获得由广东省科学技术厅批准的《高新技术企业证书》，证书编号：GR202444008686,该证书有效期三年。2025年本公司按照15%的所得税税率征收。</w:t>
      </w:r>
    </w:p>
    <w:p w14:paraId="7332BA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cs="Times New Roman"/>
          <w:sz w:val="18"/>
          <w:szCs w:val="18"/>
        </w:rPr>
      </w:pPr>
      <w:r>
        <w:rPr>
          <w:rFonts w:hint="default" w:ascii="Times New Roman" w:hAnsi="Times New Roman" w:eastAsia="宋体" w:cs="Times New Roman"/>
          <w:sz w:val="18"/>
          <w:szCs w:val="18"/>
        </w:rPr>
        <w:t>2.2024年11月19日，本公司的子公司广东中昊药业有限公司获得由广东省科学技术厅批准的《高新技术企业证书》，证书编号：GR202444001771,该证书有效期三年。2025年广东中昊药业有限公司按照15%的所得税税率征收。</w:t>
      </w:r>
    </w:p>
    <w:p w14:paraId="4340036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cs="Times New Roman"/>
          <w:sz w:val="18"/>
          <w:szCs w:val="18"/>
        </w:rPr>
      </w:pPr>
      <w:r>
        <w:rPr>
          <w:rFonts w:hint="default" w:ascii="Times New Roman" w:hAnsi="Times New Roman" w:eastAsia="宋体" w:cs="Times New Roman"/>
          <w:sz w:val="18"/>
          <w:szCs w:val="18"/>
        </w:rPr>
        <w:t>3.2025年12月19日，本公司的子公司北昊干细胞与再生医学研究院有限公司获得由广东省科学技术厅批准的《高新技术企业证书》，证书编号：GR202544008669，该证书有效期限三年。2025年北昊干细胞与再生医学研究院有限公司按照15%的所得税税率征收。</w:t>
      </w:r>
    </w:p>
    <w:p w14:paraId="7A8D87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cs="Times New Roman"/>
          <w:sz w:val="18"/>
          <w:szCs w:val="18"/>
        </w:rPr>
      </w:pPr>
      <w:r>
        <w:rPr>
          <w:rFonts w:hint="default" w:ascii="Times New Roman" w:hAnsi="Times New Roman" w:eastAsia="宋体" w:cs="Times New Roman"/>
          <w:sz w:val="18"/>
          <w:szCs w:val="18"/>
        </w:rPr>
        <w:t>4.2024年12月24日，本公司的孙公司武汉北度生物科技有限公司获得由湖北省科学技术厅批准的《高新技术企业证书》，证书编号：GR202442005400，该证书有效期限三年。2025年武汉北度生物科技有限公司按照15%的所得税税率征收。</w:t>
      </w:r>
    </w:p>
    <w:p w14:paraId="012148D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cs="Times New Roman"/>
          <w:sz w:val="18"/>
          <w:szCs w:val="18"/>
        </w:rPr>
      </w:pPr>
      <w:r>
        <w:rPr>
          <w:rFonts w:hint="default" w:ascii="Times New Roman" w:hAnsi="Times New Roman" w:eastAsia="宋体" w:cs="Times New Roman"/>
          <w:sz w:val="18"/>
          <w:szCs w:val="18"/>
        </w:rPr>
        <w:t>5.根据《关于进一步实施小微企业所得税优惠政策的公告》（财政部 税务总局公告2022年第13号）文件有关规定，自2022年1月1日至2024年12月31日，对小型微利企业年应纳税所得额超过100万元但不超过300万元的部分，减按25%计入应纳税所得额，按20%的税率缴纳企业所得税。根据《关于实施小微企业和个体工商户所得税优惠政策的公告》（财政部 税务总局公告2023年第6号）的文件规定，自2023年1月1日至2024年12月31日，对小型微利企业年应纳税所得额不超过100万元的部分，减按25%计入应纳税所得额，按20%的税率缴纳企业所得税。</w:t>
      </w:r>
    </w:p>
    <w:p w14:paraId="4DEC4F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cs="Times New Roman"/>
          <w:sz w:val="18"/>
          <w:szCs w:val="18"/>
        </w:rPr>
      </w:pPr>
      <w:r>
        <w:rPr>
          <w:rFonts w:hint="default" w:ascii="Times New Roman" w:hAnsi="Times New Roman" w:eastAsia="宋体" w:cs="Times New Roman"/>
          <w:sz w:val="18"/>
          <w:szCs w:val="18"/>
        </w:rPr>
        <w:t>根据《关于进一步支持小微企业和个体工商户发展有关税费政策的公告》（财政部 税务总局公告2023年第12号）的文件规定，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对小型微利企业减按25%计算应纳税所得额，按20%的税率缴纳企业所得税政策，延续执行至2027年12月31日。本期公司子公司在符合小微企业的情况下，适用小微企业相关优惠税率缴纳企业所得税及其他税费。</w:t>
      </w:r>
    </w:p>
    <w:p w14:paraId="061FD529">
      <w:pPr>
        <w:pStyle w:val="2"/>
        <w:keepNext/>
        <w:keepLines/>
        <w:spacing w:before="300" w:after="300" w:line="320" w:lineRule="exact"/>
        <w:jc w:val="left"/>
        <w:outlineLvl w:val="1"/>
        <w:rPr>
          <w:rFonts w:ascii="宋体" w:hAnsi="宋体" w:eastAsia="宋体" w:cs="宋体"/>
          <w:b/>
          <w:bCs/>
          <w:sz w:val="24"/>
          <w:szCs w:val="24"/>
        </w:rPr>
      </w:pPr>
      <w:bookmarkStart w:id="278" w:name="_Toc2979"/>
      <w:bookmarkStart w:id="279" w:name="_Toc989089"/>
      <w:r>
        <w:rPr>
          <w:rFonts w:ascii="宋体" w:hAnsi="宋体" w:eastAsia="宋体" w:cs="宋体"/>
          <w:b/>
          <w:bCs/>
          <w:sz w:val="24"/>
          <w:szCs w:val="24"/>
        </w:rPr>
        <w:t>七、合并财务报表项目注释</w:t>
      </w:r>
      <w:bookmarkEnd w:id="278"/>
      <w:bookmarkEnd w:id="279"/>
    </w:p>
    <w:p w14:paraId="354EB355">
      <w:pPr>
        <w:pStyle w:val="3"/>
        <w:keepNext/>
        <w:keepLines/>
        <w:spacing w:before="300" w:after="300" w:line="280" w:lineRule="exact"/>
        <w:jc w:val="left"/>
        <w:outlineLvl w:val="2"/>
        <w:rPr>
          <w:rFonts w:ascii="宋体" w:hAnsi="宋体" w:eastAsia="宋体" w:cs="宋体"/>
          <w:b/>
          <w:bCs/>
          <w:sz w:val="21"/>
          <w:szCs w:val="21"/>
        </w:rPr>
      </w:pPr>
      <w:bookmarkStart w:id="280" w:name="_Toc989090"/>
      <w:r>
        <w:rPr>
          <w:rFonts w:hint="default" w:ascii="Times New Roman" w:hAnsi="Times New Roman" w:eastAsia="宋体" w:cs="Times New Roman"/>
          <w:b/>
          <w:bCs/>
          <w:sz w:val="21"/>
          <w:szCs w:val="21"/>
        </w:rPr>
        <w:t>1</w:t>
      </w:r>
      <w:r>
        <w:rPr>
          <w:rFonts w:ascii="宋体" w:hAnsi="宋体" w:eastAsia="宋体" w:cs="宋体"/>
          <w:b/>
          <w:bCs/>
          <w:sz w:val="21"/>
          <w:szCs w:val="21"/>
        </w:rPr>
        <w:t>、货币资金</w:t>
      </w:r>
      <w:bookmarkEnd w:id="280"/>
    </w:p>
    <w:p w14:paraId="04C3CD6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D54D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32042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EB017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1164F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期初余额</w:t>
            </w:r>
          </w:p>
        </w:tc>
      </w:tr>
      <w:tr w14:paraId="52816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C2733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14:paraId="604CAD1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160,604,712.50</w:t>
            </w:r>
          </w:p>
        </w:tc>
        <w:tc>
          <w:tcPr>
            <w:tcW w:w="3213" w:type="dxa"/>
            <w:tcBorders>
              <w:top w:val="single" w:color="auto" w:sz="2" w:space="0"/>
              <w:left w:val="single" w:color="auto" w:sz="2" w:space="0"/>
              <w:bottom w:val="single" w:color="auto" w:sz="2" w:space="0"/>
              <w:right w:val="single" w:color="auto" w:sz="2" w:space="0"/>
            </w:tcBorders>
            <w:vAlign w:val="center"/>
          </w:tcPr>
          <w:p w14:paraId="075C785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106,780,152.15</w:t>
            </w:r>
          </w:p>
        </w:tc>
      </w:tr>
      <w:tr w14:paraId="55EFF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7A3F7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E561B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160,604,712.50</w:t>
            </w:r>
          </w:p>
        </w:tc>
        <w:tc>
          <w:tcPr>
            <w:tcW w:w="3213" w:type="dxa"/>
            <w:tcBorders>
              <w:top w:val="single" w:color="auto" w:sz="2" w:space="0"/>
              <w:left w:val="single" w:color="auto" w:sz="2" w:space="0"/>
              <w:bottom w:val="single" w:color="auto" w:sz="2" w:space="0"/>
              <w:right w:val="single" w:color="auto" w:sz="2" w:space="0"/>
            </w:tcBorders>
            <w:vAlign w:val="center"/>
          </w:tcPr>
          <w:p w14:paraId="6847E8C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106,780,152.15</w:t>
            </w:r>
          </w:p>
        </w:tc>
      </w:tr>
    </w:tbl>
    <w:p w14:paraId="15C10A99">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0FEAC7E4">
      <w:pPr>
        <w:pStyle w:val="3"/>
        <w:keepNext/>
        <w:keepLines/>
        <w:spacing w:before="300" w:after="300" w:line="280" w:lineRule="exact"/>
        <w:jc w:val="left"/>
        <w:outlineLvl w:val="2"/>
        <w:rPr>
          <w:rFonts w:ascii="宋体" w:hAnsi="宋体" w:eastAsia="宋体" w:cs="宋体"/>
          <w:b/>
          <w:bCs/>
          <w:sz w:val="21"/>
          <w:szCs w:val="21"/>
        </w:rPr>
      </w:pPr>
      <w:bookmarkStart w:id="281" w:name="_Toc989091"/>
      <w:r>
        <w:rPr>
          <w:rFonts w:hint="default" w:ascii="Times New Roman" w:hAnsi="Times New Roman" w:eastAsia="宋体" w:cs="Times New Roman"/>
          <w:b/>
          <w:bCs/>
          <w:sz w:val="21"/>
          <w:szCs w:val="21"/>
        </w:rPr>
        <w:t>2</w:t>
      </w:r>
      <w:r>
        <w:rPr>
          <w:rFonts w:ascii="宋体" w:hAnsi="宋体" w:eastAsia="宋体" w:cs="宋体"/>
          <w:b/>
          <w:bCs/>
          <w:sz w:val="21"/>
          <w:szCs w:val="21"/>
        </w:rPr>
        <w:t>、应收账款</w:t>
      </w:r>
      <w:bookmarkEnd w:id="281"/>
    </w:p>
    <w:p w14:paraId="7BBDCB61">
      <w:pPr>
        <w:keepNext/>
        <w:keepLines/>
        <w:spacing w:before="300" w:after="300" w:line="280" w:lineRule="exact"/>
        <w:jc w:val="left"/>
        <w:outlineLvl w:val="3"/>
        <w:rPr>
          <w:rFonts w:ascii="宋体" w:hAnsi="宋体" w:eastAsia="宋体" w:cs="宋体"/>
          <w:b/>
          <w:bCs/>
          <w:sz w:val="21"/>
          <w:szCs w:val="21"/>
        </w:rPr>
      </w:pPr>
      <w:bookmarkStart w:id="282" w:name="_Toc989092"/>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按账龄披露</w:t>
      </w:r>
      <w:bookmarkEnd w:id="282"/>
    </w:p>
    <w:p w14:paraId="33BEB3B2">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FE6E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553033">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1DB3C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0BB4F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期初账面余额</w:t>
            </w:r>
          </w:p>
        </w:tc>
      </w:tr>
      <w:tr w14:paraId="0BA67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7BB2E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14:paraId="291696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43,476,697.28</w:t>
            </w:r>
          </w:p>
        </w:tc>
        <w:tc>
          <w:tcPr>
            <w:tcW w:w="3213" w:type="dxa"/>
            <w:tcBorders>
              <w:top w:val="single" w:color="auto" w:sz="2" w:space="0"/>
              <w:left w:val="single" w:color="auto" w:sz="2" w:space="0"/>
              <w:bottom w:val="single" w:color="auto" w:sz="2" w:space="0"/>
              <w:right w:val="single" w:color="auto" w:sz="2" w:space="0"/>
            </w:tcBorders>
            <w:vAlign w:val="center"/>
          </w:tcPr>
          <w:p w14:paraId="1B27CDF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44,521,002.55</w:t>
            </w:r>
          </w:p>
        </w:tc>
      </w:tr>
      <w:tr w14:paraId="325DE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7DFAC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14:paraId="7BEA868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5,723,953.38</w:t>
            </w:r>
          </w:p>
        </w:tc>
        <w:tc>
          <w:tcPr>
            <w:tcW w:w="3213" w:type="dxa"/>
            <w:tcBorders>
              <w:top w:val="single" w:color="auto" w:sz="2" w:space="0"/>
              <w:left w:val="single" w:color="auto" w:sz="2" w:space="0"/>
              <w:bottom w:val="single" w:color="auto" w:sz="2" w:space="0"/>
              <w:right w:val="single" w:color="auto" w:sz="2" w:space="0"/>
            </w:tcBorders>
            <w:vAlign w:val="center"/>
          </w:tcPr>
          <w:p w14:paraId="222BB6A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5,097,401.68</w:t>
            </w:r>
          </w:p>
        </w:tc>
      </w:tr>
      <w:tr w14:paraId="5B15A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282A92">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2至3年</w:t>
            </w:r>
          </w:p>
        </w:tc>
        <w:tc>
          <w:tcPr>
            <w:tcW w:w="3213" w:type="dxa"/>
            <w:tcBorders>
              <w:top w:val="single" w:color="auto" w:sz="2" w:space="0"/>
              <w:left w:val="single" w:color="auto" w:sz="2" w:space="0"/>
              <w:bottom w:val="single" w:color="auto" w:sz="2" w:space="0"/>
              <w:right w:val="single" w:color="auto" w:sz="2" w:space="0"/>
            </w:tcBorders>
            <w:vAlign w:val="center"/>
          </w:tcPr>
          <w:p w14:paraId="2EC8DDC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3,105,057.55</w:t>
            </w:r>
          </w:p>
        </w:tc>
        <w:tc>
          <w:tcPr>
            <w:tcW w:w="3213" w:type="dxa"/>
            <w:tcBorders>
              <w:top w:val="single" w:color="auto" w:sz="2" w:space="0"/>
              <w:left w:val="single" w:color="auto" w:sz="2" w:space="0"/>
              <w:bottom w:val="single" w:color="auto" w:sz="2" w:space="0"/>
              <w:right w:val="single" w:color="auto" w:sz="2" w:space="0"/>
            </w:tcBorders>
            <w:vAlign w:val="center"/>
          </w:tcPr>
          <w:p w14:paraId="47BA3CC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3,216,261.73</w:t>
            </w:r>
          </w:p>
        </w:tc>
      </w:tr>
      <w:tr w14:paraId="29724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0A517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14:paraId="6C181E3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43,915,960.70</w:t>
            </w:r>
          </w:p>
        </w:tc>
        <w:tc>
          <w:tcPr>
            <w:tcW w:w="3213" w:type="dxa"/>
            <w:tcBorders>
              <w:top w:val="single" w:color="auto" w:sz="2" w:space="0"/>
              <w:left w:val="single" w:color="auto" w:sz="2" w:space="0"/>
              <w:bottom w:val="single" w:color="auto" w:sz="2" w:space="0"/>
              <w:right w:val="single" w:color="auto" w:sz="2" w:space="0"/>
            </w:tcBorders>
            <w:vAlign w:val="center"/>
          </w:tcPr>
          <w:p w14:paraId="74841D7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50,177,964.72</w:t>
            </w:r>
          </w:p>
        </w:tc>
      </w:tr>
      <w:tr w14:paraId="1C7F4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864350">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14:paraId="5FBEEEA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1,622,107.68</w:t>
            </w:r>
          </w:p>
        </w:tc>
        <w:tc>
          <w:tcPr>
            <w:tcW w:w="3213" w:type="dxa"/>
            <w:tcBorders>
              <w:top w:val="single" w:color="auto" w:sz="2" w:space="0"/>
              <w:left w:val="single" w:color="auto" w:sz="2" w:space="0"/>
              <w:bottom w:val="single" w:color="auto" w:sz="2" w:space="0"/>
              <w:right w:val="single" w:color="auto" w:sz="2" w:space="0"/>
            </w:tcBorders>
            <w:vAlign w:val="center"/>
          </w:tcPr>
          <w:p w14:paraId="643BBC2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13,821,228.05</w:t>
            </w:r>
          </w:p>
        </w:tc>
      </w:tr>
      <w:tr w14:paraId="62560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04C717">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14:paraId="3D02D7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6,372,105.90</w:t>
            </w:r>
          </w:p>
        </w:tc>
        <w:tc>
          <w:tcPr>
            <w:tcW w:w="3213" w:type="dxa"/>
            <w:tcBorders>
              <w:top w:val="single" w:color="auto" w:sz="2" w:space="0"/>
              <w:left w:val="single" w:color="auto" w:sz="2" w:space="0"/>
              <w:bottom w:val="single" w:color="auto" w:sz="2" w:space="0"/>
              <w:right w:val="single" w:color="auto" w:sz="2" w:space="0"/>
            </w:tcBorders>
            <w:vAlign w:val="center"/>
          </w:tcPr>
          <w:p w14:paraId="227AEE8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8,601,428.00</w:t>
            </w:r>
          </w:p>
        </w:tc>
      </w:tr>
      <w:tr w14:paraId="786C4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97A0C3">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14:paraId="084BB91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35,921,747.12</w:t>
            </w:r>
          </w:p>
        </w:tc>
        <w:tc>
          <w:tcPr>
            <w:tcW w:w="3213" w:type="dxa"/>
            <w:tcBorders>
              <w:top w:val="single" w:color="auto" w:sz="2" w:space="0"/>
              <w:left w:val="single" w:color="auto" w:sz="2" w:space="0"/>
              <w:bottom w:val="single" w:color="auto" w:sz="2" w:space="0"/>
              <w:right w:val="single" w:color="auto" w:sz="2" w:space="0"/>
            </w:tcBorders>
            <w:vAlign w:val="center"/>
          </w:tcPr>
          <w:p w14:paraId="32D0FD0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27,755,308.67</w:t>
            </w:r>
          </w:p>
        </w:tc>
      </w:tr>
      <w:tr w14:paraId="54082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8D3001">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B4529B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96,221,668.91</w:t>
            </w:r>
          </w:p>
        </w:tc>
        <w:tc>
          <w:tcPr>
            <w:tcW w:w="3213" w:type="dxa"/>
            <w:tcBorders>
              <w:top w:val="single" w:color="auto" w:sz="2" w:space="0"/>
              <w:left w:val="single" w:color="auto" w:sz="2" w:space="0"/>
              <w:bottom w:val="single" w:color="auto" w:sz="2" w:space="0"/>
              <w:right w:val="single" w:color="auto" w:sz="2" w:space="0"/>
            </w:tcBorders>
            <w:vAlign w:val="center"/>
          </w:tcPr>
          <w:p w14:paraId="2DDD249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103,012,630.68</w:t>
            </w:r>
          </w:p>
        </w:tc>
      </w:tr>
    </w:tbl>
    <w:p w14:paraId="31CDFCF8">
      <w:pPr>
        <w:keepNext/>
        <w:keepLines/>
        <w:spacing w:before="300" w:after="300" w:line="280" w:lineRule="exact"/>
        <w:jc w:val="left"/>
        <w:outlineLvl w:val="3"/>
        <w:rPr>
          <w:rFonts w:ascii="宋体" w:hAnsi="宋体" w:eastAsia="宋体" w:cs="宋体"/>
          <w:b/>
          <w:bCs/>
          <w:sz w:val="21"/>
          <w:szCs w:val="21"/>
        </w:rPr>
      </w:pPr>
      <w:bookmarkStart w:id="283" w:name="_Toc989093"/>
      <w:r>
        <w:rPr>
          <w:rFonts w:ascii="宋体" w:hAnsi="宋体" w:eastAsia="宋体" w:cs="宋体"/>
          <w:b/>
          <w:bCs/>
          <w:sz w:val="21"/>
          <w:szCs w:val="21"/>
        </w:rPr>
        <w:t>（</w:t>
      </w:r>
      <w:r>
        <w:rPr>
          <w:rFonts w:hint="default" w:ascii="Times New Roman" w:hAnsi="Times New Roman" w:eastAsia="宋体" w:cs="Times New Roman"/>
          <w:b/>
          <w:bCs/>
          <w:sz w:val="21"/>
          <w:szCs w:val="21"/>
        </w:rPr>
        <w:t>2</w:t>
      </w:r>
      <w:r>
        <w:rPr>
          <w:rFonts w:ascii="宋体" w:hAnsi="宋体" w:eastAsia="宋体" w:cs="宋体"/>
          <w:b/>
          <w:bCs/>
          <w:sz w:val="21"/>
          <w:szCs w:val="21"/>
        </w:rPr>
        <w:t>） 按坏账计提方法分类披露</w:t>
      </w:r>
      <w:bookmarkEnd w:id="283"/>
    </w:p>
    <w:p w14:paraId="4D1B18B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14:paraId="28CA1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A9EF56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0F5C461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3D2B9465">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期初余额</w:t>
            </w:r>
          </w:p>
        </w:tc>
      </w:tr>
      <w:tr w14:paraId="0C0B0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DB30A27">
            <w:pPr>
              <w:rPr>
                <w:rFonts w:hint="default" w:ascii="Times New Roman" w:hAnsi="Times New Roman" w:cs="Times New Roman"/>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F4A8B01">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1D4D80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E05244E">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752C67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7FC0052">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E983EAF">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账面价值</w:t>
            </w:r>
          </w:p>
        </w:tc>
      </w:tr>
      <w:tr w14:paraId="1279D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64F1FA1">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04D4280">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0B4A84D">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3FBA84B">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1C9EFE7">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28A924B">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DA2EBF4">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69E2D3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218B91A">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AAF72C9">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B76A928">
            <w:pPr>
              <w:rPr>
                <w:rFonts w:hint="default" w:ascii="Times New Roman" w:hAnsi="Times New Roman" w:cs="Times New Roman"/>
              </w:rPr>
            </w:pPr>
          </w:p>
        </w:tc>
      </w:tr>
      <w:tr w14:paraId="2B844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66BBBA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14:paraId="481A37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3,486,461.20</w:t>
            </w:r>
          </w:p>
        </w:tc>
        <w:tc>
          <w:tcPr>
            <w:tcW w:w="876" w:type="dxa"/>
            <w:tcBorders>
              <w:top w:val="single" w:color="auto" w:sz="2" w:space="0"/>
              <w:left w:val="single" w:color="auto" w:sz="2" w:space="0"/>
              <w:bottom w:val="single" w:color="auto" w:sz="2" w:space="0"/>
              <w:right w:val="single" w:color="auto" w:sz="2" w:space="0"/>
            </w:tcBorders>
            <w:vAlign w:val="center"/>
          </w:tcPr>
          <w:p w14:paraId="3FF9293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3.62%</w:t>
            </w:r>
          </w:p>
        </w:tc>
        <w:tc>
          <w:tcPr>
            <w:tcW w:w="876" w:type="dxa"/>
            <w:tcBorders>
              <w:top w:val="single" w:color="auto" w:sz="2" w:space="0"/>
              <w:left w:val="single" w:color="auto" w:sz="2" w:space="0"/>
              <w:bottom w:val="single" w:color="auto" w:sz="2" w:space="0"/>
              <w:right w:val="single" w:color="auto" w:sz="2" w:space="0"/>
            </w:tcBorders>
            <w:vAlign w:val="center"/>
          </w:tcPr>
          <w:p w14:paraId="5FB6706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3,486,461.20</w:t>
            </w:r>
          </w:p>
        </w:tc>
        <w:tc>
          <w:tcPr>
            <w:tcW w:w="876" w:type="dxa"/>
            <w:tcBorders>
              <w:top w:val="single" w:color="auto" w:sz="2" w:space="0"/>
              <w:left w:val="single" w:color="auto" w:sz="2" w:space="0"/>
              <w:bottom w:val="single" w:color="auto" w:sz="2" w:space="0"/>
              <w:right w:val="single" w:color="auto" w:sz="2" w:space="0"/>
            </w:tcBorders>
            <w:vAlign w:val="center"/>
          </w:tcPr>
          <w:p w14:paraId="3B5EDBF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1CF4D98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876" w:type="dxa"/>
            <w:tcBorders>
              <w:top w:val="single" w:color="auto" w:sz="2" w:space="0"/>
              <w:left w:val="single" w:color="auto" w:sz="2" w:space="0"/>
              <w:bottom w:val="single" w:color="auto" w:sz="2" w:space="0"/>
              <w:right w:val="single" w:color="auto" w:sz="2" w:space="0"/>
            </w:tcBorders>
            <w:vAlign w:val="center"/>
          </w:tcPr>
          <w:p w14:paraId="180D77E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3,529,091.20</w:t>
            </w:r>
          </w:p>
        </w:tc>
        <w:tc>
          <w:tcPr>
            <w:tcW w:w="876" w:type="dxa"/>
            <w:tcBorders>
              <w:top w:val="single" w:color="auto" w:sz="2" w:space="0"/>
              <w:left w:val="single" w:color="auto" w:sz="2" w:space="0"/>
              <w:bottom w:val="single" w:color="auto" w:sz="2" w:space="0"/>
              <w:right w:val="single" w:color="auto" w:sz="2" w:space="0"/>
            </w:tcBorders>
            <w:vAlign w:val="center"/>
          </w:tcPr>
          <w:p w14:paraId="166078A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3.43%</w:t>
            </w:r>
          </w:p>
        </w:tc>
        <w:tc>
          <w:tcPr>
            <w:tcW w:w="876" w:type="dxa"/>
            <w:tcBorders>
              <w:top w:val="single" w:color="auto" w:sz="2" w:space="0"/>
              <w:left w:val="single" w:color="auto" w:sz="2" w:space="0"/>
              <w:bottom w:val="single" w:color="auto" w:sz="2" w:space="0"/>
              <w:right w:val="single" w:color="auto" w:sz="2" w:space="0"/>
            </w:tcBorders>
            <w:vAlign w:val="center"/>
          </w:tcPr>
          <w:p w14:paraId="74AE1E6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3,529,091.20</w:t>
            </w:r>
          </w:p>
        </w:tc>
        <w:tc>
          <w:tcPr>
            <w:tcW w:w="876" w:type="dxa"/>
            <w:tcBorders>
              <w:top w:val="single" w:color="auto" w:sz="2" w:space="0"/>
              <w:left w:val="single" w:color="auto" w:sz="2" w:space="0"/>
              <w:bottom w:val="single" w:color="auto" w:sz="2" w:space="0"/>
              <w:right w:val="single" w:color="auto" w:sz="2" w:space="0"/>
            </w:tcBorders>
            <w:vAlign w:val="center"/>
          </w:tcPr>
          <w:p w14:paraId="5B3148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5FA050C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14:paraId="066AD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40C2085">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5C68636">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8B55C75">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4367456">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5C815C9">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81181BA">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35E1CF6">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B21E35D">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F1C4967">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50E3D6E">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3CBEF11">
            <w:pPr>
              <w:rPr>
                <w:rFonts w:hint="default" w:ascii="Times New Roman" w:hAnsi="Times New Roman" w:cs="Times New Roman"/>
              </w:rPr>
            </w:pPr>
          </w:p>
        </w:tc>
      </w:tr>
      <w:tr w14:paraId="32754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84F653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14:paraId="1FAE32E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92,735,207.71</w:t>
            </w:r>
          </w:p>
        </w:tc>
        <w:tc>
          <w:tcPr>
            <w:tcW w:w="876" w:type="dxa"/>
            <w:tcBorders>
              <w:top w:val="single" w:color="auto" w:sz="2" w:space="0"/>
              <w:left w:val="single" w:color="auto" w:sz="2" w:space="0"/>
              <w:bottom w:val="single" w:color="auto" w:sz="2" w:space="0"/>
              <w:right w:val="single" w:color="auto" w:sz="2" w:space="0"/>
            </w:tcBorders>
            <w:vAlign w:val="center"/>
          </w:tcPr>
          <w:p w14:paraId="0706E20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96.38%</w:t>
            </w:r>
          </w:p>
        </w:tc>
        <w:tc>
          <w:tcPr>
            <w:tcW w:w="876" w:type="dxa"/>
            <w:tcBorders>
              <w:top w:val="single" w:color="auto" w:sz="2" w:space="0"/>
              <w:left w:val="single" w:color="auto" w:sz="2" w:space="0"/>
              <w:bottom w:val="single" w:color="auto" w:sz="2" w:space="0"/>
              <w:right w:val="single" w:color="auto" w:sz="2" w:space="0"/>
            </w:tcBorders>
            <w:vAlign w:val="center"/>
          </w:tcPr>
          <w:p w14:paraId="4EAE1CE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40,282,704.05</w:t>
            </w:r>
          </w:p>
        </w:tc>
        <w:tc>
          <w:tcPr>
            <w:tcW w:w="876" w:type="dxa"/>
            <w:tcBorders>
              <w:top w:val="single" w:color="auto" w:sz="2" w:space="0"/>
              <w:left w:val="single" w:color="auto" w:sz="2" w:space="0"/>
              <w:bottom w:val="single" w:color="auto" w:sz="2" w:space="0"/>
              <w:right w:val="single" w:color="auto" w:sz="2" w:space="0"/>
            </w:tcBorders>
            <w:vAlign w:val="center"/>
          </w:tcPr>
          <w:p w14:paraId="344BF3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43.44%</w:t>
            </w:r>
          </w:p>
        </w:tc>
        <w:tc>
          <w:tcPr>
            <w:tcW w:w="876" w:type="dxa"/>
            <w:tcBorders>
              <w:top w:val="single" w:color="auto" w:sz="2" w:space="0"/>
              <w:left w:val="single" w:color="auto" w:sz="2" w:space="0"/>
              <w:bottom w:val="single" w:color="auto" w:sz="2" w:space="0"/>
              <w:right w:val="single" w:color="auto" w:sz="2" w:space="0"/>
            </w:tcBorders>
            <w:vAlign w:val="center"/>
          </w:tcPr>
          <w:p w14:paraId="2CE7673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52,452,503.66</w:t>
            </w:r>
          </w:p>
        </w:tc>
        <w:tc>
          <w:tcPr>
            <w:tcW w:w="876" w:type="dxa"/>
            <w:tcBorders>
              <w:top w:val="single" w:color="auto" w:sz="2" w:space="0"/>
              <w:left w:val="single" w:color="auto" w:sz="2" w:space="0"/>
              <w:bottom w:val="single" w:color="auto" w:sz="2" w:space="0"/>
              <w:right w:val="single" w:color="auto" w:sz="2" w:space="0"/>
            </w:tcBorders>
            <w:vAlign w:val="center"/>
          </w:tcPr>
          <w:p w14:paraId="4A06917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99,483,539.48</w:t>
            </w:r>
          </w:p>
        </w:tc>
        <w:tc>
          <w:tcPr>
            <w:tcW w:w="876" w:type="dxa"/>
            <w:tcBorders>
              <w:top w:val="single" w:color="auto" w:sz="2" w:space="0"/>
              <w:left w:val="single" w:color="auto" w:sz="2" w:space="0"/>
              <w:bottom w:val="single" w:color="auto" w:sz="2" w:space="0"/>
              <w:right w:val="single" w:color="auto" w:sz="2" w:space="0"/>
            </w:tcBorders>
            <w:vAlign w:val="center"/>
          </w:tcPr>
          <w:p w14:paraId="1933D73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96.57%</w:t>
            </w:r>
          </w:p>
        </w:tc>
        <w:tc>
          <w:tcPr>
            <w:tcW w:w="876" w:type="dxa"/>
            <w:tcBorders>
              <w:top w:val="single" w:color="auto" w:sz="2" w:space="0"/>
              <w:left w:val="single" w:color="auto" w:sz="2" w:space="0"/>
              <w:bottom w:val="single" w:color="auto" w:sz="2" w:space="0"/>
              <w:right w:val="single" w:color="auto" w:sz="2" w:space="0"/>
            </w:tcBorders>
            <w:vAlign w:val="center"/>
          </w:tcPr>
          <w:p w14:paraId="1E1ADED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39,937,802.60</w:t>
            </w:r>
          </w:p>
        </w:tc>
        <w:tc>
          <w:tcPr>
            <w:tcW w:w="876" w:type="dxa"/>
            <w:tcBorders>
              <w:top w:val="single" w:color="auto" w:sz="2" w:space="0"/>
              <w:left w:val="single" w:color="auto" w:sz="2" w:space="0"/>
              <w:bottom w:val="single" w:color="auto" w:sz="2" w:space="0"/>
              <w:right w:val="single" w:color="auto" w:sz="2" w:space="0"/>
            </w:tcBorders>
            <w:vAlign w:val="center"/>
          </w:tcPr>
          <w:p w14:paraId="50F769D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40.15%</w:t>
            </w:r>
          </w:p>
        </w:tc>
        <w:tc>
          <w:tcPr>
            <w:tcW w:w="876" w:type="dxa"/>
            <w:tcBorders>
              <w:top w:val="single" w:color="auto" w:sz="2" w:space="0"/>
              <w:left w:val="single" w:color="auto" w:sz="2" w:space="0"/>
              <w:bottom w:val="single" w:color="auto" w:sz="2" w:space="0"/>
              <w:right w:val="single" w:color="auto" w:sz="2" w:space="0"/>
            </w:tcBorders>
            <w:vAlign w:val="center"/>
          </w:tcPr>
          <w:p w14:paraId="21CA0A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59,545,736.88</w:t>
            </w:r>
          </w:p>
        </w:tc>
      </w:tr>
      <w:tr w14:paraId="2A176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5853D3B">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8030EE9">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17A94F7">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8FA14D1">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99F4606">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DEED691">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5E60115">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045E5D6">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8FD9975">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084EBC5">
            <w:pPr>
              <w:rPr>
                <w:rFonts w:hint="default"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9E88ED4">
            <w:pPr>
              <w:rPr>
                <w:rFonts w:hint="default" w:ascii="Times New Roman" w:hAnsi="Times New Roman" w:cs="Times New Roman"/>
              </w:rPr>
            </w:pPr>
          </w:p>
        </w:tc>
      </w:tr>
      <w:tr w14:paraId="31D14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5968E03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组合1：账龄分析组合</w:t>
            </w:r>
          </w:p>
        </w:tc>
        <w:tc>
          <w:tcPr>
            <w:tcW w:w="876" w:type="dxa"/>
            <w:tcBorders>
              <w:top w:val="single" w:color="auto" w:sz="2" w:space="0"/>
              <w:left w:val="single" w:color="auto" w:sz="2" w:space="0"/>
              <w:bottom w:val="single" w:color="auto" w:sz="2" w:space="0"/>
              <w:right w:val="single" w:color="auto" w:sz="2" w:space="0"/>
            </w:tcBorders>
            <w:vAlign w:val="center"/>
          </w:tcPr>
          <w:p w14:paraId="6809DF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92,735,207.71</w:t>
            </w:r>
          </w:p>
        </w:tc>
        <w:tc>
          <w:tcPr>
            <w:tcW w:w="876" w:type="dxa"/>
            <w:tcBorders>
              <w:top w:val="single" w:color="auto" w:sz="2" w:space="0"/>
              <w:left w:val="single" w:color="auto" w:sz="2" w:space="0"/>
              <w:bottom w:val="single" w:color="auto" w:sz="2" w:space="0"/>
              <w:right w:val="single" w:color="auto" w:sz="2" w:space="0"/>
            </w:tcBorders>
            <w:vAlign w:val="center"/>
          </w:tcPr>
          <w:p w14:paraId="5B04CA5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96.38%</w:t>
            </w:r>
          </w:p>
        </w:tc>
        <w:tc>
          <w:tcPr>
            <w:tcW w:w="876" w:type="dxa"/>
            <w:tcBorders>
              <w:top w:val="single" w:color="auto" w:sz="2" w:space="0"/>
              <w:left w:val="single" w:color="auto" w:sz="2" w:space="0"/>
              <w:bottom w:val="single" w:color="auto" w:sz="2" w:space="0"/>
              <w:right w:val="single" w:color="auto" w:sz="2" w:space="0"/>
            </w:tcBorders>
            <w:vAlign w:val="center"/>
          </w:tcPr>
          <w:p w14:paraId="3637736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40,282,704.05</w:t>
            </w:r>
          </w:p>
        </w:tc>
        <w:tc>
          <w:tcPr>
            <w:tcW w:w="876" w:type="dxa"/>
            <w:tcBorders>
              <w:top w:val="single" w:color="auto" w:sz="2" w:space="0"/>
              <w:left w:val="single" w:color="auto" w:sz="2" w:space="0"/>
              <w:bottom w:val="single" w:color="auto" w:sz="2" w:space="0"/>
              <w:right w:val="single" w:color="auto" w:sz="2" w:space="0"/>
            </w:tcBorders>
            <w:vAlign w:val="center"/>
          </w:tcPr>
          <w:p w14:paraId="5BD1F80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43.44%</w:t>
            </w:r>
          </w:p>
        </w:tc>
        <w:tc>
          <w:tcPr>
            <w:tcW w:w="876" w:type="dxa"/>
            <w:tcBorders>
              <w:top w:val="single" w:color="auto" w:sz="2" w:space="0"/>
              <w:left w:val="single" w:color="auto" w:sz="2" w:space="0"/>
              <w:bottom w:val="single" w:color="auto" w:sz="2" w:space="0"/>
              <w:right w:val="single" w:color="auto" w:sz="2" w:space="0"/>
            </w:tcBorders>
            <w:vAlign w:val="center"/>
          </w:tcPr>
          <w:p w14:paraId="19F31C4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52,452,503.66</w:t>
            </w:r>
          </w:p>
        </w:tc>
        <w:tc>
          <w:tcPr>
            <w:tcW w:w="876" w:type="dxa"/>
            <w:tcBorders>
              <w:top w:val="single" w:color="auto" w:sz="2" w:space="0"/>
              <w:left w:val="single" w:color="auto" w:sz="2" w:space="0"/>
              <w:bottom w:val="single" w:color="auto" w:sz="2" w:space="0"/>
              <w:right w:val="single" w:color="auto" w:sz="2" w:space="0"/>
            </w:tcBorders>
            <w:vAlign w:val="center"/>
          </w:tcPr>
          <w:p w14:paraId="3B524E9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99,483,539.48</w:t>
            </w:r>
          </w:p>
        </w:tc>
        <w:tc>
          <w:tcPr>
            <w:tcW w:w="876" w:type="dxa"/>
            <w:tcBorders>
              <w:top w:val="single" w:color="auto" w:sz="2" w:space="0"/>
              <w:left w:val="single" w:color="auto" w:sz="2" w:space="0"/>
              <w:bottom w:val="single" w:color="auto" w:sz="2" w:space="0"/>
              <w:right w:val="single" w:color="auto" w:sz="2" w:space="0"/>
            </w:tcBorders>
            <w:vAlign w:val="center"/>
          </w:tcPr>
          <w:p w14:paraId="49C14A1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96.57%</w:t>
            </w:r>
          </w:p>
        </w:tc>
        <w:tc>
          <w:tcPr>
            <w:tcW w:w="876" w:type="dxa"/>
            <w:tcBorders>
              <w:top w:val="single" w:color="auto" w:sz="2" w:space="0"/>
              <w:left w:val="single" w:color="auto" w:sz="2" w:space="0"/>
              <w:bottom w:val="single" w:color="auto" w:sz="2" w:space="0"/>
              <w:right w:val="single" w:color="auto" w:sz="2" w:space="0"/>
            </w:tcBorders>
            <w:vAlign w:val="center"/>
          </w:tcPr>
          <w:p w14:paraId="28A5F9B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39,937,802.60</w:t>
            </w:r>
          </w:p>
        </w:tc>
        <w:tc>
          <w:tcPr>
            <w:tcW w:w="876" w:type="dxa"/>
            <w:tcBorders>
              <w:top w:val="single" w:color="auto" w:sz="2" w:space="0"/>
              <w:left w:val="single" w:color="auto" w:sz="2" w:space="0"/>
              <w:bottom w:val="single" w:color="auto" w:sz="2" w:space="0"/>
              <w:right w:val="single" w:color="auto" w:sz="2" w:space="0"/>
            </w:tcBorders>
            <w:vAlign w:val="center"/>
          </w:tcPr>
          <w:p w14:paraId="0334E33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40.15%</w:t>
            </w:r>
          </w:p>
        </w:tc>
        <w:tc>
          <w:tcPr>
            <w:tcW w:w="876" w:type="dxa"/>
            <w:tcBorders>
              <w:top w:val="single" w:color="auto" w:sz="2" w:space="0"/>
              <w:left w:val="single" w:color="auto" w:sz="2" w:space="0"/>
              <w:bottom w:val="single" w:color="auto" w:sz="2" w:space="0"/>
              <w:right w:val="single" w:color="auto" w:sz="2" w:space="0"/>
            </w:tcBorders>
            <w:vAlign w:val="center"/>
          </w:tcPr>
          <w:p w14:paraId="3B7CA53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59,545,736.88</w:t>
            </w:r>
          </w:p>
        </w:tc>
      </w:tr>
      <w:tr w14:paraId="20E6A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70ECF37">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14:paraId="60EFCB9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96,221,668.91</w:t>
            </w:r>
          </w:p>
        </w:tc>
        <w:tc>
          <w:tcPr>
            <w:tcW w:w="876" w:type="dxa"/>
            <w:tcBorders>
              <w:top w:val="single" w:color="auto" w:sz="2" w:space="0"/>
              <w:left w:val="single" w:color="auto" w:sz="2" w:space="0"/>
              <w:bottom w:val="single" w:color="auto" w:sz="2" w:space="0"/>
              <w:right w:val="single" w:color="auto" w:sz="2" w:space="0"/>
            </w:tcBorders>
            <w:vAlign w:val="center"/>
          </w:tcPr>
          <w:p w14:paraId="697034B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224F2A9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43,769,165.25</w:t>
            </w:r>
          </w:p>
        </w:tc>
        <w:tc>
          <w:tcPr>
            <w:tcW w:w="876" w:type="dxa"/>
            <w:tcBorders>
              <w:top w:val="single" w:color="auto" w:sz="2" w:space="0"/>
              <w:left w:val="single" w:color="auto" w:sz="2" w:space="0"/>
              <w:bottom w:val="single" w:color="auto" w:sz="2" w:space="0"/>
              <w:right w:val="single" w:color="auto" w:sz="2" w:space="0"/>
            </w:tcBorders>
            <w:vAlign w:val="center"/>
          </w:tcPr>
          <w:p w14:paraId="5650344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45.49%</w:t>
            </w:r>
          </w:p>
        </w:tc>
        <w:tc>
          <w:tcPr>
            <w:tcW w:w="876" w:type="dxa"/>
            <w:tcBorders>
              <w:top w:val="single" w:color="auto" w:sz="2" w:space="0"/>
              <w:left w:val="single" w:color="auto" w:sz="2" w:space="0"/>
              <w:bottom w:val="single" w:color="auto" w:sz="2" w:space="0"/>
              <w:right w:val="single" w:color="auto" w:sz="2" w:space="0"/>
            </w:tcBorders>
            <w:vAlign w:val="center"/>
          </w:tcPr>
          <w:p w14:paraId="7AAA442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52,452,503.66</w:t>
            </w:r>
          </w:p>
        </w:tc>
        <w:tc>
          <w:tcPr>
            <w:tcW w:w="876" w:type="dxa"/>
            <w:tcBorders>
              <w:top w:val="single" w:color="auto" w:sz="2" w:space="0"/>
              <w:left w:val="single" w:color="auto" w:sz="2" w:space="0"/>
              <w:bottom w:val="single" w:color="auto" w:sz="2" w:space="0"/>
              <w:right w:val="single" w:color="auto" w:sz="2" w:space="0"/>
            </w:tcBorders>
            <w:vAlign w:val="center"/>
          </w:tcPr>
          <w:p w14:paraId="30BC041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103,012,630.68</w:t>
            </w:r>
          </w:p>
        </w:tc>
        <w:tc>
          <w:tcPr>
            <w:tcW w:w="876" w:type="dxa"/>
            <w:tcBorders>
              <w:top w:val="single" w:color="auto" w:sz="2" w:space="0"/>
              <w:left w:val="single" w:color="auto" w:sz="2" w:space="0"/>
              <w:bottom w:val="single" w:color="auto" w:sz="2" w:space="0"/>
              <w:right w:val="single" w:color="auto" w:sz="2" w:space="0"/>
            </w:tcBorders>
            <w:vAlign w:val="center"/>
          </w:tcPr>
          <w:p w14:paraId="5EF93CD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152CA25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43,466,893.80</w:t>
            </w:r>
          </w:p>
        </w:tc>
        <w:tc>
          <w:tcPr>
            <w:tcW w:w="876" w:type="dxa"/>
            <w:tcBorders>
              <w:top w:val="single" w:color="auto" w:sz="2" w:space="0"/>
              <w:left w:val="single" w:color="auto" w:sz="2" w:space="0"/>
              <w:bottom w:val="single" w:color="auto" w:sz="2" w:space="0"/>
              <w:right w:val="single" w:color="auto" w:sz="2" w:space="0"/>
            </w:tcBorders>
            <w:vAlign w:val="center"/>
          </w:tcPr>
          <w:p w14:paraId="7024E43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42.20%</w:t>
            </w:r>
          </w:p>
        </w:tc>
        <w:tc>
          <w:tcPr>
            <w:tcW w:w="876" w:type="dxa"/>
            <w:tcBorders>
              <w:top w:val="single" w:color="auto" w:sz="2" w:space="0"/>
              <w:left w:val="single" w:color="auto" w:sz="2" w:space="0"/>
              <w:bottom w:val="single" w:color="auto" w:sz="2" w:space="0"/>
              <w:right w:val="single" w:color="auto" w:sz="2" w:space="0"/>
            </w:tcBorders>
            <w:vAlign w:val="center"/>
          </w:tcPr>
          <w:p w14:paraId="2AA0767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59,545,736.88</w:t>
            </w:r>
          </w:p>
        </w:tc>
      </w:tr>
    </w:tbl>
    <w:p w14:paraId="371ADF26">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r>
        <w:rPr>
          <w:rFonts w:hint="default" w:ascii="Times New Roman" w:hAnsi="Times New Roman" w:eastAsia="宋体" w:cs="Times New Roman"/>
          <w:sz w:val="18"/>
          <w:szCs w:val="18"/>
        </w:rPr>
        <w:t>3,486,461.20</w:t>
      </w:r>
      <w:r>
        <w:rPr>
          <w:rFonts w:ascii="宋体" w:hAnsi="宋体" w:eastAsia="宋体" w:cs="宋体"/>
          <w:sz w:val="18"/>
          <w:szCs w:val="18"/>
        </w:rPr>
        <w:t>元</w:t>
      </w:r>
    </w:p>
    <w:p w14:paraId="603E2D5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5FBA6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F7E711B">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0C7F708">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5FF1BC8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51146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75F3D00"/>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3209341">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9E12E6F">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367A109">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9B7240C">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240BDEE">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3E80C43">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14:paraId="73545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66A72F6">
            <w:pPr>
              <w:spacing w:before="0" w:after="0" w:line="240" w:lineRule="exact"/>
              <w:jc w:val="left"/>
              <w:rPr>
                <w:rFonts w:ascii="宋体" w:hAnsi="宋体" w:eastAsia="宋体" w:cs="宋体"/>
                <w:sz w:val="18"/>
                <w:szCs w:val="18"/>
              </w:rPr>
            </w:pPr>
            <w:r>
              <w:rPr>
                <w:rFonts w:ascii="宋体" w:hAnsi="宋体" w:eastAsia="宋体" w:cs="宋体"/>
                <w:sz w:val="18"/>
                <w:szCs w:val="18"/>
              </w:rPr>
              <w:t>客户A</w:t>
            </w:r>
          </w:p>
        </w:tc>
        <w:tc>
          <w:tcPr>
            <w:tcW w:w="1377" w:type="dxa"/>
            <w:tcBorders>
              <w:top w:val="single" w:color="auto" w:sz="2" w:space="0"/>
              <w:left w:val="single" w:color="auto" w:sz="2" w:space="0"/>
              <w:bottom w:val="single" w:color="auto" w:sz="2" w:space="0"/>
              <w:right w:val="single" w:color="auto" w:sz="2" w:space="0"/>
            </w:tcBorders>
            <w:vAlign w:val="center"/>
          </w:tcPr>
          <w:p w14:paraId="5E7850B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1,898,480.00</w:t>
            </w:r>
          </w:p>
        </w:tc>
        <w:tc>
          <w:tcPr>
            <w:tcW w:w="1377" w:type="dxa"/>
            <w:tcBorders>
              <w:top w:val="single" w:color="auto" w:sz="2" w:space="0"/>
              <w:left w:val="single" w:color="auto" w:sz="2" w:space="0"/>
              <w:bottom w:val="single" w:color="auto" w:sz="2" w:space="0"/>
              <w:right w:val="single" w:color="auto" w:sz="2" w:space="0"/>
            </w:tcBorders>
            <w:vAlign w:val="center"/>
          </w:tcPr>
          <w:p w14:paraId="7394630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1,898,480.00</w:t>
            </w:r>
          </w:p>
        </w:tc>
        <w:tc>
          <w:tcPr>
            <w:tcW w:w="1377" w:type="dxa"/>
            <w:tcBorders>
              <w:top w:val="single" w:color="auto" w:sz="2" w:space="0"/>
              <w:left w:val="single" w:color="auto" w:sz="2" w:space="0"/>
              <w:bottom w:val="single" w:color="auto" w:sz="2" w:space="0"/>
              <w:right w:val="single" w:color="auto" w:sz="2" w:space="0"/>
            </w:tcBorders>
            <w:vAlign w:val="center"/>
          </w:tcPr>
          <w:p w14:paraId="4354903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1,898,480.00</w:t>
            </w:r>
          </w:p>
        </w:tc>
        <w:tc>
          <w:tcPr>
            <w:tcW w:w="1377" w:type="dxa"/>
            <w:tcBorders>
              <w:top w:val="single" w:color="auto" w:sz="2" w:space="0"/>
              <w:left w:val="single" w:color="auto" w:sz="2" w:space="0"/>
              <w:bottom w:val="single" w:color="auto" w:sz="2" w:space="0"/>
              <w:right w:val="single" w:color="auto" w:sz="2" w:space="0"/>
            </w:tcBorders>
            <w:vAlign w:val="center"/>
          </w:tcPr>
          <w:p w14:paraId="4B89D7F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1,898,480.00</w:t>
            </w:r>
          </w:p>
        </w:tc>
        <w:tc>
          <w:tcPr>
            <w:tcW w:w="1377" w:type="dxa"/>
            <w:tcBorders>
              <w:top w:val="single" w:color="auto" w:sz="2" w:space="0"/>
              <w:left w:val="single" w:color="auto" w:sz="2" w:space="0"/>
              <w:bottom w:val="single" w:color="auto" w:sz="2" w:space="0"/>
              <w:right w:val="single" w:color="auto" w:sz="2" w:space="0"/>
            </w:tcBorders>
            <w:vAlign w:val="center"/>
          </w:tcPr>
          <w:p w14:paraId="75662D2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14:paraId="4A2DD3C8">
            <w:pPr>
              <w:spacing w:before="0" w:after="0" w:line="240" w:lineRule="exact"/>
              <w:jc w:val="left"/>
              <w:rPr>
                <w:rFonts w:ascii="宋体" w:hAnsi="宋体" w:eastAsia="宋体" w:cs="宋体"/>
                <w:sz w:val="18"/>
                <w:szCs w:val="18"/>
              </w:rPr>
            </w:pPr>
            <w:r>
              <w:rPr>
                <w:rFonts w:ascii="宋体" w:hAnsi="宋体" w:eastAsia="宋体" w:cs="宋体"/>
                <w:sz w:val="18"/>
                <w:szCs w:val="18"/>
              </w:rPr>
              <w:t>客户为失信被执行人，预计无法收回</w:t>
            </w:r>
          </w:p>
        </w:tc>
      </w:tr>
      <w:tr w14:paraId="78F48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C60F509">
            <w:pPr>
              <w:spacing w:before="0" w:after="0" w:line="240" w:lineRule="exact"/>
              <w:jc w:val="left"/>
              <w:rPr>
                <w:rFonts w:ascii="宋体" w:hAnsi="宋体" w:eastAsia="宋体" w:cs="宋体"/>
                <w:sz w:val="18"/>
                <w:szCs w:val="18"/>
              </w:rPr>
            </w:pPr>
            <w:r>
              <w:rPr>
                <w:rFonts w:ascii="宋体" w:hAnsi="宋体" w:eastAsia="宋体" w:cs="宋体"/>
                <w:sz w:val="18"/>
                <w:szCs w:val="18"/>
              </w:rPr>
              <w:t>客户B</w:t>
            </w:r>
          </w:p>
        </w:tc>
        <w:tc>
          <w:tcPr>
            <w:tcW w:w="1377" w:type="dxa"/>
            <w:tcBorders>
              <w:top w:val="single" w:color="auto" w:sz="2" w:space="0"/>
              <w:left w:val="single" w:color="auto" w:sz="2" w:space="0"/>
              <w:bottom w:val="single" w:color="auto" w:sz="2" w:space="0"/>
              <w:right w:val="single" w:color="auto" w:sz="2" w:space="0"/>
            </w:tcBorders>
            <w:vAlign w:val="center"/>
          </w:tcPr>
          <w:p w14:paraId="040B107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1,630,611.20</w:t>
            </w:r>
          </w:p>
        </w:tc>
        <w:tc>
          <w:tcPr>
            <w:tcW w:w="1377" w:type="dxa"/>
            <w:tcBorders>
              <w:top w:val="single" w:color="auto" w:sz="2" w:space="0"/>
              <w:left w:val="single" w:color="auto" w:sz="2" w:space="0"/>
              <w:bottom w:val="single" w:color="auto" w:sz="2" w:space="0"/>
              <w:right w:val="single" w:color="auto" w:sz="2" w:space="0"/>
            </w:tcBorders>
            <w:vAlign w:val="center"/>
          </w:tcPr>
          <w:p w14:paraId="624DADC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1,630,611.20</w:t>
            </w:r>
          </w:p>
        </w:tc>
        <w:tc>
          <w:tcPr>
            <w:tcW w:w="1377" w:type="dxa"/>
            <w:tcBorders>
              <w:top w:val="single" w:color="auto" w:sz="2" w:space="0"/>
              <w:left w:val="single" w:color="auto" w:sz="2" w:space="0"/>
              <w:bottom w:val="single" w:color="auto" w:sz="2" w:space="0"/>
              <w:right w:val="single" w:color="auto" w:sz="2" w:space="0"/>
            </w:tcBorders>
            <w:vAlign w:val="center"/>
          </w:tcPr>
          <w:p w14:paraId="799C55C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1,587,981.20</w:t>
            </w:r>
          </w:p>
        </w:tc>
        <w:tc>
          <w:tcPr>
            <w:tcW w:w="1377" w:type="dxa"/>
            <w:tcBorders>
              <w:top w:val="single" w:color="auto" w:sz="2" w:space="0"/>
              <w:left w:val="single" w:color="auto" w:sz="2" w:space="0"/>
              <w:bottom w:val="single" w:color="auto" w:sz="2" w:space="0"/>
              <w:right w:val="single" w:color="auto" w:sz="2" w:space="0"/>
            </w:tcBorders>
            <w:vAlign w:val="center"/>
          </w:tcPr>
          <w:p w14:paraId="5B7008D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1,587,981.20</w:t>
            </w:r>
          </w:p>
        </w:tc>
        <w:tc>
          <w:tcPr>
            <w:tcW w:w="1377" w:type="dxa"/>
            <w:tcBorders>
              <w:top w:val="single" w:color="auto" w:sz="2" w:space="0"/>
              <w:left w:val="single" w:color="auto" w:sz="2" w:space="0"/>
              <w:bottom w:val="single" w:color="auto" w:sz="2" w:space="0"/>
              <w:right w:val="single" w:color="auto" w:sz="2" w:space="0"/>
            </w:tcBorders>
            <w:vAlign w:val="center"/>
          </w:tcPr>
          <w:p w14:paraId="31E3B1D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14:paraId="7AF65412">
            <w:pPr>
              <w:spacing w:before="0" w:after="0" w:line="240" w:lineRule="exact"/>
              <w:jc w:val="left"/>
              <w:rPr>
                <w:rFonts w:ascii="宋体" w:hAnsi="宋体" w:eastAsia="宋体" w:cs="宋体"/>
                <w:sz w:val="18"/>
                <w:szCs w:val="18"/>
              </w:rPr>
            </w:pPr>
            <w:r>
              <w:rPr>
                <w:rFonts w:ascii="宋体" w:hAnsi="宋体" w:eastAsia="宋体" w:cs="宋体"/>
                <w:sz w:val="18"/>
                <w:szCs w:val="18"/>
              </w:rPr>
              <w:t>客户为失信被执行人，预计无法收回</w:t>
            </w:r>
          </w:p>
        </w:tc>
      </w:tr>
      <w:tr w14:paraId="1CC8F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F7B7D45">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6BDBFB8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3,529,091.20</w:t>
            </w:r>
          </w:p>
        </w:tc>
        <w:tc>
          <w:tcPr>
            <w:tcW w:w="1377" w:type="dxa"/>
            <w:tcBorders>
              <w:top w:val="single" w:color="auto" w:sz="2" w:space="0"/>
              <w:left w:val="single" w:color="auto" w:sz="2" w:space="0"/>
              <w:bottom w:val="single" w:color="auto" w:sz="2" w:space="0"/>
              <w:right w:val="single" w:color="auto" w:sz="2" w:space="0"/>
            </w:tcBorders>
            <w:vAlign w:val="center"/>
          </w:tcPr>
          <w:p w14:paraId="6B9604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3,529,091.20</w:t>
            </w:r>
          </w:p>
        </w:tc>
        <w:tc>
          <w:tcPr>
            <w:tcW w:w="1377" w:type="dxa"/>
            <w:tcBorders>
              <w:top w:val="single" w:color="auto" w:sz="2" w:space="0"/>
              <w:left w:val="single" w:color="auto" w:sz="2" w:space="0"/>
              <w:bottom w:val="single" w:color="auto" w:sz="2" w:space="0"/>
              <w:right w:val="single" w:color="auto" w:sz="2" w:space="0"/>
            </w:tcBorders>
            <w:vAlign w:val="center"/>
          </w:tcPr>
          <w:p w14:paraId="1D2406A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3,486,461.20</w:t>
            </w:r>
          </w:p>
        </w:tc>
        <w:tc>
          <w:tcPr>
            <w:tcW w:w="1377" w:type="dxa"/>
            <w:tcBorders>
              <w:top w:val="single" w:color="auto" w:sz="2" w:space="0"/>
              <w:left w:val="single" w:color="auto" w:sz="2" w:space="0"/>
              <w:bottom w:val="single" w:color="auto" w:sz="2" w:space="0"/>
              <w:right w:val="single" w:color="auto" w:sz="2" w:space="0"/>
            </w:tcBorders>
            <w:vAlign w:val="center"/>
          </w:tcPr>
          <w:p w14:paraId="528125E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3,486,461.20</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D2CA7A3">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DFBBF84"/>
        </w:tc>
      </w:tr>
    </w:tbl>
    <w:p w14:paraId="12B46FDC">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w:t>
      </w:r>
      <w:r>
        <w:rPr>
          <w:rFonts w:hint="default" w:ascii="Times New Roman" w:hAnsi="Times New Roman" w:eastAsia="宋体" w:cs="Times New Roman"/>
          <w:sz w:val="18"/>
          <w:szCs w:val="18"/>
        </w:rPr>
        <w:t>40</w:t>
      </w:r>
      <w:r>
        <w:rPr>
          <w:rFonts w:ascii="宋体" w:hAnsi="宋体" w:eastAsia="宋体" w:cs="宋体"/>
          <w:sz w:val="18"/>
          <w:szCs w:val="18"/>
        </w:rPr>
        <w:t>,</w:t>
      </w:r>
      <w:r>
        <w:rPr>
          <w:rFonts w:hint="default" w:ascii="Times New Roman" w:hAnsi="Times New Roman" w:eastAsia="宋体" w:cs="Times New Roman"/>
          <w:sz w:val="18"/>
          <w:szCs w:val="18"/>
        </w:rPr>
        <w:t>282</w:t>
      </w:r>
      <w:r>
        <w:rPr>
          <w:rFonts w:ascii="宋体" w:hAnsi="宋体" w:eastAsia="宋体" w:cs="宋体"/>
          <w:sz w:val="18"/>
          <w:szCs w:val="18"/>
        </w:rPr>
        <w:t>,</w:t>
      </w:r>
      <w:r>
        <w:rPr>
          <w:rFonts w:hint="default" w:ascii="Times New Roman" w:hAnsi="Times New Roman" w:eastAsia="宋体" w:cs="Times New Roman"/>
          <w:sz w:val="18"/>
          <w:szCs w:val="18"/>
        </w:rPr>
        <w:t>704</w:t>
      </w:r>
      <w:r>
        <w:rPr>
          <w:rFonts w:ascii="宋体" w:hAnsi="宋体" w:eastAsia="宋体" w:cs="宋体"/>
          <w:sz w:val="18"/>
          <w:szCs w:val="18"/>
        </w:rPr>
        <w:t>.</w:t>
      </w:r>
      <w:r>
        <w:rPr>
          <w:rFonts w:hint="default" w:ascii="Times New Roman" w:hAnsi="Times New Roman" w:eastAsia="宋体" w:cs="Times New Roman"/>
          <w:sz w:val="18"/>
          <w:szCs w:val="18"/>
        </w:rPr>
        <w:t>05</w:t>
      </w:r>
      <w:r>
        <w:rPr>
          <w:rFonts w:ascii="宋体" w:hAnsi="宋体" w:eastAsia="宋体" w:cs="宋体"/>
          <w:sz w:val="18"/>
          <w:szCs w:val="18"/>
        </w:rPr>
        <w:t>元</w:t>
      </w:r>
    </w:p>
    <w:p w14:paraId="5A856ED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550AF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1425912">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6E8ECD4A">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0ADD7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0CC6002"/>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AE66B77">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AB2134C">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89FD8FF">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14:paraId="02A6A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CE5810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1年以内</w:t>
            </w:r>
          </w:p>
        </w:tc>
        <w:tc>
          <w:tcPr>
            <w:tcW w:w="2410" w:type="dxa"/>
            <w:tcBorders>
              <w:top w:val="single" w:color="auto" w:sz="2" w:space="0"/>
              <w:left w:val="single" w:color="auto" w:sz="2" w:space="0"/>
              <w:bottom w:val="single" w:color="auto" w:sz="2" w:space="0"/>
              <w:right w:val="single" w:color="auto" w:sz="2" w:space="0"/>
            </w:tcBorders>
            <w:vAlign w:val="center"/>
          </w:tcPr>
          <w:p w14:paraId="2AA4725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43,476,697.28</w:t>
            </w:r>
          </w:p>
        </w:tc>
        <w:tc>
          <w:tcPr>
            <w:tcW w:w="2410" w:type="dxa"/>
            <w:tcBorders>
              <w:top w:val="single" w:color="auto" w:sz="2" w:space="0"/>
              <w:left w:val="single" w:color="auto" w:sz="2" w:space="0"/>
              <w:bottom w:val="single" w:color="auto" w:sz="2" w:space="0"/>
              <w:right w:val="single" w:color="auto" w:sz="2" w:space="0"/>
            </w:tcBorders>
            <w:vAlign w:val="center"/>
          </w:tcPr>
          <w:p w14:paraId="5D2B6BA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434,766.97</w:t>
            </w:r>
          </w:p>
        </w:tc>
        <w:tc>
          <w:tcPr>
            <w:tcW w:w="2410" w:type="dxa"/>
            <w:tcBorders>
              <w:top w:val="single" w:color="auto" w:sz="2" w:space="0"/>
              <w:left w:val="single" w:color="auto" w:sz="2" w:space="0"/>
              <w:bottom w:val="single" w:color="auto" w:sz="2" w:space="0"/>
              <w:right w:val="single" w:color="auto" w:sz="2" w:space="0"/>
            </w:tcBorders>
            <w:vAlign w:val="center"/>
          </w:tcPr>
          <w:p w14:paraId="3817573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w:t>
            </w:r>
          </w:p>
        </w:tc>
      </w:tr>
      <w:tr w14:paraId="1F4FC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3A1AD8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1至2年</w:t>
            </w:r>
          </w:p>
        </w:tc>
        <w:tc>
          <w:tcPr>
            <w:tcW w:w="2410" w:type="dxa"/>
            <w:tcBorders>
              <w:top w:val="single" w:color="auto" w:sz="2" w:space="0"/>
              <w:left w:val="single" w:color="auto" w:sz="2" w:space="0"/>
              <w:bottom w:val="single" w:color="auto" w:sz="2" w:space="0"/>
              <w:right w:val="single" w:color="auto" w:sz="2" w:space="0"/>
            </w:tcBorders>
            <w:vAlign w:val="center"/>
          </w:tcPr>
          <w:p w14:paraId="4446655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5,723,953.38</w:t>
            </w:r>
          </w:p>
        </w:tc>
        <w:tc>
          <w:tcPr>
            <w:tcW w:w="2410" w:type="dxa"/>
            <w:tcBorders>
              <w:top w:val="single" w:color="auto" w:sz="2" w:space="0"/>
              <w:left w:val="single" w:color="auto" w:sz="2" w:space="0"/>
              <w:bottom w:val="single" w:color="auto" w:sz="2" w:space="0"/>
              <w:right w:val="single" w:color="auto" w:sz="2" w:space="0"/>
            </w:tcBorders>
            <w:vAlign w:val="center"/>
          </w:tcPr>
          <w:p w14:paraId="631FC6F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572,395.33</w:t>
            </w:r>
          </w:p>
        </w:tc>
        <w:tc>
          <w:tcPr>
            <w:tcW w:w="2410" w:type="dxa"/>
            <w:tcBorders>
              <w:top w:val="single" w:color="auto" w:sz="2" w:space="0"/>
              <w:left w:val="single" w:color="auto" w:sz="2" w:space="0"/>
              <w:bottom w:val="single" w:color="auto" w:sz="2" w:space="0"/>
              <w:right w:val="single" w:color="auto" w:sz="2" w:space="0"/>
            </w:tcBorders>
            <w:vAlign w:val="center"/>
          </w:tcPr>
          <w:p w14:paraId="6D0CE69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w:t>
            </w:r>
          </w:p>
        </w:tc>
      </w:tr>
      <w:tr w14:paraId="20CFE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055001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2至3年</w:t>
            </w:r>
          </w:p>
        </w:tc>
        <w:tc>
          <w:tcPr>
            <w:tcW w:w="2410" w:type="dxa"/>
            <w:tcBorders>
              <w:top w:val="single" w:color="auto" w:sz="2" w:space="0"/>
              <w:left w:val="single" w:color="auto" w:sz="2" w:space="0"/>
              <w:bottom w:val="single" w:color="auto" w:sz="2" w:space="0"/>
              <w:right w:val="single" w:color="auto" w:sz="2" w:space="0"/>
            </w:tcBorders>
            <w:vAlign w:val="center"/>
          </w:tcPr>
          <w:p w14:paraId="51E5CA0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3,105,057.55</w:t>
            </w:r>
          </w:p>
        </w:tc>
        <w:tc>
          <w:tcPr>
            <w:tcW w:w="2410" w:type="dxa"/>
            <w:tcBorders>
              <w:top w:val="single" w:color="auto" w:sz="2" w:space="0"/>
              <w:left w:val="single" w:color="auto" w:sz="2" w:space="0"/>
              <w:bottom w:val="single" w:color="auto" w:sz="2" w:space="0"/>
              <w:right w:val="single" w:color="auto" w:sz="2" w:space="0"/>
            </w:tcBorders>
            <w:vAlign w:val="center"/>
          </w:tcPr>
          <w:p w14:paraId="7755FDA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931,517.27</w:t>
            </w:r>
          </w:p>
        </w:tc>
        <w:tc>
          <w:tcPr>
            <w:tcW w:w="2410" w:type="dxa"/>
            <w:tcBorders>
              <w:top w:val="single" w:color="auto" w:sz="2" w:space="0"/>
              <w:left w:val="single" w:color="auto" w:sz="2" w:space="0"/>
              <w:bottom w:val="single" w:color="auto" w:sz="2" w:space="0"/>
              <w:right w:val="single" w:color="auto" w:sz="2" w:space="0"/>
            </w:tcBorders>
            <w:vAlign w:val="center"/>
          </w:tcPr>
          <w:p w14:paraId="79A3FCF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w:t>
            </w:r>
          </w:p>
        </w:tc>
      </w:tr>
      <w:tr w14:paraId="5348C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5D5F58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3至4年</w:t>
            </w:r>
          </w:p>
        </w:tc>
        <w:tc>
          <w:tcPr>
            <w:tcW w:w="2410" w:type="dxa"/>
            <w:tcBorders>
              <w:top w:val="single" w:color="auto" w:sz="2" w:space="0"/>
              <w:left w:val="single" w:color="auto" w:sz="2" w:space="0"/>
              <w:bottom w:val="single" w:color="auto" w:sz="2" w:space="0"/>
              <w:right w:val="single" w:color="auto" w:sz="2" w:space="0"/>
            </w:tcBorders>
            <w:vAlign w:val="center"/>
          </w:tcPr>
          <w:p w14:paraId="7BA862C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1,622,107.68</w:t>
            </w:r>
          </w:p>
        </w:tc>
        <w:tc>
          <w:tcPr>
            <w:tcW w:w="2410" w:type="dxa"/>
            <w:tcBorders>
              <w:top w:val="single" w:color="auto" w:sz="2" w:space="0"/>
              <w:left w:val="single" w:color="auto" w:sz="2" w:space="0"/>
              <w:bottom w:val="single" w:color="auto" w:sz="2" w:space="0"/>
              <w:right w:val="single" w:color="auto" w:sz="2" w:space="0"/>
            </w:tcBorders>
            <w:vAlign w:val="center"/>
          </w:tcPr>
          <w:p w14:paraId="4BB9DBB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811,053.84</w:t>
            </w:r>
          </w:p>
        </w:tc>
        <w:tc>
          <w:tcPr>
            <w:tcW w:w="2410" w:type="dxa"/>
            <w:tcBorders>
              <w:top w:val="single" w:color="auto" w:sz="2" w:space="0"/>
              <w:left w:val="single" w:color="auto" w:sz="2" w:space="0"/>
              <w:bottom w:val="single" w:color="auto" w:sz="2" w:space="0"/>
              <w:right w:val="single" w:color="auto" w:sz="2" w:space="0"/>
            </w:tcBorders>
            <w:vAlign w:val="center"/>
          </w:tcPr>
          <w:p w14:paraId="663F8BF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w:t>
            </w:r>
          </w:p>
        </w:tc>
      </w:tr>
      <w:tr w14:paraId="4DD0C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1E9EE1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4至5年</w:t>
            </w:r>
          </w:p>
        </w:tc>
        <w:tc>
          <w:tcPr>
            <w:tcW w:w="2410" w:type="dxa"/>
            <w:tcBorders>
              <w:top w:val="single" w:color="auto" w:sz="2" w:space="0"/>
              <w:left w:val="single" w:color="auto" w:sz="2" w:space="0"/>
              <w:bottom w:val="single" w:color="auto" w:sz="2" w:space="0"/>
              <w:right w:val="single" w:color="auto" w:sz="2" w:space="0"/>
            </w:tcBorders>
            <w:vAlign w:val="center"/>
          </w:tcPr>
          <w:p w14:paraId="1FA9512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6,372,105.90</w:t>
            </w:r>
          </w:p>
        </w:tc>
        <w:tc>
          <w:tcPr>
            <w:tcW w:w="2410" w:type="dxa"/>
            <w:tcBorders>
              <w:top w:val="single" w:color="auto" w:sz="2" w:space="0"/>
              <w:left w:val="single" w:color="auto" w:sz="2" w:space="0"/>
              <w:bottom w:val="single" w:color="auto" w:sz="2" w:space="0"/>
              <w:right w:val="single" w:color="auto" w:sz="2" w:space="0"/>
            </w:tcBorders>
            <w:vAlign w:val="center"/>
          </w:tcPr>
          <w:p w14:paraId="599513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5,097,684.72</w:t>
            </w:r>
          </w:p>
        </w:tc>
        <w:tc>
          <w:tcPr>
            <w:tcW w:w="2410" w:type="dxa"/>
            <w:tcBorders>
              <w:top w:val="single" w:color="auto" w:sz="2" w:space="0"/>
              <w:left w:val="single" w:color="auto" w:sz="2" w:space="0"/>
              <w:bottom w:val="single" w:color="auto" w:sz="2" w:space="0"/>
              <w:right w:val="single" w:color="auto" w:sz="2" w:space="0"/>
            </w:tcBorders>
            <w:vAlign w:val="center"/>
          </w:tcPr>
          <w:p w14:paraId="03EB086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80.00%</w:t>
            </w:r>
          </w:p>
        </w:tc>
      </w:tr>
      <w:tr w14:paraId="2EB5B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277624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14:paraId="3EB1642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32,435,285.92</w:t>
            </w:r>
          </w:p>
        </w:tc>
        <w:tc>
          <w:tcPr>
            <w:tcW w:w="2410" w:type="dxa"/>
            <w:tcBorders>
              <w:top w:val="single" w:color="auto" w:sz="2" w:space="0"/>
              <w:left w:val="single" w:color="auto" w:sz="2" w:space="0"/>
              <w:bottom w:val="single" w:color="auto" w:sz="2" w:space="0"/>
              <w:right w:val="single" w:color="auto" w:sz="2" w:space="0"/>
            </w:tcBorders>
            <w:vAlign w:val="center"/>
          </w:tcPr>
          <w:p w14:paraId="2B9B36A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32,435,285.92</w:t>
            </w:r>
          </w:p>
        </w:tc>
        <w:tc>
          <w:tcPr>
            <w:tcW w:w="2410" w:type="dxa"/>
            <w:tcBorders>
              <w:top w:val="single" w:color="auto" w:sz="2" w:space="0"/>
              <w:left w:val="single" w:color="auto" w:sz="2" w:space="0"/>
              <w:bottom w:val="single" w:color="auto" w:sz="2" w:space="0"/>
              <w:right w:val="single" w:color="auto" w:sz="2" w:space="0"/>
            </w:tcBorders>
            <w:vAlign w:val="center"/>
          </w:tcPr>
          <w:p w14:paraId="3B404E1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r>
      <w:tr w14:paraId="2BD0E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401B66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74A55F7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92,735,207.71</w:t>
            </w:r>
          </w:p>
        </w:tc>
        <w:tc>
          <w:tcPr>
            <w:tcW w:w="2410" w:type="dxa"/>
            <w:tcBorders>
              <w:top w:val="single" w:color="auto" w:sz="2" w:space="0"/>
              <w:left w:val="single" w:color="auto" w:sz="2" w:space="0"/>
              <w:bottom w:val="single" w:color="auto" w:sz="2" w:space="0"/>
              <w:right w:val="single" w:color="auto" w:sz="2" w:space="0"/>
            </w:tcBorders>
            <w:vAlign w:val="center"/>
          </w:tcPr>
          <w:p w14:paraId="4AE323B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40,282,704.05</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FD2428C">
            <w:pPr>
              <w:spacing w:before="0" w:after="0" w:line="240" w:lineRule="exact"/>
              <w:jc w:val="right"/>
              <w:rPr>
                <w:rFonts w:hint="default" w:ascii="Times New Roman" w:hAnsi="Times New Roman" w:eastAsia="宋体" w:cs="Times New Roman"/>
                <w:sz w:val="18"/>
                <w:szCs w:val="18"/>
              </w:rPr>
            </w:pPr>
          </w:p>
        </w:tc>
      </w:tr>
    </w:tbl>
    <w:p w14:paraId="71741B55">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14:paraId="43CB491B">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w:t>
      </w:r>
    </w:p>
    <w:p w14:paraId="40234ED1">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73D0A25">
      <w:pPr>
        <w:keepNext/>
        <w:keepLines/>
        <w:spacing w:before="300" w:after="300" w:line="280" w:lineRule="exact"/>
        <w:jc w:val="left"/>
        <w:outlineLvl w:val="3"/>
        <w:rPr>
          <w:rFonts w:ascii="宋体" w:hAnsi="宋体" w:eastAsia="宋体" w:cs="宋体"/>
          <w:b/>
          <w:bCs/>
          <w:sz w:val="21"/>
          <w:szCs w:val="21"/>
        </w:rPr>
      </w:pPr>
      <w:bookmarkStart w:id="284" w:name="_Toc989094"/>
      <w:r>
        <w:rPr>
          <w:rFonts w:ascii="宋体" w:hAnsi="宋体" w:eastAsia="宋体" w:cs="宋体"/>
          <w:b/>
          <w:bCs/>
          <w:sz w:val="21"/>
          <w:szCs w:val="21"/>
        </w:rPr>
        <w:t>（</w:t>
      </w:r>
      <w:r>
        <w:rPr>
          <w:rFonts w:hint="default" w:ascii="Times New Roman" w:hAnsi="Times New Roman" w:eastAsia="宋体" w:cs="Times New Roman"/>
          <w:b/>
          <w:bCs/>
          <w:sz w:val="21"/>
          <w:szCs w:val="21"/>
        </w:rPr>
        <w:t>3</w:t>
      </w:r>
      <w:r>
        <w:rPr>
          <w:rFonts w:ascii="宋体" w:hAnsi="宋体" w:eastAsia="宋体" w:cs="宋体"/>
          <w:b/>
          <w:bCs/>
          <w:sz w:val="21"/>
          <w:szCs w:val="21"/>
        </w:rPr>
        <w:t>） 本期计提、收回或转回的坏账准备情况</w:t>
      </w:r>
      <w:bookmarkEnd w:id="284"/>
    </w:p>
    <w:p w14:paraId="19BDFBD8">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14:paraId="18C7B1D0">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5990D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2B5FA7C">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1589DD0">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3745D73B">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F0A7E84">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456F4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D672D39"/>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14EFDAF"/>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9976049">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062ED9E">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E98C83A">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D2770C7">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3351F81"/>
        </w:tc>
      </w:tr>
      <w:tr w14:paraId="6735F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8F553C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按单项评估计提的坏账准备</w:t>
            </w:r>
          </w:p>
        </w:tc>
        <w:tc>
          <w:tcPr>
            <w:tcW w:w="1377" w:type="dxa"/>
            <w:tcBorders>
              <w:top w:val="single" w:color="auto" w:sz="2" w:space="0"/>
              <w:left w:val="single" w:color="auto" w:sz="2" w:space="0"/>
              <w:bottom w:val="single" w:color="auto" w:sz="2" w:space="0"/>
              <w:right w:val="single" w:color="auto" w:sz="2" w:space="0"/>
            </w:tcBorders>
            <w:vAlign w:val="center"/>
          </w:tcPr>
          <w:p w14:paraId="15B7D4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3,529,091.20</w:t>
            </w:r>
          </w:p>
        </w:tc>
        <w:tc>
          <w:tcPr>
            <w:tcW w:w="1377" w:type="dxa"/>
            <w:tcBorders>
              <w:top w:val="single" w:color="auto" w:sz="2" w:space="0"/>
              <w:left w:val="single" w:color="auto" w:sz="2" w:space="0"/>
              <w:bottom w:val="single" w:color="auto" w:sz="2" w:space="0"/>
              <w:right w:val="single" w:color="auto" w:sz="2" w:space="0"/>
            </w:tcBorders>
            <w:vAlign w:val="center"/>
          </w:tcPr>
          <w:p w14:paraId="37BF0496">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C2A617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42,630.00</w:t>
            </w:r>
          </w:p>
        </w:tc>
        <w:tc>
          <w:tcPr>
            <w:tcW w:w="1377" w:type="dxa"/>
            <w:tcBorders>
              <w:top w:val="single" w:color="auto" w:sz="2" w:space="0"/>
              <w:left w:val="single" w:color="auto" w:sz="2" w:space="0"/>
              <w:bottom w:val="single" w:color="auto" w:sz="2" w:space="0"/>
              <w:right w:val="single" w:color="auto" w:sz="2" w:space="0"/>
            </w:tcBorders>
            <w:vAlign w:val="center"/>
          </w:tcPr>
          <w:p w14:paraId="39C78324">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1CF1D3A">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8C46E0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3,486,461.20</w:t>
            </w:r>
          </w:p>
        </w:tc>
      </w:tr>
      <w:tr w14:paraId="4424E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A92006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组合1：账龄分析组合</w:t>
            </w:r>
          </w:p>
        </w:tc>
        <w:tc>
          <w:tcPr>
            <w:tcW w:w="1377" w:type="dxa"/>
            <w:tcBorders>
              <w:top w:val="single" w:color="auto" w:sz="2" w:space="0"/>
              <w:left w:val="single" w:color="auto" w:sz="2" w:space="0"/>
              <w:bottom w:val="single" w:color="auto" w:sz="2" w:space="0"/>
              <w:right w:val="single" w:color="auto" w:sz="2" w:space="0"/>
            </w:tcBorders>
            <w:vAlign w:val="center"/>
          </w:tcPr>
          <w:p w14:paraId="4DD723B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39,937,802.60</w:t>
            </w:r>
          </w:p>
        </w:tc>
        <w:tc>
          <w:tcPr>
            <w:tcW w:w="1377" w:type="dxa"/>
            <w:tcBorders>
              <w:top w:val="single" w:color="auto" w:sz="2" w:space="0"/>
              <w:left w:val="single" w:color="auto" w:sz="2" w:space="0"/>
              <w:bottom w:val="single" w:color="auto" w:sz="2" w:space="0"/>
              <w:right w:val="single" w:color="auto" w:sz="2" w:space="0"/>
            </w:tcBorders>
            <w:vAlign w:val="center"/>
          </w:tcPr>
          <w:p w14:paraId="50D5C50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1,575,493.74</w:t>
            </w:r>
          </w:p>
        </w:tc>
        <w:tc>
          <w:tcPr>
            <w:tcW w:w="1377" w:type="dxa"/>
            <w:tcBorders>
              <w:top w:val="single" w:color="auto" w:sz="2" w:space="0"/>
              <w:left w:val="single" w:color="auto" w:sz="2" w:space="0"/>
              <w:bottom w:val="single" w:color="auto" w:sz="2" w:space="0"/>
              <w:right w:val="single" w:color="auto" w:sz="2" w:space="0"/>
            </w:tcBorders>
            <w:vAlign w:val="center"/>
          </w:tcPr>
          <w:p w14:paraId="4530F14D">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ED7241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812,342.29</w:t>
            </w:r>
          </w:p>
        </w:tc>
        <w:tc>
          <w:tcPr>
            <w:tcW w:w="1377" w:type="dxa"/>
            <w:tcBorders>
              <w:top w:val="single" w:color="auto" w:sz="2" w:space="0"/>
              <w:left w:val="single" w:color="auto" w:sz="2" w:space="0"/>
              <w:bottom w:val="single" w:color="auto" w:sz="2" w:space="0"/>
              <w:right w:val="single" w:color="auto" w:sz="2" w:space="0"/>
            </w:tcBorders>
            <w:vAlign w:val="center"/>
          </w:tcPr>
          <w:p w14:paraId="139A100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-418,250.00</w:t>
            </w:r>
          </w:p>
        </w:tc>
        <w:tc>
          <w:tcPr>
            <w:tcW w:w="1377" w:type="dxa"/>
            <w:tcBorders>
              <w:top w:val="single" w:color="auto" w:sz="2" w:space="0"/>
              <w:left w:val="single" w:color="auto" w:sz="2" w:space="0"/>
              <w:bottom w:val="single" w:color="auto" w:sz="2" w:space="0"/>
              <w:right w:val="single" w:color="auto" w:sz="2" w:space="0"/>
            </w:tcBorders>
            <w:vAlign w:val="center"/>
          </w:tcPr>
          <w:p w14:paraId="4A343DF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40,282,704.05</w:t>
            </w:r>
          </w:p>
        </w:tc>
      </w:tr>
      <w:tr w14:paraId="646B2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7C1F1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0E4B135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43,466,893.80</w:t>
            </w:r>
          </w:p>
        </w:tc>
        <w:tc>
          <w:tcPr>
            <w:tcW w:w="1377" w:type="dxa"/>
            <w:tcBorders>
              <w:top w:val="single" w:color="auto" w:sz="2" w:space="0"/>
              <w:left w:val="single" w:color="auto" w:sz="2" w:space="0"/>
              <w:bottom w:val="single" w:color="auto" w:sz="2" w:space="0"/>
              <w:right w:val="single" w:color="auto" w:sz="2" w:space="0"/>
            </w:tcBorders>
            <w:vAlign w:val="center"/>
          </w:tcPr>
          <w:p w14:paraId="3FA59AB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1,575,493.74</w:t>
            </w:r>
          </w:p>
        </w:tc>
        <w:tc>
          <w:tcPr>
            <w:tcW w:w="1377" w:type="dxa"/>
            <w:tcBorders>
              <w:top w:val="single" w:color="auto" w:sz="2" w:space="0"/>
              <w:left w:val="single" w:color="auto" w:sz="2" w:space="0"/>
              <w:bottom w:val="single" w:color="auto" w:sz="2" w:space="0"/>
              <w:right w:val="single" w:color="auto" w:sz="2" w:space="0"/>
            </w:tcBorders>
            <w:vAlign w:val="center"/>
          </w:tcPr>
          <w:p w14:paraId="186D521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42,630.00</w:t>
            </w:r>
          </w:p>
        </w:tc>
        <w:tc>
          <w:tcPr>
            <w:tcW w:w="1377" w:type="dxa"/>
            <w:tcBorders>
              <w:top w:val="single" w:color="auto" w:sz="2" w:space="0"/>
              <w:left w:val="single" w:color="auto" w:sz="2" w:space="0"/>
              <w:bottom w:val="single" w:color="auto" w:sz="2" w:space="0"/>
              <w:right w:val="single" w:color="auto" w:sz="2" w:space="0"/>
            </w:tcBorders>
            <w:vAlign w:val="center"/>
          </w:tcPr>
          <w:p w14:paraId="703ADA7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812,342.29</w:t>
            </w:r>
          </w:p>
        </w:tc>
        <w:tc>
          <w:tcPr>
            <w:tcW w:w="1377" w:type="dxa"/>
            <w:tcBorders>
              <w:top w:val="single" w:color="auto" w:sz="2" w:space="0"/>
              <w:left w:val="single" w:color="auto" w:sz="2" w:space="0"/>
              <w:bottom w:val="single" w:color="auto" w:sz="2" w:space="0"/>
              <w:right w:val="single" w:color="auto" w:sz="2" w:space="0"/>
            </w:tcBorders>
            <w:vAlign w:val="center"/>
          </w:tcPr>
          <w:p w14:paraId="3F7C481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-418,250.00</w:t>
            </w:r>
          </w:p>
        </w:tc>
        <w:tc>
          <w:tcPr>
            <w:tcW w:w="1377" w:type="dxa"/>
            <w:tcBorders>
              <w:top w:val="single" w:color="auto" w:sz="2" w:space="0"/>
              <w:left w:val="single" w:color="auto" w:sz="2" w:space="0"/>
              <w:bottom w:val="single" w:color="auto" w:sz="2" w:space="0"/>
              <w:right w:val="single" w:color="auto" w:sz="2" w:space="0"/>
            </w:tcBorders>
            <w:vAlign w:val="center"/>
          </w:tcPr>
          <w:p w14:paraId="469AC96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43,769,165.25</w:t>
            </w:r>
          </w:p>
        </w:tc>
      </w:tr>
    </w:tbl>
    <w:p w14:paraId="148B9A93">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14:paraId="7949A685">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1088B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9405B7A">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94AC4E3">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6F9080D">
            <w:pPr>
              <w:spacing w:before="40" w:after="40" w:line="240" w:lineRule="exact"/>
              <w:jc w:val="center"/>
              <w:rPr>
                <w:rFonts w:ascii="宋体" w:hAnsi="宋体" w:eastAsia="宋体" w:cs="宋体"/>
                <w:sz w:val="18"/>
                <w:szCs w:val="18"/>
              </w:rPr>
            </w:pPr>
            <w:r>
              <w:rPr>
                <w:rFonts w:ascii="宋体" w:hAnsi="宋体" w:eastAsia="宋体" w:cs="宋体"/>
                <w:sz w:val="18"/>
                <w:szCs w:val="18"/>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115DB40">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56ACE8E">
            <w:pPr>
              <w:spacing w:before="40" w:after="40" w:line="240" w:lineRule="exact"/>
              <w:jc w:val="center"/>
              <w:rPr>
                <w:rFonts w:ascii="宋体" w:hAnsi="宋体" w:eastAsia="宋体" w:cs="宋体"/>
                <w:sz w:val="18"/>
                <w:szCs w:val="18"/>
              </w:rPr>
            </w:pPr>
            <w:r>
              <w:rPr>
                <w:rFonts w:ascii="宋体" w:hAnsi="宋体" w:eastAsia="宋体" w:cs="宋体"/>
                <w:sz w:val="18"/>
                <w:szCs w:val="18"/>
              </w:rPr>
              <w:t>确定原坏账准备计提比例的依据及其合理性</w:t>
            </w:r>
          </w:p>
        </w:tc>
      </w:tr>
    </w:tbl>
    <w:p w14:paraId="32C31FED">
      <w:pPr>
        <w:spacing w:before="100" w:after="100" w:line="0" w:lineRule="exact"/>
        <w:jc w:val="left"/>
      </w:pPr>
    </w:p>
    <w:p w14:paraId="7B432D41">
      <w:pPr>
        <w:keepNext/>
        <w:keepLines/>
        <w:spacing w:before="300" w:after="300" w:line="280" w:lineRule="exact"/>
        <w:jc w:val="left"/>
        <w:outlineLvl w:val="3"/>
        <w:rPr>
          <w:rFonts w:ascii="宋体" w:hAnsi="宋体" w:eastAsia="宋体" w:cs="宋体"/>
          <w:b/>
          <w:bCs/>
          <w:sz w:val="21"/>
          <w:szCs w:val="21"/>
        </w:rPr>
      </w:pPr>
      <w:bookmarkStart w:id="285" w:name="_Toc989095"/>
      <w:r>
        <w:rPr>
          <w:rFonts w:ascii="宋体" w:hAnsi="宋体" w:eastAsia="宋体" w:cs="宋体"/>
          <w:b/>
          <w:bCs/>
          <w:sz w:val="21"/>
          <w:szCs w:val="21"/>
        </w:rPr>
        <w:t>（</w:t>
      </w:r>
      <w:r>
        <w:rPr>
          <w:rFonts w:hint="default" w:ascii="Times New Roman" w:hAnsi="Times New Roman" w:eastAsia="宋体" w:cs="Times New Roman"/>
          <w:b/>
          <w:bCs/>
          <w:sz w:val="21"/>
          <w:szCs w:val="21"/>
        </w:rPr>
        <w:t>4</w:t>
      </w:r>
      <w:r>
        <w:rPr>
          <w:rFonts w:ascii="宋体" w:hAnsi="宋体" w:eastAsia="宋体" w:cs="宋体"/>
          <w:b/>
          <w:bCs/>
          <w:sz w:val="21"/>
          <w:szCs w:val="21"/>
        </w:rPr>
        <w:t>） 本期实际核销的应收账款情况</w:t>
      </w:r>
      <w:bookmarkEnd w:id="285"/>
    </w:p>
    <w:p w14:paraId="5C0B52B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7635B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D5184E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1FCC2C4">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r w14:paraId="7FA2E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FC29F8A">
            <w:pPr>
              <w:spacing w:before="40" w:after="40" w:line="240" w:lineRule="exact"/>
              <w:jc w:val="left"/>
              <w:rPr>
                <w:rFonts w:ascii="宋体" w:hAnsi="宋体" w:eastAsia="宋体" w:cs="宋体"/>
                <w:sz w:val="18"/>
                <w:szCs w:val="18"/>
              </w:rPr>
            </w:pPr>
            <w:r>
              <w:rPr>
                <w:rFonts w:ascii="宋体" w:hAnsi="宋体" w:eastAsia="宋体" w:cs="宋体"/>
                <w:sz w:val="18"/>
                <w:szCs w:val="18"/>
              </w:rPr>
              <w:t>实际核销的应收账款</w:t>
            </w:r>
          </w:p>
        </w:tc>
        <w:tc>
          <w:tcPr>
            <w:tcW w:w="4820" w:type="dxa"/>
            <w:tcBorders>
              <w:top w:val="single" w:color="auto" w:sz="2" w:space="0"/>
              <w:left w:val="single" w:color="auto" w:sz="2" w:space="0"/>
              <w:bottom w:val="single" w:color="auto" w:sz="2" w:space="0"/>
              <w:right w:val="single" w:color="auto" w:sz="2" w:space="0"/>
            </w:tcBorders>
            <w:vAlign w:val="center"/>
          </w:tcPr>
          <w:p w14:paraId="13788049">
            <w:pPr>
              <w:spacing w:before="0" w:after="0" w:line="240" w:lineRule="exact"/>
              <w:jc w:val="right"/>
              <w:rPr>
                <w:rFonts w:ascii="宋体" w:hAnsi="宋体" w:eastAsia="宋体" w:cs="宋体"/>
                <w:sz w:val="18"/>
                <w:szCs w:val="18"/>
              </w:rPr>
            </w:pPr>
            <w:r>
              <w:rPr>
                <w:rFonts w:hint="default" w:ascii="Times New Roman" w:hAnsi="Times New Roman" w:eastAsia="宋体" w:cs="Times New Roman"/>
                <w:sz w:val="18"/>
                <w:szCs w:val="18"/>
              </w:rPr>
              <w:t>812</w:t>
            </w:r>
            <w:r>
              <w:rPr>
                <w:rFonts w:ascii="宋体" w:hAnsi="宋体" w:eastAsia="宋体" w:cs="宋体"/>
                <w:sz w:val="18"/>
                <w:szCs w:val="18"/>
              </w:rPr>
              <w:t>,</w:t>
            </w:r>
            <w:r>
              <w:rPr>
                <w:rFonts w:hint="default" w:ascii="Times New Roman" w:hAnsi="Times New Roman" w:eastAsia="宋体" w:cs="Times New Roman"/>
                <w:sz w:val="18"/>
                <w:szCs w:val="18"/>
              </w:rPr>
              <w:t>342</w:t>
            </w:r>
            <w:r>
              <w:rPr>
                <w:rFonts w:ascii="宋体" w:hAnsi="宋体" w:eastAsia="宋体" w:cs="宋体"/>
                <w:sz w:val="18"/>
                <w:szCs w:val="18"/>
              </w:rPr>
              <w:t>.</w:t>
            </w:r>
            <w:r>
              <w:rPr>
                <w:rFonts w:hint="default" w:ascii="Times New Roman" w:hAnsi="Times New Roman" w:eastAsia="宋体" w:cs="Times New Roman"/>
                <w:sz w:val="18"/>
                <w:szCs w:val="18"/>
              </w:rPr>
              <w:t>29</w:t>
            </w:r>
          </w:p>
        </w:tc>
      </w:tr>
    </w:tbl>
    <w:p w14:paraId="4FF689AC">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14:paraId="36C5D155">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1B243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0D37F3F">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617CEFC">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29E0C03">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E25A6C3">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A85145E">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B8FB422">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14:paraId="5EC7B174">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14:paraId="756E0B12">
      <w:pPr>
        <w:pStyle w:val="6"/>
        <w:keepNext w:val="0"/>
        <w:keepLines w:val="0"/>
        <w:widowControl/>
        <w:suppressLineNumbers w:val="0"/>
        <w:spacing w:before="0" w:beforeAutospacing="0" w:after="0" w:afterAutospacing="0" w:line="46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本期实际核销的应收账款金额为</w:t>
      </w:r>
      <w:r>
        <w:rPr>
          <w:rFonts w:hint="default" w:ascii="Times New Roman" w:hAnsi="Times New Roman" w:eastAsia="宋体" w:cs="Times New Roman"/>
          <w:sz w:val="21"/>
          <w:szCs w:val="21"/>
        </w:rPr>
        <w:t>812</w:t>
      </w:r>
      <w:r>
        <w:rPr>
          <w:rFonts w:hint="eastAsia" w:ascii="宋体" w:hAnsi="宋体" w:eastAsia="宋体" w:cs="宋体"/>
          <w:sz w:val="21"/>
          <w:szCs w:val="21"/>
        </w:rPr>
        <w:t>,</w:t>
      </w:r>
      <w:r>
        <w:rPr>
          <w:rFonts w:hint="default" w:ascii="Times New Roman" w:hAnsi="Times New Roman" w:eastAsia="宋体" w:cs="Times New Roman"/>
          <w:sz w:val="21"/>
          <w:szCs w:val="21"/>
        </w:rPr>
        <w:t>342</w:t>
      </w:r>
      <w:r>
        <w:rPr>
          <w:rFonts w:hint="eastAsia" w:ascii="宋体" w:hAnsi="宋体" w:eastAsia="宋体" w:cs="宋体"/>
          <w:sz w:val="21"/>
          <w:szCs w:val="21"/>
        </w:rPr>
        <w:t>.</w:t>
      </w:r>
      <w:r>
        <w:rPr>
          <w:rFonts w:hint="default" w:ascii="Times New Roman" w:hAnsi="Times New Roman" w:eastAsia="宋体" w:cs="Times New Roman"/>
          <w:sz w:val="21"/>
          <w:szCs w:val="21"/>
        </w:rPr>
        <w:t>29</w:t>
      </w:r>
      <w:r>
        <w:rPr>
          <w:rFonts w:hint="eastAsia" w:ascii="宋体" w:hAnsi="宋体" w:eastAsia="宋体" w:cs="宋体"/>
          <w:sz w:val="21"/>
          <w:szCs w:val="21"/>
        </w:rPr>
        <w:t>元，不存在核销的重要应收账款情况。</w:t>
      </w:r>
    </w:p>
    <w:p w14:paraId="2C3DA06E">
      <w:pPr>
        <w:keepNext/>
        <w:keepLines/>
        <w:spacing w:before="300" w:after="300" w:line="280" w:lineRule="exact"/>
        <w:jc w:val="left"/>
        <w:outlineLvl w:val="3"/>
        <w:rPr>
          <w:rFonts w:ascii="宋体" w:hAnsi="宋体" w:eastAsia="宋体" w:cs="宋体"/>
          <w:b/>
          <w:bCs/>
          <w:sz w:val="21"/>
          <w:szCs w:val="21"/>
        </w:rPr>
      </w:pPr>
      <w:bookmarkStart w:id="286" w:name="_Toc989096"/>
      <w:r>
        <w:rPr>
          <w:rFonts w:ascii="宋体" w:hAnsi="宋体" w:eastAsia="宋体" w:cs="宋体"/>
          <w:b/>
          <w:bCs/>
          <w:sz w:val="21"/>
          <w:szCs w:val="21"/>
        </w:rPr>
        <w:t>（</w:t>
      </w:r>
      <w:r>
        <w:rPr>
          <w:rFonts w:hint="default" w:ascii="Times New Roman" w:hAnsi="Times New Roman" w:eastAsia="宋体" w:cs="Times New Roman"/>
          <w:b/>
          <w:bCs/>
          <w:sz w:val="21"/>
          <w:szCs w:val="21"/>
        </w:rPr>
        <w:t>5</w:t>
      </w:r>
      <w:r>
        <w:rPr>
          <w:rFonts w:ascii="宋体" w:hAnsi="宋体" w:eastAsia="宋体" w:cs="宋体"/>
          <w:b/>
          <w:bCs/>
          <w:sz w:val="21"/>
          <w:szCs w:val="21"/>
        </w:rPr>
        <w:t>） 按欠款方归集的期末余额前五名的应收账款和合同资产情况</w:t>
      </w:r>
      <w:bookmarkEnd w:id="286"/>
    </w:p>
    <w:p w14:paraId="6BA38EC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3B305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63AA00D">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3E56AEE">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66A955D">
            <w:pPr>
              <w:spacing w:before="40" w:after="40" w:line="240" w:lineRule="exact"/>
              <w:jc w:val="center"/>
              <w:rPr>
                <w:rFonts w:ascii="宋体" w:hAnsi="宋体" w:eastAsia="宋体" w:cs="宋体"/>
                <w:sz w:val="18"/>
                <w:szCs w:val="18"/>
              </w:rPr>
            </w:pPr>
            <w:r>
              <w:rPr>
                <w:rFonts w:ascii="宋体" w:hAnsi="宋体" w:eastAsia="宋体" w:cs="宋体"/>
                <w:sz w:val="18"/>
                <w:szCs w:val="18"/>
              </w:rPr>
              <w:t>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2619167">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应收账款和合同资产期末余额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19CF03A">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占应收账款和合同资产期末余额合计数的比例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1C2D376">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应收账款坏账准备和合同资产减值准备期末余额</w:t>
            </w:r>
          </w:p>
        </w:tc>
      </w:tr>
      <w:tr w14:paraId="3A7CA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F06FC71">
            <w:pPr>
              <w:spacing w:before="0" w:after="0" w:line="240" w:lineRule="exact"/>
              <w:jc w:val="left"/>
              <w:rPr>
                <w:rFonts w:ascii="宋体" w:hAnsi="宋体" w:eastAsia="宋体" w:cs="宋体"/>
                <w:sz w:val="18"/>
                <w:szCs w:val="18"/>
              </w:rPr>
            </w:pPr>
            <w:r>
              <w:rPr>
                <w:rFonts w:ascii="宋体" w:hAnsi="宋体" w:eastAsia="宋体" w:cs="宋体"/>
                <w:sz w:val="18"/>
                <w:szCs w:val="18"/>
              </w:rPr>
              <w:t>客户一</w:t>
            </w:r>
          </w:p>
        </w:tc>
        <w:tc>
          <w:tcPr>
            <w:tcW w:w="1606" w:type="dxa"/>
            <w:tcBorders>
              <w:top w:val="single" w:color="auto" w:sz="2" w:space="0"/>
              <w:left w:val="single" w:color="auto" w:sz="2" w:space="0"/>
              <w:bottom w:val="single" w:color="auto" w:sz="2" w:space="0"/>
              <w:right w:val="single" w:color="auto" w:sz="2" w:space="0"/>
            </w:tcBorders>
            <w:vAlign w:val="center"/>
          </w:tcPr>
          <w:p w14:paraId="69F0AED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22,192,749.00</w:t>
            </w:r>
          </w:p>
        </w:tc>
        <w:tc>
          <w:tcPr>
            <w:tcW w:w="1606" w:type="dxa"/>
            <w:tcBorders>
              <w:top w:val="single" w:color="auto" w:sz="2" w:space="0"/>
              <w:left w:val="single" w:color="auto" w:sz="2" w:space="0"/>
              <w:bottom w:val="single" w:color="auto" w:sz="2" w:space="0"/>
              <w:right w:val="single" w:color="auto" w:sz="2" w:space="0"/>
            </w:tcBorders>
            <w:vAlign w:val="center"/>
          </w:tcPr>
          <w:p w14:paraId="4D2E97BF">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AACF93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22,192,749.00</w:t>
            </w:r>
          </w:p>
        </w:tc>
        <w:tc>
          <w:tcPr>
            <w:tcW w:w="1606" w:type="dxa"/>
            <w:tcBorders>
              <w:top w:val="single" w:color="auto" w:sz="2" w:space="0"/>
              <w:left w:val="single" w:color="auto" w:sz="2" w:space="0"/>
              <w:bottom w:val="single" w:color="auto" w:sz="2" w:space="0"/>
              <w:right w:val="single" w:color="auto" w:sz="2" w:space="0"/>
            </w:tcBorders>
            <w:vAlign w:val="center"/>
          </w:tcPr>
          <w:p w14:paraId="7F24F43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23.06%</w:t>
            </w:r>
          </w:p>
        </w:tc>
        <w:tc>
          <w:tcPr>
            <w:tcW w:w="1606" w:type="dxa"/>
            <w:tcBorders>
              <w:top w:val="single" w:color="auto" w:sz="2" w:space="0"/>
              <w:left w:val="single" w:color="auto" w:sz="2" w:space="0"/>
              <w:bottom w:val="single" w:color="auto" w:sz="2" w:space="0"/>
              <w:right w:val="single" w:color="auto" w:sz="2" w:space="0"/>
            </w:tcBorders>
            <w:vAlign w:val="center"/>
          </w:tcPr>
          <w:p w14:paraId="029F467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21,008,726.20</w:t>
            </w:r>
          </w:p>
        </w:tc>
      </w:tr>
      <w:tr w14:paraId="1B6C3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C61E303">
            <w:pPr>
              <w:spacing w:before="0" w:after="0" w:line="240" w:lineRule="exact"/>
              <w:jc w:val="left"/>
              <w:rPr>
                <w:rFonts w:ascii="宋体" w:hAnsi="宋体" w:eastAsia="宋体" w:cs="宋体"/>
                <w:sz w:val="18"/>
                <w:szCs w:val="18"/>
              </w:rPr>
            </w:pPr>
            <w:r>
              <w:rPr>
                <w:rFonts w:ascii="宋体" w:hAnsi="宋体" w:eastAsia="宋体" w:cs="宋体"/>
                <w:sz w:val="18"/>
                <w:szCs w:val="18"/>
              </w:rPr>
              <w:t>客户二</w:t>
            </w:r>
          </w:p>
        </w:tc>
        <w:tc>
          <w:tcPr>
            <w:tcW w:w="1606" w:type="dxa"/>
            <w:tcBorders>
              <w:top w:val="single" w:color="auto" w:sz="2" w:space="0"/>
              <w:left w:val="single" w:color="auto" w:sz="2" w:space="0"/>
              <w:bottom w:val="single" w:color="auto" w:sz="2" w:space="0"/>
              <w:right w:val="single" w:color="auto" w:sz="2" w:space="0"/>
            </w:tcBorders>
            <w:vAlign w:val="center"/>
          </w:tcPr>
          <w:p w14:paraId="4540D6B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20,799,459.86</w:t>
            </w:r>
          </w:p>
        </w:tc>
        <w:tc>
          <w:tcPr>
            <w:tcW w:w="1606" w:type="dxa"/>
            <w:tcBorders>
              <w:top w:val="single" w:color="auto" w:sz="2" w:space="0"/>
              <w:left w:val="single" w:color="auto" w:sz="2" w:space="0"/>
              <w:bottom w:val="single" w:color="auto" w:sz="2" w:space="0"/>
              <w:right w:val="single" w:color="auto" w:sz="2" w:space="0"/>
            </w:tcBorders>
            <w:vAlign w:val="center"/>
          </w:tcPr>
          <w:p w14:paraId="17C6DCAA">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C82B65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20,799,459.86</w:t>
            </w:r>
          </w:p>
        </w:tc>
        <w:tc>
          <w:tcPr>
            <w:tcW w:w="1606" w:type="dxa"/>
            <w:tcBorders>
              <w:top w:val="single" w:color="auto" w:sz="2" w:space="0"/>
              <w:left w:val="single" w:color="auto" w:sz="2" w:space="0"/>
              <w:bottom w:val="single" w:color="auto" w:sz="2" w:space="0"/>
              <w:right w:val="single" w:color="auto" w:sz="2" w:space="0"/>
            </w:tcBorders>
            <w:vAlign w:val="center"/>
          </w:tcPr>
          <w:p w14:paraId="42321CB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21.62%</w:t>
            </w:r>
          </w:p>
        </w:tc>
        <w:tc>
          <w:tcPr>
            <w:tcW w:w="1606" w:type="dxa"/>
            <w:tcBorders>
              <w:top w:val="single" w:color="auto" w:sz="2" w:space="0"/>
              <w:left w:val="single" w:color="auto" w:sz="2" w:space="0"/>
              <w:bottom w:val="single" w:color="auto" w:sz="2" w:space="0"/>
              <w:right w:val="single" w:color="auto" w:sz="2" w:space="0"/>
            </w:tcBorders>
            <w:vAlign w:val="center"/>
          </w:tcPr>
          <w:p w14:paraId="17DFB43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207,994.60</w:t>
            </w:r>
          </w:p>
        </w:tc>
      </w:tr>
      <w:tr w14:paraId="7A3E5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B296AE6">
            <w:pPr>
              <w:spacing w:before="0" w:after="0" w:line="240" w:lineRule="exact"/>
              <w:jc w:val="left"/>
              <w:rPr>
                <w:rFonts w:ascii="宋体" w:hAnsi="宋体" w:eastAsia="宋体" w:cs="宋体"/>
                <w:sz w:val="18"/>
                <w:szCs w:val="18"/>
              </w:rPr>
            </w:pPr>
            <w:r>
              <w:rPr>
                <w:rFonts w:ascii="宋体" w:hAnsi="宋体" w:eastAsia="宋体" w:cs="宋体"/>
                <w:sz w:val="18"/>
                <w:szCs w:val="18"/>
              </w:rPr>
              <w:t>客户三</w:t>
            </w:r>
          </w:p>
        </w:tc>
        <w:tc>
          <w:tcPr>
            <w:tcW w:w="1606" w:type="dxa"/>
            <w:tcBorders>
              <w:top w:val="single" w:color="auto" w:sz="2" w:space="0"/>
              <w:left w:val="single" w:color="auto" w:sz="2" w:space="0"/>
              <w:bottom w:val="single" w:color="auto" w:sz="2" w:space="0"/>
              <w:right w:val="single" w:color="auto" w:sz="2" w:space="0"/>
            </w:tcBorders>
            <w:vAlign w:val="center"/>
          </w:tcPr>
          <w:p w14:paraId="512BD2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3,146,850.00</w:t>
            </w:r>
          </w:p>
        </w:tc>
        <w:tc>
          <w:tcPr>
            <w:tcW w:w="1606" w:type="dxa"/>
            <w:tcBorders>
              <w:top w:val="single" w:color="auto" w:sz="2" w:space="0"/>
              <w:left w:val="single" w:color="auto" w:sz="2" w:space="0"/>
              <w:bottom w:val="single" w:color="auto" w:sz="2" w:space="0"/>
              <w:right w:val="single" w:color="auto" w:sz="2" w:space="0"/>
            </w:tcBorders>
            <w:vAlign w:val="center"/>
          </w:tcPr>
          <w:p w14:paraId="336222C7">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C05756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3,146,850.00</w:t>
            </w:r>
          </w:p>
        </w:tc>
        <w:tc>
          <w:tcPr>
            <w:tcW w:w="1606" w:type="dxa"/>
            <w:tcBorders>
              <w:top w:val="single" w:color="auto" w:sz="2" w:space="0"/>
              <w:left w:val="single" w:color="auto" w:sz="2" w:space="0"/>
              <w:bottom w:val="single" w:color="auto" w:sz="2" w:space="0"/>
              <w:right w:val="single" w:color="auto" w:sz="2" w:space="0"/>
            </w:tcBorders>
            <w:vAlign w:val="center"/>
          </w:tcPr>
          <w:p w14:paraId="51B534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3.27%</w:t>
            </w:r>
          </w:p>
        </w:tc>
        <w:tc>
          <w:tcPr>
            <w:tcW w:w="1606" w:type="dxa"/>
            <w:tcBorders>
              <w:top w:val="single" w:color="auto" w:sz="2" w:space="0"/>
              <w:left w:val="single" w:color="auto" w:sz="2" w:space="0"/>
              <w:bottom w:val="single" w:color="auto" w:sz="2" w:space="0"/>
              <w:right w:val="single" w:color="auto" w:sz="2" w:space="0"/>
            </w:tcBorders>
            <w:vAlign w:val="center"/>
          </w:tcPr>
          <w:p w14:paraId="63ECF70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3,146,850.00</w:t>
            </w:r>
          </w:p>
        </w:tc>
      </w:tr>
      <w:tr w14:paraId="40415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EC4EA34">
            <w:pPr>
              <w:spacing w:before="0" w:after="0" w:line="240" w:lineRule="exact"/>
              <w:jc w:val="left"/>
              <w:rPr>
                <w:rFonts w:ascii="宋体" w:hAnsi="宋体" w:eastAsia="宋体" w:cs="宋体"/>
                <w:sz w:val="18"/>
                <w:szCs w:val="18"/>
              </w:rPr>
            </w:pPr>
            <w:r>
              <w:rPr>
                <w:rFonts w:ascii="宋体" w:hAnsi="宋体" w:eastAsia="宋体" w:cs="宋体"/>
                <w:sz w:val="18"/>
                <w:szCs w:val="18"/>
              </w:rPr>
              <w:t>客户四</w:t>
            </w:r>
          </w:p>
        </w:tc>
        <w:tc>
          <w:tcPr>
            <w:tcW w:w="1606" w:type="dxa"/>
            <w:tcBorders>
              <w:top w:val="single" w:color="auto" w:sz="2" w:space="0"/>
              <w:left w:val="single" w:color="auto" w:sz="2" w:space="0"/>
              <w:bottom w:val="single" w:color="auto" w:sz="2" w:space="0"/>
              <w:right w:val="single" w:color="auto" w:sz="2" w:space="0"/>
            </w:tcBorders>
            <w:vAlign w:val="center"/>
          </w:tcPr>
          <w:p w14:paraId="4A60E00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3,025,000.00</w:t>
            </w:r>
          </w:p>
        </w:tc>
        <w:tc>
          <w:tcPr>
            <w:tcW w:w="1606" w:type="dxa"/>
            <w:tcBorders>
              <w:top w:val="single" w:color="auto" w:sz="2" w:space="0"/>
              <w:left w:val="single" w:color="auto" w:sz="2" w:space="0"/>
              <w:bottom w:val="single" w:color="auto" w:sz="2" w:space="0"/>
              <w:right w:val="single" w:color="auto" w:sz="2" w:space="0"/>
            </w:tcBorders>
            <w:vAlign w:val="center"/>
          </w:tcPr>
          <w:p w14:paraId="16DA2B99">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DE8128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3,025,000.00</w:t>
            </w:r>
          </w:p>
        </w:tc>
        <w:tc>
          <w:tcPr>
            <w:tcW w:w="1606" w:type="dxa"/>
            <w:tcBorders>
              <w:top w:val="single" w:color="auto" w:sz="2" w:space="0"/>
              <w:left w:val="single" w:color="auto" w:sz="2" w:space="0"/>
              <w:bottom w:val="single" w:color="auto" w:sz="2" w:space="0"/>
              <w:right w:val="single" w:color="auto" w:sz="2" w:space="0"/>
            </w:tcBorders>
            <w:vAlign w:val="center"/>
          </w:tcPr>
          <w:p w14:paraId="4AA1080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3.14%</w:t>
            </w:r>
          </w:p>
        </w:tc>
        <w:tc>
          <w:tcPr>
            <w:tcW w:w="1606" w:type="dxa"/>
            <w:tcBorders>
              <w:top w:val="single" w:color="auto" w:sz="2" w:space="0"/>
              <w:left w:val="single" w:color="auto" w:sz="2" w:space="0"/>
              <w:bottom w:val="single" w:color="auto" w:sz="2" w:space="0"/>
              <w:right w:val="single" w:color="auto" w:sz="2" w:space="0"/>
            </w:tcBorders>
            <w:vAlign w:val="center"/>
          </w:tcPr>
          <w:p w14:paraId="017E87A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30,250.00</w:t>
            </w:r>
          </w:p>
        </w:tc>
      </w:tr>
      <w:tr w14:paraId="16BEA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C985A14">
            <w:pPr>
              <w:spacing w:before="0" w:after="0" w:line="240" w:lineRule="exact"/>
              <w:jc w:val="left"/>
              <w:rPr>
                <w:rFonts w:ascii="宋体" w:hAnsi="宋体" w:eastAsia="宋体" w:cs="宋体"/>
                <w:sz w:val="18"/>
                <w:szCs w:val="18"/>
              </w:rPr>
            </w:pPr>
            <w:r>
              <w:rPr>
                <w:rFonts w:ascii="宋体" w:hAnsi="宋体" w:eastAsia="宋体" w:cs="宋体"/>
                <w:sz w:val="18"/>
                <w:szCs w:val="18"/>
              </w:rPr>
              <w:t>客户五</w:t>
            </w:r>
          </w:p>
        </w:tc>
        <w:tc>
          <w:tcPr>
            <w:tcW w:w="1606" w:type="dxa"/>
            <w:tcBorders>
              <w:top w:val="single" w:color="auto" w:sz="2" w:space="0"/>
              <w:left w:val="single" w:color="auto" w:sz="2" w:space="0"/>
              <w:bottom w:val="single" w:color="auto" w:sz="2" w:space="0"/>
              <w:right w:val="single" w:color="auto" w:sz="2" w:space="0"/>
            </w:tcBorders>
            <w:vAlign w:val="center"/>
          </w:tcPr>
          <w:p w14:paraId="1E6B7EE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2,846,821.60</w:t>
            </w:r>
          </w:p>
        </w:tc>
        <w:tc>
          <w:tcPr>
            <w:tcW w:w="1606" w:type="dxa"/>
            <w:tcBorders>
              <w:top w:val="single" w:color="auto" w:sz="2" w:space="0"/>
              <w:left w:val="single" w:color="auto" w:sz="2" w:space="0"/>
              <w:bottom w:val="single" w:color="auto" w:sz="2" w:space="0"/>
              <w:right w:val="single" w:color="auto" w:sz="2" w:space="0"/>
            </w:tcBorders>
            <w:vAlign w:val="center"/>
          </w:tcPr>
          <w:p w14:paraId="1623C8B4">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DEB699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2,846,821.60</w:t>
            </w:r>
          </w:p>
        </w:tc>
        <w:tc>
          <w:tcPr>
            <w:tcW w:w="1606" w:type="dxa"/>
            <w:tcBorders>
              <w:top w:val="single" w:color="auto" w:sz="2" w:space="0"/>
              <w:left w:val="single" w:color="auto" w:sz="2" w:space="0"/>
              <w:bottom w:val="single" w:color="auto" w:sz="2" w:space="0"/>
              <w:right w:val="single" w:color="auto" w:sz="2" w:space="0"/>
            </w:tcBorders>
            <w:vAlign w:val="center"/>
          </w:tcPr>
          <w:p w14:paraId="46D6835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2.96%</w:t>
            </w:r>
          </w:p>
        </w:tc>
        <w:tc>
          <w:tcPr>
            <w:tcW w:w="1606" w:type="dxa"/>
            <w:tcBorders>
              <w:top w:val="single" w:color="auto" w:sz="2" w:space="0"/>
              <w:left w:val="single" w:color="auto" w:sz="2" w:space="0"/>
              <w:bottom w:val="single" w:color="auto" w:sz="2" w:space="0"/>
              <w:right w:val="single" w:color="auto" w:sz="2" w:space="0"/>
            </w:tcBorders>
            <w:vAlign w:val="center"/>
          </w:tcPr>
          <w:p w14:paraId="1412BE6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141,727.60</w:t>
            </w:r>
          </w:p>
        </w:tc>
      </w:tr>
      <w:tr w14:paraId="057AD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F9B835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14:paraId="50A6357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52,010,880.46</w:t>
            </w:r>
          </w:p>
        </w:tc>
        <w:tc>
          <w:tcPr>
            <w:tcW w:w="1606" w:type="dxa"/>
            <w:tcBorders>
              <w:top w:val="single" w:color="auto" w:sz="2" w:space="0"/>
              <w:left w:val="single" w:color="auto" w:sz="2" w:space="0"/>
              <w:bottom w:val="single" w:color="auto" w:sz="2" w:space="0"/>
              <w:right w:val="single" w:color="auto" w:sz="2" w:space="0"/>
            </w:tcBorders>
            <w:vAlign w:val="center"/>
          </w:tcPr>
          <w:p w14:paraId="242137E8">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B9B470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52,010,880.46</w:t>
            </w:r>
          </w:p>
        </w:tc>
        <w:tc>
          <w:tcPr>
            <w:tcW w:w="1606" w:type="dxa"/>
            <w:tcBorders>
              <w:top w:val="single" w:color="auto" w:sz="2" w:space="0"/>
              <w:left w:val="single" w:color="auto" w:sz="2" w:space="0"/>
              <w:bottom w:val="single" w:color="auto" w:sz="2" w:space="0"/>
              <w:right w:val="single" w:color="auto" w:sz="2" w:space="0"/>
            </w:tcBorders>
            <w:vAlign w:val="center"/>
          </w:tcPr>
          <w:p w14:paraId="66BCE2B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54.05%</w:t>
            </w:r>
          </w:p>
        </w:tc>
        <w:tc>
          <w:tcPr>
            <w:tcW w:w="1606" w:type="dxa"/>
            <w:tcBorders>
              <w:top w:val="single" w:color="auto" w:sz="2" w:space="0"/>
              <w:left w:val="single" w:color="auto" w:sz="2" w:space="0"/>
              <w:bottom w:val="single" w:color="auto" w:sz="2" w:space="0"/>
              <w:right w:val="single" w:color="auto" w:sz="2" w:space="0"/>
            </w:tcBorders>
            <w:vAlign w:val="center"/>
          </w:tcPr>
          <w:p w14:paraId="1FE5519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24,535,548.40</w:t>
            </w:r>
          </w:p>
        </w:tc>
      </w:tr>
    </w:tbl>
    <w:p w14:paraId="1300E2F2">
      <w:pPr>
        <w:pStyle w:val="3"/>
        <w:keepNext/>
        <w:keepLines/>
        <w:spacing w:before="300" w:after="300" w:line="280" w:lineRule="exact"/>
        <w:jc w:val="left"/>
        <w:outlineLvl w:val="2"/>
        <w:rPr>
          <w:rFonts w:ascii="宋体" w:hAnsi="宋体" w:eastAsia="宋体" w:cs="宋体"/>
          <w:b/>
          <w:bCs/>
          <w:sz w:val="21"/>
          <w:szCs w:val="21"/>
        </w:rPr>
      </w:pPr>
      <w:bookmarkStart w:id="287" w:name="_Toc989097"/>
      <w:r>
        <w:rPr>
          <w:rFonts w:hint="default" w:ascii="Times New Roman" w:hAnsi="Times New Roman" w:eastAsia="宋体" w:cs="Times New Roman"/>
          <w:b/>
          <w:bCs/>
          <w:sz w:val="21"/>
          <w:szCs w:val="21"/>
        </w:rPr>
        <w:t>3</w:t>
      </w:r>
      <w:r>
        <w:rPr>
          <w:rFonts w:ascii="宋体" w:hAnsi="宋体" w:eastAsia="宋体" w:cs="宋体"/>
          <w:b/>
          <w:bCs/>
          <w:sz w:val="21"/>
          <w:szCs w:val="21"/>
        </w:rPr>
        <w:t>、其他应收款</w:t>
      </w:r>
      <w:bookmarkEnd w:id="287"/>
    </w:p>
    <w:p w14:paraId="0C01A8A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F3EC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1A5A1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CCCA9F">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F79498">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2CDBE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100C70">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14:paraId="36C3022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2,962,833.08</w:t>
            </w:r>
          </w:p>
        </w:tc>
        <w:tc>
          <w:tcPr>
            <w:tcW w:w="3213" w:type="dxa"/>
            <w:tcBorders>
              <w:top w:val="single" w:color="auto" w:sz="2" w:space="0"/>
              <w:left w:val="single" w:color="auto" w:sz="2" w:space="0"/>
              <w:bottom w:val="single" w:color="auto" w:sz="2" w:space="0"/>
              <w:right w:val="single" w:color="auto" w:sz="2" w:space="0"/>
            </w:tcBorders>
            <w:vAlign w:val="center"/>
          </w:tcPr>
          <w:p w14:paraId="4787686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2,205,177.66</w:t>
            </w:r>
          </w:p>
        </w:tc>
      </w:tr>
      <w:tr w14:paraId="347D1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139FA0">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F70B5C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2,962,833.08</w:t>
            </w:r>
          </w:p>
        </w:tc>
        <w:tc>
          <w:tcPr>
            <w:tcW w:w="3213" w:type="dxa"/>
            <w:tcBorders>
              <w:top w:val="single" w:color="auto" w:sz="2" w:space="0"/>
              <w:left w:val="single" w:color="auto" w:sz="2" w:space="0"/>
              <w:bottom w:val="single" w:color="auto" w:sz="2" w:space="0"/>
              <w:right w:val="single" w:color="auto" w:sz="2" w:space="0"/>
            </w:tcBorders>
            <w:vAlign w:val="center"/>
          </w:tcPr>
          <w:p w14:paraId="35BB3EA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2,205,177.66</w:t>
            </w:r>
          </w:p>
        </w:tc>
      </w:tr>
    </w:tbl>
    <w:p w14:paraId="59FB8783">
      <w:pPr>
        <w:keepNext/>
        <w:keepLines/>
        <w:spacing w:before="300" w:after="300" w:line="280" w:lineRule="exact"/>
        <w:jc w:val="left"/>
        <w:outlineLvl w:val="3"/>
        <w:rPr>
          <w:rFonts w:ascii="宋体" w:hAnsi="宋体" w:eastAsia="宋体" w:cs="宋体"/>
          <w:b/>
          <w:bCs/>
          <w:sz w:val="21"/>
          <w:szCs w:val="21"/>
        </w:rPr>
      </w:pPr>
      <w:bookmarkStart w:id="288" w:name="_Toc989098"/>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其他应收款</w:t>
      </w:r>
      <w:bookmarkEnd w:id="288"/>
    </w:p>
    <w:p w14:paraId="50D0040C">
      <w:pPr>
        <w:keepNext/>
        <w:keepLines/>
        <w:spacing w:before="300" w:after="300" w:line="280" w:lineRule="exact"/>
        <w:jc w:val="left"/>
        <w:outlineLvl w:val="4"/>
        <w:rPr>
          <w:rFonts w:ascii="宋体" w:hAnsi="宋体" w:eastAsia="宋体" w:cs="宋体"/>
          <w:b/>
          <w:bCs/>
          <w:sz w:val="21"/>
          <w:szCs w:val="21"/>
        </w:rPr>
      </w:pPr>
      <w:bookmarkStart w:id="289" w:name="_Toc989099"/>
      <w:r>
        <w:rPr>
          <w:rFonts w:hint="default" w:ascii="Times New Roman" w:hAnsi="Times New Roman" w:eastAsia="宋体" w:cs="Times New Roman"/>
          <w:b/>
          <w:bCs/>
          <w:sz w:val="21"/>
          <w:szCs w:val="21"/>
        </w:rPr>
        <w:t>1</w:t>
      </w:r>
      <w:r>
        <w:rPr>
          <w:rFonts w:ascii="宋体" w:hAnsi="宋体" w:eastAsia="宋体" w:cs="宋体"/>
          <w:b/>
          <w:bCs/>
          <w:sz w:val="21"/>
          <w:szCs w:val="21"/>
        </w:rPr>
        <w:t>） 其他应收款按款项性质分类情况</w:t>
      </w:r>
      <w:bookmarkEnd w:id="289"/>
    </w:p>
    <w:p w14:paraId="753B46C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5616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ED6D99">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5AD12A">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F94DF9">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0E49F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F71C9E9">
            <w:pPr>
              <w:spacing w:before="0" w:after="0" w:line="240" w:lineRule="exact"/>
              <w:jc w:val="left"/>
              <w:rPr>
                <w:rFonts w:ascii="宋体" w:hAnsi="宋体" w:eastAsia="宋体" w:cs="宋体"/>
                <w:sz w:val="18"/>
                <w:szCs w:val="18"/>
              </w:rPr>
            </w:pPr>
            <w:r>
              <w:rPr>
                <w:rFonts w:ascii="宋体" w:hAnsi="宋体" w:eastAsia="宋体" w:cs="宋体"/>
                <w:sz w:val="18"/>
                <w:szCs w:val="18"/>
              </w:rPr>
              <w:t>部门备用金</w:t>
            </w:r>
          </w:p>
        </w:tc>
        <w:tc>
          <w:tcPr>
            <w:tcW w:w="3213" w:type="dxa"/>
            <w:tcBorders>
              <w:top w:val="single" w:color="auto" w:sz="2" w:space="0"/>
              <w:left w:val="single" w:color="auto" w:sz="2" w:space="0"/>
              <w:bottom w:val="single" w:color="auto" w:sz="2" w:space="0"/>
              <w:right w:val="single" w:color="auto" w:sz="2" w:space="0"/>
            </w:tcBorders>
            <w:vAlign w:val="center"/>
          </w:tcPr>
          <w:p w14:paraId="7EB6842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18,489.40</w:t>
            </w:r>
          </w:p>
        </w:tc>
        <w:tc>
          <w:tcPr>
            <w:tcW w:w="3213" w:type="dxa"/>
            <w:tcBorders>
              <w:top w:val="single" w:color="auto" w:sz="2" w:space="0"/>
              <w:left w:val="single" w:color="auto" w:sz="2" w:space="0"/>
              <w:bottom w:val="single" w:color="auto" w:sz="2" w:space="0"/>
              <w:right w:val="single" w:color="auto" w:sz="2" w:space="0"/>
            </w:tcBorders>
            <w:vAlign w:val="center"/>
          </w:tcPr>
          <w:p w14:paraId="423B321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180,489.40</w:t>
            </w:r>
          </w:p>
        </w:tc>
      </w:tr>
      <w:tr w14:paraId="16870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ED613ED">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3213" w:type="dxa"/>
            <w:tcBorders>
              <w:top w:val="single" w:color="auto" w:sz="2" w:space="0"/>
              <w:left w:val="single" w:color="auto" w:sz="2" w:space="0"/>
              <w:bottom w:val="single" w:color="auto" w:sz="2" w:space="0"/>
              <w:right w:val="single" w:color="auto" w:sz="2" w:space="0"/>
            </w:tcBorders>
            <w:vAlign w:val="center"/>
          </w:tcPr>
          <w:p w14:paraId="7A46DC9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1,971,205.05</w:t>
            </w:r>
          </w:p>
        </w:tc>
        <w:tc>
          <w:tcPr>
            <w:tcW w:w="3213" w:type="dxa"/>
            <w:tcBorders>
              <w:top w:val="single" w:color="auto" w:sz="2" w:space="0"/>
              <w:left w:val="single" w:color="auto" w:sz="2" w:space="0"/>
              <w:bottom w:val="single" w:color="auto" w:sz="2" w:space="0"/>
              <w:right w:val="single" w:color="auto" w:sz="2" w:space="0"/>
            </w:tcBorders>
            <w:vAlign w:val="center"/>
          </w:tcPr>
          <w:p w14:paraId="57AF7F1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2,630,224.64</w:t>
            </w:r>
          </w:p>
        </w:tc>
      </w:tr>
      <w:tr w14:paraId="35CDF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B2D3F61">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14:paraId="6F43AF7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7,337,784.08</w:t>
            </w:r>
          </w:p>
        </w:tc>
        <w:tc>
          <w:tcPr>
            <w:tcW w:w="3213" w:type="dxa"/>
            <w:tcBorders>
              <w:top w:val="single" w:color="auto" w:sz="2" w:space="0"/>
              <w:left w:val="single" w:color="auto" w:sz="2" w:space="0"/>
              <w:bottom w:val="single" w:color="auto" w:sz="2" w:space="0"/>
              <w:right w:val="single" w:color="auto" w:sz="2" w:space="0"/>
            </w:tcBorders>
            <w:vAlign w:val="center"/>
          </w:tcPr>
          <w:p w14:paraId="3840200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5,989,957.67</w:t>
            </w:r>
          </w:p>
        </w:tc>
      </w:tr>
      <w:tr w14:paraId="0DF37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D37091E">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6CC5DBA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691,333.21</w:t>
            </w:r>
          </w:p>
        </w:tc>
        <w:tc>
          <w:tcPr>
            <w:tcW w:w="3213" w:type="dxa"/>
            <w:tcBorders>
              <w:top w:val="single" w:color="auto" w:sz="2" w:space="0"/>
              <w:left w:val="single" w:color="auto" w:sz="2" w:space="0"/>
              <w:bottom w:val="single" w:color="auto" w:sz="2" w:space="0"/>
              <w:right w:val="single" w:color="auto" w:sz="2" w:space="0"/>
            </w:tcBorders>
            <w:vAlign w:val="center"/>
          </w:tcPr>
          <w:p w14:paraId="480525B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708,549.16</w:t>
            </w:r>
          </w:p>
        </w:tc>
      </w:tr>
      <w:tr w14:paraId="14E87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C413A9">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B382AF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10,018,811.74</w:t>
            </w:r>
          </w:p>
        </w:tc>
        <w:tc>
          <w:tcPr>
            <w:tcW w:w="3213" w:type="dxa"/>
            <w:tcBorders>
              <w:top w:val="single" w:color="auto" w:sz="2" w:space="0"/>
              <w:left w:val="single" w:color="auto" w:sz="2" w:space="0"/>
              <w:bottom w:val="single" w:color="auto" w:sz="2" w:space="0"/>
              <w:right w:val="single" w:color="auto" w:sz="2" w:space="0"/>
            </w:tcBorders>
            <w:vAlign w:val="center"/>
          </w:tcPr>
          <w:p w14:paraId="2716927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9,509,220.87</w:t>
            </w:r>
          </w:p>
        </w:tc>
      </w:tr>
    </w:tbl>
    <w:p w14:paraId="3AADF7F0">
      <w:pPr>
        <w:keepNext/>
        <w:keepLines/>
        <w:spacing w:before="300" w:after="300" w:line="280" w:lineRule="exact"/>
        <w:jc w:val="left"/>
        <w:outlineLvl w:val="4"/>
        <w:rPr>
          <w:rFonts w:ascii="宋体" w:hAnsi="宋体" w:eastAsia="宋体" w:cs="宋体"/>
          <w:b/>
          <w:bCs/>
          <w:sz w:val="21"/>
          <w:szCs w:val="21"/>
        </w:rPr>
      </w:pPr>
      <w:bookmarkStart w:id="290" w:name="_Toc989100"/>
      <w:r>
        <w:rPr>
          <w:rFonts w:hint="default" w:ascii="Times New Roman" w:hAnsi="Times New Roman" w:eastAsia="宋体" w:cs="Times New Roman"/>
          <w:b/>
          <w:bCs/>
          <w:sz w:val="21"/>
          <w:szCs w:val="21"/>
        </w:rPr>
        <w:t>2</w:t>
      </w:r>
      <w:r>
        <w:rPr>
          <w:rFonts w:ascii="宋体" w:hAnsi="宋体" w:eastAsia="宋体" w:cs="宋体"/>
          <w:b/>
          <w:bCs/>
          <w:sz w:val="21"/>
          <w:szCs w:val="21"/>
        </w:rPr>
        <w:t>） 按账龄披露</w:t>
      </w:r>
      <w:bookmarkEnd w:id="290"/>
    </w:p>
    <w:p w14:paraId="6C4520AD">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74DC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A0BFA3">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D3BFC2">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F8CA67">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47303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F96AD3">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年以内（含</w:t>
            </w:r>
            <w:r>
              <w:rPr>
                <w:rFonts w:hint="default" w:ascii="Times New Roman" w:hAnsi="Times New Roman" w:eastAsia="宋体" w:cs="Times New Roman"/>
                <w:sz w:val="18"/>
                <w:szCs w:val="18"/>
              </w:rPr>
              <w:t>1</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0D57813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2,584,557.41</w:t>
            </w:r>
          </w:p>
        </w:tc>
        <w:tc>
          <w:tcPr>
            <w:tcW w:w="3213" w:type="dxa"/>
            <w:tcBorders>
              <w:top w:val="single" w:color="auto" w:sz="2" w:space="0"/>
              <w:left w:val="single" w:color="auto" w:sz="2" w:space="0"/>
              <w:bottom w:val="single" w:color="auto" w:sz="2" w:space="0"/>
              <w:right w:val="single" w:color="auto" w:sz="2" w:space="0"/>
            </w:tcBorders>
            <w:vAlign w:val="center"/>
          </w:tcPr>
          <w:p w14:paraId="24CC051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1,769,979.21</w:t>
            </w:r>
          </w:p>
        </w:tc>
      </w:tr>
      <w:tr w14:paraId="7F8F5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25C458">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至</w:t>
            </w:r>
            <w:r>
              <w:rPr>
                <w:rFonts w:hint="default" w:ascii="Times New Roman" w:hAnsi="Times New Roman" w:eastAsia="宋体" w:cs="Times New Roman"/>
                <w:sz w:val="18"/>
                <w:szCs w:val="18"/>
              </w:rPr>
              <w:t>2</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7C1BE41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370,518.05</w:t>
            </w:r>
          </w:p>
        </w:tc>
        <w:tc>
          <w:tcPr>
            <w:tcW w:w="3213" w:type="dxa"/>
            <w:tcBorders>
              <w:top w:val="single" w:color="auto" w:sz="2" w:space="0"/>
              <w:left w:val="single" w:color="auto" w:sz="2" w:space="0"/>
              <w:bottom w:val="single" w:color="auto" w:sz="2" w:space="0"/>
              <w:right w:val="single" w:color="auto" w:sz="2" w:space="0"/>
            </w:tcBorders>
            <w:vAlign w:val="center"/>
          </w:tcPr>
          <w:p w14:paraId="0446CAD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438,338.99</w:t>
            </w:r>
          </w:p>
        </w:tc>
      </w:tr>
      <w:tr w14:paraId="53F7E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E69FB7">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至</w:t>
            </w:r>
            <w:r>
              <w:rPr>
                <w:rFonts w:hint="default" w:ascii="Times New Roman" w:hAnsi="Times New Roman" w:eastAsia="宋体" w:cs="Times New Roman"/>
                <w:sz w:val="18"/>
                <w:szCs w:val="18"/>
              </w:rPr>
              <w:t>3</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3C36A6C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66,650.00</w:t>
            </w:r>
          </w:p>
        </w:tc>
        <w:tc>
          <w:tcPr>
            <w:tcW w:w="3213" w:type="dxa"/>
            <w:tcBorders>
              <w:top w:val="single" w:color="auto" w:sz="2" w:space="0"/>
              <w:left w:val="single" w:color="auto" w:sz="2" w:space="0"/>
              <w:bottom w:val="single" w:color="auto" w:sz="2" w:space="0"/>
              <w:right w:val="single" w:color="auto" w:sz="2" w:space="0"/>
            </w:tcBorders>
            <w:vAlign w:val="center"/>
          </w:tcPr>
          <w:p w14:paraId="5874CCE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48,000.00</w:t>
            </w:r>
          </w:p>
        </w:tc>
      </w:tr>
      <w:tr w14:paraId="1A48F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929648">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年以上</w:t>
            </w:r>
          </w:p>
        </w:tc>
        <w:tc>
          <w:tcPr>
            <w:tcW w:w="3213" w:type="dxa"/>
            <w:tcBorders>
              <w:top w:val="single" w:color="auto" w:sz="2" w:space="0"/>
              <w:left w:val="single" w:color="auto" w:sz="2" w:space="0"/>
              <w:bottom w:val="single" w:color="auto" w:sz="2" w:space="0"/>
              <w:right w:val="single" w:color="auto" w:sz="2" w:space="0"/>
            </w:tcBorders>
            <w:vAlign w:val="center"/>
          </w:tcPr>
          <w:p w14:paraId="2EA8A6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6,997,086.28</w:t>
            </w:r>
          </w:p>
        </w:tc>
        <w:tc>
          <w:tcPr>
            <w:tcW w:w="3213" w:type="dxa"/>
            <w:tcBorders>
              <w:top w:val="single" w:color="auto" w:sz="2" w:space="0"/>
              <w:left w:val="single" w:color="auto" w:sz="2" w:space="0"/>
              <w:bottom w:val="single" w:color="auto" w:sz="2" w:space="0"/>
              <w:right w:val="single" w:color="auto" w:sz="2" w:space="0"/>
            </w:tcBorders>
            <w:vAlign w:val="center"/>
          </w:tcPr>
          <w:p w14:paraId="6CA5A1F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7,252,902.67</w:t>
            </w:r>
          </w:p>
        </w:tc>
      </w:tr>
      <w:tr w14:paraId="21A09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F95EC2">
            <w:pPr>
              <w:spacing w:before="40" w:after="40" w:line="240" w:lineRule="exact"/>
              <w:ind w:firstLine="180" w:firstLineChars="100"/>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至</w:t>
            </w:r>
            <w:r>
              <w:rPr>
                <w:rFonts w:hint="default" w:ascii="Times New Roman" w:hAnsi="Times New Roman" w:eastAsia="宋体" w:cs="Times New Roman"/>
                <w:sz w:val="18"/>
                <w:szCs w:val="18"/>
              </w:rPr>
              <w:t>4</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78B9534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45,000.00</w:t>
            </w:r>
          </w:p>
        </w:tc>
        <w:tc>
          <w:tcPr>
            <w:tcW w:w="3213" w:type="dxa"/>
            <w:tcBorders>
              <w:top w:val="single" w:color="auto" w:sz="2" w:space="0"/>
              <w:left w:val="single" w:color="auto" w:sz="2" w:space="0"/>
              <w:bottom w:val="single" w:color="auto" w:sz="2" w:space="0"/>
              <w:right w:val="single" w:color="auto" w:sz="2" w:space="0"/>
            </w:tcBorders>
            <w:vAlign w:val="center"/>
          </w:tcPr>
          <w:p w14:paraId="187EAEC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107,500.00</w:t>
            </w:r>
          </w:p>
        </w:tc>
      </w:tr>
      <w:tr w14:paraId="69B3C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390E84">
            <w:pPr>
              <w:spacing w:before="40" w:after="40" w:line="240" w:lineRule="exact"/>
              <w:ind w:firstLine="180" w:firstLineChars="100"/>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至</w:t>
            </w:r>
            <w:r>
              <w:rPr>
                <w:rFonts w:hint="default" w:ascii="Times New Roman" w:hAnsi="Times New Roman" w:eastAsia="宋体" w:cs="Times New Roman"/>
                <w:sz w:val="18"/>
                <w:szCs w:val="18"/>
              </w:rPr>
              <w:t>5</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1E3F987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107,500.00</w:t>
            </w:r>
          </w:p>
        </w:tc>
        <w:tc>
          <w:tcPr>
            <w:tcW w:w="3213" w:type="dxa"/>
            <w:tcBorders>
              <w:top w:val="single" w:color="auto" w:sz="2" w:space="0"/>
              <w:left w:val="single" w:color="auto" w:sz="2" w:space="0"/>
              <w:bottom w:val="single" w:color="auto" w:sz="2" w:space="0"/>
              <w:right w:val="single" w:color="auto" w:sz="2" w:space="0"/>
            </w:tcBorders>
            <w:vAlign w:val="center"/>
          </w:tcPr>
          <w:p w14:paraId="7BF0F30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105,215.79</w:t>
            </w:r>
          </w:p>
        </w:tc>
      </w:tr>
      <w:tr w14:paraId="6DE9C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2FED4D">
            <w:pPr>
              <w:spacing w:before="40" w:after="40" w:line="240" w:lineRule="exact"/>
              <w:ind w:firstLine="180" w:firstLineChars="100"/>
              <w:jc w:val="left"/>
              <w:rPr>
                <w:rFonts w:ascii="宋体" w:hAnsi="宋体" w:eastAsia="宋体" w:cs="宋体"/>
                <w:sz w:val="18"/>
                <w:szCs w:val="18"/>
              </w:rPr>
            </w:pPr>
            <w:r>
              <w:rPr>
                <w:rFonts w:hint="default" w:ascii="Times New Roman" w:hAnsi="Times New Roman" w:eastAsia="宋体" w:cs="Times New Roman"/>
                <w:sz w:val="18"/>
                <w:szCs w:val="18"/>
              </w:rPr>
              <w:t>5</w:t>
            </w:r>
            <w:r>
              <w:rPr>
                <w:rFonts w:ascii="宋体" w:hAnsi="宋体" w:eastAsia="宋体" w:cs="宋体"/>
                <w:sz w:val="18"/>
                <w:szCs w:val="18"/>
              </w:rPr>
              <w:t>年以上</w:t>
            </w:r>
          </w:p>
        </w:tc>
        <w:tc>
          <w:tcPr>
            <w:tcW w:w="3213" w:type="dxa"/>
            <w:tcBorders>
              <w:top w:val="single" w:color="auto" w:sz="2" w:space="0"/>
              <w:left w:val="single" w:color="auto" w:sz="2" w:space="0"/>
              <w:bottom w:val="single" w:color="auto" w:sz="2" w:space="0"/>
              <w:right w:val="single" w:color="auto" w:sz="2" w:space="0"/>
            </w:tcBorders>
            <w:vAlign w:val="center"/>
          </w:tcPr>
          <w:p w14:paraId="335ED12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6,844,586.28</w:t>
            </w:r>
          </w:p>
        </w:tc>
        <w:tc>
          <w:tcPr>
            <w:tcW w:w="3213" w:type="dxa"/>
            <w:tcBorders>
              <w:top w:val="single" w:color="auto" w:sz="2" w:space="0"/>
              <w:left w:val="single" w:color="auto" w:sz="2" w:space="0"/>
              <w:bottom w:val="single" w:color="auto" w:sz="2" w:space="0"/>
              <w:right w:val="single" w:color="auto" w:sz="2" w:space="0"/>
            </w:tcBorders>
            <w:vAlign w:val="center"/>
          </w:tcPr>
          <w:p w14:paraId="0B26599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7,040,186.88</w:t>
            </w:r>
          </w:p>
        </w:tc>
      </w:tr>
      <w:tr w14:paraId="30869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78F77E">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90AAE5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10,018,811.74</w:t>
            </w:r>
          </w:p>
        </w:tc>
        <w:tc>
          <w:tcPr>
            <w:tcW w:w="3213" w:type="dxa"/>
            <w:tcBorders>
              <w:top w:val="single" w:color="auto" w:sz="2" w:space="0"/>
              <w:left w:val="single" w:color="auto" w:sz="2" w:space="0"/>
              <w:bottom w:val="single" w:color="auto" w:sz="2" w:space="0"/>
              <w:right w:val="single" w:color="auto" w:sz="2" w:space="0"/>
            </w:tcBorders>
            <w:vAlign w:val="center"/>
          </w:tcPr>
          <w:p w14:paraId="52F89DD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9,509,220.87</w:t>
            </w:r>
          </w:p>
        </w:tc>
      </w:tr>
    </w:tbl>
    <w:p w14:paraId="126F41ED">
      <w:pPr>
        <w:keepNext/>
        <w:keepLines/>
        <w:spacing w:before="300" w:after="300" w:line="280" w:lineRule="exact"/>
        <w:jc w:val="left"/>
        <w:outlineLvl w:val="4"/>
        <w:rPr>
          <w:rFonts w:ascii="宋体" w:hAnsi="宋体" w:eastAsia="宋体" w:cs="宋体"/>
          <w:b/>
          <w:bCs/>
          <w:sz w:val="21"/>
          <w:szCs w:val="21"/>
        </w:rPr>
      </w:pPr>
      <w:bookmarkStart w:id="291" w:name="_Toc989101"/>
      <w:r>
        <w:rPr>
          <w:rFonts w:hint="default" w:ascii="Times New Roman" w:hAnsi="Times New Roman" w:eastAsia="宋体" w:cs="Times New Roman"/>
          <w:b/>
          <w:bCs/>
          <w:sz w:val="21"/>
          <w:szCs w:val="21"/>
        </w:rPr>
        <w:t>3</w:t>
      </w:r>
      <w:r>
        <w:rPr>
          <w:rFonts w:ascii="宋体" w:hAnsi="宋体" w:eastAsia="宋体" w:cs="宋体"/>
          <w:b/>
          <w:bCs/>
          <w:sz w:val="21"/>
          <w:szCs w:val="21"/>
        </w:rPr>
        <w:t>） 按坏账计提方法分类披露</w:t>
      </w:r>
      <w:bookmarkEnd w:id="291"/>
    </w:p>
    <w:p w14:paraId="4C3EEBFD">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004B855">
      <w:pPr>
        <w:keepNext/>
        <w:keepLines/>
        <w:spacing w:before="300" w:after="300" w:line="280" w:lineRule="exact"/>
        <w:jc w:val="left"/>
        <w:outlineLvl w:val="4"/>
        <w:rPr>
          <w:rFonts w:ascii="宋体" w:hAnsi="宋体" w:eastAsia="宋体" w:cs="宋体"/>
          <w:b/>
          <w:bCs/>
          <w:sz w:val="21"/>
          <w:szCs w:val="21"/>
        </w:rPr>
      </w:pPr>
      <w:bookmarkStart w:id="292" w:name="_Toc989102"/>
      <w:r>
        <w:rPr>
          <w:rFonts w:hint="default" w:ascii="Times New Roman" w:hAnsi="Times New Roman" w:eastAsia="宋体" w:cs="Times New Roman"/>
          <w:b/>
          <w:bCs/>
          <w:sz w:val="21"/>
          <w:szCs w:val="21"/>
        </w:rPr>
        <w:t>4</w:t>
      </w:r>
      <w:r>
        <w:rPr>
          <w:rFonts w:ascii="宋体" w:hAnsi="宋体" w:eastAsia="宋体" w:cs="宋体"/>
          <w:b/>
          <w:bCs/>
          <w:sz w:val="21"/>
          <w:szCs w:val="21"/>
        </w:rPr>
        <w:t>） 本期计提、收回或转回的坏账准备情况</w:t>
      </w:r>
      <w:bookmarkEnd w:id="292"/>
    </w:p>
    <w:p w14:paraId="5E918DC1">
      <w:pPr>
        <w:spacing w:before="100" w:after="10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14:paraId="54E137C9">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5DE70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52145EB">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B7E310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58E006F5">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64E53D6">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2DFE8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6AD825B"/>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A9E286B"/>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828FF8C">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AACB740">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708A9F7">
            <w:pPr>
              <w:spacing w:before="40" w:after="40" w:line="240" w:lineRule="exact"/>
              <w:jc w:val="center"/>
              <w:rPr>
                <w:rFonts w:ascii="宋体" w:hAnsi="宋体" w:eastAsia="宋体" w:cs="宋体"/>
                <w:sz w:val="18"/>
                <w:szCs w:val="18"/>
              </w:rPr>
            </w:pPr>
            <w:r>
              <w:rPr>
                <w:rFonts w:ascii="宋体" w:hAnsi="宋体" w:eastAsia="宋体" w:cs="宋体"/>
                <w:sz w:val="18"/>
                <w:szCs w:val="18"/>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8D36FB2">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F9FD665"/>
        </w:tc>
      </w:tr>
      <w:tr w14:paraId="354A7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F4382A6">
            <w:pPr>
              <w:spacing w:before="0" w:after="0" w:line="240" w:lineRule="exact"/>
              <w:jc w:val="left"/>
              <w:rPr>
                <w:rFonts w:ascii="宋体" w:hAnsi="宋体" w:eastAsia="宋体" w:cs="宋体"/>
                <w:sz w:val="18"/>
                <w:szCs w:val="18"/>
              </w:rPr>
            </w:pPr>
            <w:r>
              <w:rPr>
                <w:rFonts w:ascii="宋体" w:hAnsi="宋体" w:eastAsia="宋体" w:cs="宋体"/>
                <w:sz w:val="18"/>
                <w:szCs w:val="18"/>
              </w:rPr>
              <w:t>第一阶段</w:t>
            </w:r>
          </w:p>
        </w:tc>
        <w:tc>
          <w:tcPr>
            <w:tcW w:w="1377" w:type="dxa"/>
            <w:tcBorders>
              <w:top w:val="single" w:color="auto" w:sz="2" w:space="0"/>
              <w:left w:val="single" w:color="auto" w:sz="2" w:space="0"/>
              <w:bottom w:val="single" w:color="auto" w:sz="2" w:space="0"/>
              <w:right w:val="single" w:color="auto" w:sz="2" w:space="0"/>
            </w:tcBorders>
            <w:vAlign w:val="center"/>
          </w:tcPr>
          <w:p w14:paraId="030837C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5,204,043.21</w:t>
            </w:r>
          </w:p>
        </w:tc>
        <w:tc>
          <w:tcPr>
            <w:tcW w:w="1377" w:type="dxa"/>
            <w:tcBorders>
              <w:top w:val="single" w:color="auto" w:sz="2" w:space="0"/>
              <w:left w:val="single" w:color="auto" w:sz="2" w:space="0"/>
              <w:bottom w:val="single" w:color="auto" w:sz="2" w:space="0"/>
              <w:right w:val="single" w:color="auto" w:sz="2" w:space="0"/>
            </w:tcBorders>
            <w:vAlign w:val="center"/>
          </w:tcPr>
          <w:p w14:paraId="7DCE047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-248,064.55</w:t>
            </w:r>
          </w:p>
        </w:tc>
        <w:tc>
          <w:tcPr>
            <w:tcW w:w="1377" w:type="dxa"/>
            <w:tcBorders>
              <w:top w:val="single" w:color="auto" w:sz="2" w:space="0"/>
              <w:left w:val="single" w:color="auto" w:sz="2" w:space="0"/>
              <w:bottom w:val="single" w:color="auto" w:sz="2" w:space="0"/>
              <w:right w:val="single" w:color="auto" w:sz="2" w:space="0"/>
            </w:tcBorders>
            <w:vAlign w:val="center"/>
          </w:tcPr>
          <w:p w14:paraId="28D29606">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823A07C">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5F8D7F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-4,343,154.58</w:t>
            </w:r>
          </w:p>
        </w:tc>
        <w:tc>
          <w:tcPr>
            <w:tcW w:w="1377" w:type="dxa"/>
            <w:tcBorders>
              <w:top w:val="single" w:color="auto" w:sz="2" w:space="0"/>
              <w:left w:val="single" w:color="auto" w:sz="2" w:space="0"/>
              <w:bottom w:val="single" w:color="auto" w:sz="2" w:space="0"/>
              <w:right w:val="single" w:color="auto" w:sz="2" w:space="0"/>
            </w:tcBorders>
            <w:vAlign w:val="center"/>
          </w:tcPr>
          <w:p w14:paraId="7732515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612,824.08</w:t>
            </w:r>
          </w:p>
        </w:tc>
      </w:tr>
      <w:tr w14:paraId="630E5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01BF053">
            <w:pPr>
              <w:spacing w:before="0" w:after="0" w:line="240" w:lineRule="exact"/>
              <w:jc w:val="left"/>
              <w:rPr>
                <w:rFonts w:ascii="宋体" w:hAnsi="宋体" w:eastAsia="宋体" w:cs="宋体"/>
                <w:sz w:val="18"/>
                <w:szCs w:val="18"/>
              </w:rPr>
            </w:pPr>
            <w:r>
              <w:rPr>
                <w:rFonts w:ascii="宋体" w:hAnsi="宋体" w:eastAsia="宋体" w:cs="宋体"/>
                <w:sz w:val="18"/>
                <w:szCs w:val="18"/>
              </w:rPr>
              <w:t>第三阶段</w:t>
            </w:r>
          </w:p>
        </w:tc>
        <w:tc>
          <w:tcPr>
            <w:tcW w:w="1377" w:type="dxa"/>
            <w:tcBorders>
              <w:top w:val="single" w:color="auto" w:sz="2" w:space="0"/>
              <w:left w:val="single" w:color="auto" w:sz="2" w:space="0"/>
              <w:bottom w:val="single" w:color="auto" w:sz="2" w:space="0"/>
              <w:right w:val="single" w:color="auto" w:sz="2" w:space="0"/>
            </w:tcBorders>
            <w:vAlign w:val="center"/>
          </w:tcPr>
          <w:p w14:paraId="68FD074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2,100,000.00</w:t>
            </w:r>
          </w:p>
        </w:tc>
        <w:tc>
          <w:tcPr>
            <w:tcW w:w="1377" w:type="dxa"/>
            <w:tcBorders>
              <w:top w:val="single" w:color="auto" w:sz="2" w:space="0"/>
              <w:left w:val="single" w:color="auto" w:sz="2" w:space="0"/>
              <w:bottom w:val="single" w:color="auto" w:sz="2" w:space="0"/>
              <w:right w:val="single" w:color="auto" w:sz="2" w:space="0"/>
            </w:tcBorders>
            <w:vAlign w:val="center"/>
          </w:tcPr>
          <w:p w14:paraId="518BF146">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C9A452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2359BBD">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C502FF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4,343,154.58</w:t>
            </w:r>
          </w:p>
        </w:tc>
        <w:tc>
          <w:tcPr>
            <w:tcW w:w="1377" w:type="dxa"/>
            <w:tcBorders>
              <w:top w:val="single" w:color="auto" w:sz="2" w:space="0"/>
              <w:left w:val="single" w:color="auto" w:sz="2" w:space="0"/>
              <w:bottom w:val="single" w:color="auto" w:sz="2" w:space="0"/>
              <w:right w:val="single" w:color="auto" w:sz="2" w:space="0"/>
            </w:tcBorders>
            <w:vAlign w:val="center"/>
          </w:tcPr>
          <w:p w14:paraId="46EB939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6,443,154.58</w:t>
            </w:r>
          </w:p>
        </w:tc>
      </w:tr>
      <w:tr w14:paraId="35F51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2989D6F">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56967E4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7,304,043.21</w:t>
            </w:r>
          </w:p>
        </w:tc>
        <w:tc>
          <w:tcPr>
            <w:tcW w:w="1377" w:type="dxa"/>
            <w:tcBorders>
              <w:top w:val="single" w:color="auto" w:sz="2" w:space="0"/>
              <w:left w:val="single" w:color="auto" w:sz="2" w:space="0"/>
              <w:bottom w:val="single" w:color="auto" w:sz="2" w:space="0"/>
              <w:right w:val="single" w:color="auto" w:sz="2" w:space="0"/>
            </w:tcBorders>
            <w:vAlign w:val="center"/>
          </w:tcPr>
          <w:p w14:paraId="0D3129A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-248,064.55</w:t>
            </w:r>
          </w:p>
        </w:tc>
        <w:tc>
          <w:tcPr>
            <w:tcW w:w="1377" w:type="dxa"/>
            <w:tcBorders>
              <w:top w:val="single" w:color="auto" w:sz="2" w:space="0"/>
              <w:left w:val="single" w:color="auto" w:sz="2" w:space="0"/>
              <w:bottom w:val="single" w:color="auto" w:sz="2" w:space="0"/>
              <w:right w:val="single" w:color="auto" w:sz="2" w:space="0"/>
            </w:tcBorders>
            <w:vAlign w:val="center"/>
          </w:tcPr>
          <w:p w14:paraId="0198E151">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DEF9F33">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F3C06A8">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EDF652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7,055,978.66</w:t>
            </w:r>
          </w:p>
        </w:tc>
      </w:tr>
    </w:tbl>
    <w:p w14:paraId="681E1CE9">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14:paraId="5424BF83">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2D152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C825B3B">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FFBC7C1">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43CB5C1">
            <w:pPr>
              <w:spacing w:before="40" w:after="40" w:line="240" w:lineRule="exact"/>
              <w:jc w:val="center"/>
              <w:rPr>
                <w:rFonts w:ascii="宋体" w:hAnsi="宋体" w:eastAsia="宋体" w:cs="宋体"/>
                <w:sz w:val="18"/>
                <w:szCs w:val="18"/>
              </w:rPr>
            </w:pPr>
            <w:r>
              <w:rPr>
                <w:rFonts w:ascii="宋体" w:hAnsi="宋体" w:eastAsia="宋体" w:cs="宋体"/>
                <w:sz w:val="18"/>
                <w:szCs w:val="18"/>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1E0D95C">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B75FC8D">
            <w:pPr>
              <w:spacing w:before="40" w:after="40" w:line="240" w:lineRule="exact"/>
              <w:jc w:val="center"/>
              <w:rPr>
                <w:rFonts w:ascii="宋体" w:hAnsi="宋体" w:eastAsia="宋体" w:cs="宋体"/>
                <w:sz w:val="18"/>
                <w:szCs w:val="18"/>
              </w:rPr>
            </w:pPr>
            <w:r>
              <w:rPr>
                <w:rFonts w:ascii="宋体" w:hAnsi="宋体" w:eastAsia="宋体" w:cs="宋体"/>
                <w:sz w:val="18"/>
                <w:szCs w:val="18"/>
              </w:rPr>
              <w:t>确定原坏账准备计提比例的依据及其合理性</w:t>
            </w:r>
          </w:p>
        </w:tc>
      </w:tr>
    </w:tbl>
    <w:p w14:paraId="645BCEC7">
      <w:pPr>
        <w:keepNext/>
        <w:keepLines/>
        <w:spacing w:before="300" w:after="300" w:line="280" w:lineRule="exact"/>
        <w:jc w:val="left"/>
        <w:outlineLvl w:val="4"/>
        <w:rPr>
          <w:rFonts w:ascii="宋体" w:hAnsi="宋体" w:eastAsia="宋体" w:cs="宋体"/>
          <w:b/>
          <w:bCs/>
          <w:sz w:val="21"/>
          <w:szCs w:val="21"/>
        </w:rPr>
      </w:pPr>
      <w:bookmarkStart w:id="293" w:name="_Toc989103"/>
      <w:r>
        <w:rPr>
          <w:rFonts w:hint="default" w:ascii="Times New Roman" w:hAnsi="Times New Roman" w:eastAsia="宋体" w:cs="Times New Roman"/>
          <w:b/>
          <w:bCs/>
          <w:sz w:val="21"/>
          <w:szCs w:val="21"/>
        </w:rPr>
        <w:t>5</w:t>
      </w:r>
      <w:r>
        <w:rPr>
          <w:rFonts w:ascii="宋体" w:hAnsi="宋体" w:eastAsia="宋体" w:cs="宋体"/>
          <w:b/>
          <w:bCs/>
          <w:sz w:val="21"/>
          <w:szCs w:val="21"/>
        </w:rPr>
        <w:t>） 本期实际核销的其他应收款情况</w:t>
      </w:r>
      <w:bookmarkEnd w:id="293"/>
    </w:p>
    <w:p w14:paraId="2AEBEE1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2B69A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E6B731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313FC33">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14:paraId="594080D2">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14:paraId="380BAC38">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67172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E2B4A19">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22D4C28">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D6E6CFD">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3450BF2">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ED21131">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E13E36B">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14:paraId="18F80937">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14:paraId="20C75B5B">
      <w:pPr>
        <w:pStyle w:val="6"/>
        <w:keepNext w:val="0"/>
        <w:keepLines w:val="0"/>
        <w:widowControl/>
        <w:suppressLineNumbers w:val="0"/>
        <w:spacing w:before="0" w:beforeAutospacing="1" w:after="0" w:afterAutospacing="1"/>
        <w:ind w:left="0" w:right="0"/>
      </w:pPr>
      <w:r>
        <w:rPr>
          <w:rFonts w:hint="eastAsia" w:ascii="宋体" w:hAnsi="宋体" w:eastAsia="宋体" w:cs="宋体"/>
          <w:sz w:val="21"/>
          <w:szCs w:val="21"/>
        </w:rPr>
        <w:t>本期未发生实际核销其他应收款的情况。</w:t>
      </w:r>
    </w:p>
    <w:p w14:paraId="0D4E9EDE">
      <w:pPr>
        <w:keepNext/>
        <w:keepLines/>
        <w:spacing w:before="300" w:after="300" w:line="280" w:lineRule="exact"/>
        <w:jc w:val="left"/>
        <w:outlineLvl w:val="4"/>
        <w:rPr>
          <w:rFonts w:ascii="宋体" w:hAnsi="宋体" w:eastAsia="宋体" w:cs="宋体"/>
          <w:b/>
          <w:bCs/>
          <w:sz w:val="21"/>
          <w:szCs w:val="21"/>
        </w:rPr>
      </w:pPr>
      <w:bookmarkStart w:id="294" w:name="_Toc989104"/>
      <w:r>
        <w:rPr>
          <w:rFonts w:hint="default" w:ascii="Times New Roman" w:hAnsi="Times New Roman" w:eastAsia="宋体" w:cs="Times New Roman"/>
          <w:b/>
          <w:bCs/>
          <w:sz w:val="21"/>
          <w:szCs w:val="21"/>
        </w:rPr>
        <w:t>6</w:t>
      </w:r>
      <w:r>
        <w:rPr>
          <w:rFonts w:ascii="宋体" w:hAnsi="宋体" w:eastAsia="宋体" w:cs="宋体"/>
          <w:b/>
          <w:bCs/>
          <w:sz w:val="21"/>
          <w:szCs w:val="21"/>
        </w:rPr>
        <w:t>） 按欠款方归集的期末余额前五名的其他应收款情况</w:t>
      </w:r>
      <w:bookmarkEnd w:id="294"/>
    </w:p>
    <w:p w14:paraId="4462143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4B355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EE68DD2">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5CF4B7D">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A7CEBD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BBD9B7B">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47C507E">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F3DEF83">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14:paraId="7344C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55FDDE8">
            <w:pPr>
              <w:spacing w:before="0" w:after="0" w:line="240" w:lineRule="exact"/>
              <w:jc w:val="left"/>
              <w:rPr>
                <w:rFonts w:ascii="宋体" w:hAnsi="宋体" w:eastAsia="宋体" w:cs="宋体"/>
                <w:sz w:val="18"/>
                <w:szCs w:val="18"/>
              </w:rPr>
            </w:pPr>
            <w:r>
              <w:rPr>
                <w:rFonts w:ascii="宋体" w:hAnsi="宋体" w:eastAsia="宋体" w:cs="宋体"/>
                <w:sz w:val="18"/>
                <w:szCs w:val="18"/>
              </w:rPr>
              <w:t>广东坤隆科技集团有限公司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74D62BE6">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14:paraId="3622E6B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3,002,347.58</w:t>
            </w:r>
          </w:p>
        </w:tc>
        <w:tc>
          <w:tcPr>
            <w:tcW w:w="1606" w:type="dxa"/>
            <w:tcBorders>
              <w:top w:val="single" w:color="auto" w:sz="2" w:space="0"/>
              <w:left w:val="single" w:color="auto" w:sz="2" w:space="0"/>
              <w:bottom w:val="single" w:color="auto" w:sz="2" w:space="0"/>
              <w:right w:val="single" w:color="auto" w:sz="2" w:space="0"/>
            </w:tcBorders>
            <w:vAlign w:val="center"/>
          </w:tcPr>
          <w:p w14:paraId="6BA328AB">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5</w:t>
            </w:r>
            <w:r>
              <w:rPr>
                <w:rFonts w:ascii="宋体" w:hAnsi="宋体" w:eastAsia="宋体" w:cs="宋体"/>
                <w:sz w:val="18"/>
                <w:szCs w:val="18"/>
              </w:rPr>
              <w:t>年以上</w:t>
            </w:r>
          </w:p>
        </w:tc>
        <w:tc>
          <w:tcPr>
            <w:tcW w:w="1606" w:type="dxa"/>
            <w:tcBorders>
              <w:top w:val="single" w:color="auto" w:sz="2" w:space="0"/>
              <w:left w:val="single" w:color="auto" w:sz="2" w:space="0"/>
              <w:bottom w:val="single" w:color="auto" w:sz="2" w:space="0"/>
              <w:right w:val="single" w:color="auto" w:sz="2" w:space="0"/>
            </w:tcBorders>
            <w:vAlign w:val="center"/>
          </w:tcPr>
          <w:p w14:paraId="6F40BA1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29.97%</w:t>
            </w:r>
          </w:p>
        </w:tc>
        <w:tc>
          <w:tcPr>
            <w:tcW w:w="1606" w:type="dxa"/>
            <w:tcBorders>
              <w:top w:val="single" w:color="auto" w:sz="2" w:space="0"/>
              <w:left w:val="single" w:color="auto" w:sz="2" w:space="0"/>
              <w:bottom w:val="single" w:color="auto" w:sz="2" w:space="0"/>
              <w:right w:val="single" w:color="auto" w:sz="2" w:space="0"/>
            </w:tcBorders>
            <w:vAlign w:val="center"/>
          </w:tcPr>
          <w:p w14:paraId="25843C9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3,002,347.58</w:t>
            </w:r>
          </w:p>
        </w:tc>
      </w:tr>
      <w:tr w14:paraId="29499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6EAE5DB">
            <w:pPr>
              <w:spacing w:before="0" w:after="0" w:line="240" w:lineRule="exact"/>
              <w:jc w:val="left"/>
              <w:rPr>
                <w:rFonts w:ascii="宋体" w:hAnsi="宋体" w:eastAsia="宋体" w:cs="宋体"/>
                <w:sz w:val="18"/>
                <w:szCs w:val="18"/>
              </w:rPr>
            </w:pPr>
            <w:r>
              <w:rPr>
                <w:rFonts w:ascii="宋体" w:hAnsi="宋体" w:eastAsia="宋体" w:cs="宋体"/>
                <w:sz w:val="18"/>
                <w:szCs w:val="18"/>
              </w:rPr>
              <w:t>上海昊爱生物科技有限公司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2C274259">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14:paraId="1EB2FB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2,100,000.00</w:t>
            </w:r>
          </w:p>
        </w:tc>
        <w:tc>
          <w:tcPr>
            <w:tcW w:w="1606" w:type="dxa"/>
            <w:tcBorders>
              <w:top w:val="single" w:color="auto" w:sz="2" w:space="0"/>
              <w:left w:val="single" w:color="auto" w:sz="2" w:space="0"/>
              <w:bottom w:val="single" w:color="auto" w:sz="2" w:space="0"/>
              <w:right w:val="single" w:color="auto" w:sz="2" w:space="0"/>
            </w:tcBorders>
            <w:vAlign w:val="center"/>
          </w:tcPr>
          <w:p w14:paraId="04E8B8A0">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w:t>
            </w:r>
            <w:r>
              <w:rPr>
                <w:rFonts w:hint="default" w:ascii="Times New Roman" w:hAnsi="Times New Roman" w:eastAsia="宋体" w:cs="Times New Roman"/>
                <w:sz w:val="18"/>
                <w:szCs w:val="18"/>
              </w:rPr>
              <w:t>5</w:t>
            </w:r>
            <w:r>
              <w:rPr>
                <w:rFonts w:ascii="宋体" w:hAnsi="宋体" w:eastAsia="宋体" w:cs="宋体"/>
                <w:sz w:val="18"/>
                <w:szCs w:val="18"/>
              </w:rPr>
              <w:t>年，</w:t>
            </w:r>
            <w:r>
              <w:rPr>
                <w:rFonts w:hint="default" w:ascii="Times New Roman" w:hAnsi="Times New Roman" w:eastAsia="宋体" w:cs="Times New Roman"/>
                <w:sz w:val="18"/>
                <w:szCs w:val="18"/>
              </w:rPr>
              <w:t>5</w:t>
            </w:r>
            <w:r>
              <w:rPr>
                <w:rFonts w:ascii="宋体" w:hAnsi="宋体" w:eastAsia="宋体" w:cs="宋体"/>
                <w:sz w:val="18"/>
                <w:szCs w:val="18"/>
              </w:rPr>
              <w:t>年以上</w:t>
            </w:r>
          </w:p>
        </w:tc>
        <w:tc>
          <w:tcPr>
            <w:tcW w:w="1606" w:type="dxa"/>
            <w:tcBorders>
              <w:top w:val="single" w:color="auto" w:sz="2" w:space="0"/>
              <w:left w:val="single" w:color="auto" w:sz="2" w:space="0"/>
              <w:bottom w:val="single" w:color="auto" w:sz="2" w:space="0"/>
              <w:right w:val="single" w:color="auto" w:sz="2" w:space="0"/>
            </w:tcBorders>
            <w:vAlign w:val="center"/>
          </w:tcPr>
          <w:p w14:paraId="7C087FD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20.96%</w:t>
            </w:r>
          </w:p>
        </w:tc>
        <w:tc>
          <w:tcPr>
            <w:tcW w:w="1606" w:type="dxa"/>
            <w:tcBorders>
              <w:top w:val="single" w:color="auto" w:sz="2" w:space="0"/>
              <w:left w:val="single" w:color="auto" w:sz="2" w:space="0"/>
              <w:bottom w:val="single" w:color="auto" w:sz="2" w:space="0"/>
              <w:right w:val="single" w:color="auto" w:sz="2" w:space="0"/>
            </w:tcBorders>
            <w:vAlign w:val="center"/>
          </w:tcPr>
          <w:p w14:paraId="2BFDAD1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2,100,000.00</w:t>
            </w:r>
          </w:p>
        </w:tc>
      </w:tr>
      <w:tr w14:paraId="17028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C73C144">
            <w:pPr>
              <w:spacing w:before="0" w:after="0" w:line="240" w:lineRule="exact"/>
              <w:jc w:val="left"/>
              <w:rPr>
                <w:rFonts w:ascii="宋体" w:hAnsi="宋体" w:eastAsia="宋体" w:cs="宋体"/>
                <w:sz w:val="18"/>
                <w:szCs w:val="18"/>
              </w:rPr>
            </w:pPr>
            <w:r>
              <w:rPr>
                <w:rFonts w:ascii="宋体" w:hAnsi="宋体" w:eastAsia="宋体" w:cs="宋体"/>
                <w:sz w:val="18"/>
                <w:szCs w:val="18"/>
              </w:rPr>
              <w:t>广州虹雉新技术开发合伙企业（有限合伙）</w:t>
            </w:r>
          </w:p>
        </w:tc>
        <w:tc>
          <w:tcPr>
            <w:tcW w:w="1606" w:type="dxa"/>
            <w:tcBorders>
              <w:top w:val="single" w:color="auto" w:sz="2" w:space="0"/>
              <w:left w:val="single" w:color="auto" w:sz="2" w:space="0"/>
              <w:bottom w:val="single" w:color="auto" w:sz="2" w:space="0"/>
              <w:right w:val="single" w:color="auto" w:sz="2" w:space="0"/>
            </w:tcBorders>
            <w:vAlign w:val="center"/>
          </w:tcPr>
          <w:p w14:paraId="55912B29">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14:paraId="30E4C87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w:t>
            </w:r>
          </w:p>
        </w:tc>
        <w:tc>
          <w:tcPr>
            <w:tcW w:w="1606" w:type="dxa"/>
            <w:tcBorders>
              <w:top w:val="single" w:color="auto" w:sz="2" w:space="0"/>
              <w:left w:val="single" w:color="auto" w:sz="2" w:space="0"/>
              <w:bottom w:val="single" w:color="auto" w:sz="2" w:space="0"/>
              <w:right w:val="single" w:color="auto" w:sz="2" w:space="0"/>
            </w:tcBorders>
            <w:vAlign w:val="center"/>
          </w:tcPr>
          <w:p w14:paraId="27E90EB9">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年以内</w:t>
            </w:r>
          </w:p>
        </w:tc>
        <w:tc>
          <w:tcPr>
            <w:tcW w:w="1606" w:type="dxa"/>
            <w:tcBorders>
              <w:top w:val="single" w:color="auto" w:sz="2" w:space="0"/>
              <w:left w:val="single" w:color="auto" w:sz="2" w:space="0"/>
              <w:bottom w:val="single" w:color="auto" w:sz="2" w:space="0"/>
              <w:right w:val="single" w:color="auto" w:sz="2" w:space="0"/>
            </w:tcBorders>
            <w:vAlign w:val="center"/>
          </w:tcPr>
          <w:p w14:paraId="51E2C3F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14.97%</w:t>
            </w:r>
          </w:p>
        </w:tc>
        <w:tc>
          <w:tcPr>
            <w:tcW w:w="1606" w:type="dxa"/>
            <w:tcBorders>
              <w:top w:val="single" w:color="auto" w:sz="2" w:space="0"/>
              <w:left w:val="single" w:color="auto" w:sz="2" w:space="0"/>
              <w:bottom w:val="single" w:color="auto" w:sz="2" w:space="0"/>
              <w:right w:val="single" w:color="auto" w:sz="2" w:space="0"/>
            </w:tcBorders>
            <w:vAlign w:val="center"/>
          </w:tcPr>
          <w:p w14:paraId="6B4AFFB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w:t>
            </w:r>
          </w:p>
        </w:tc>
      </w:tr>
      <w:tr w14:paraId="3E102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98BCE81">
            <w:pPr>
              <w:spacing w:before="0" w:after="0" w:line="240" w:lineRule="exact"/>
              <w:jc w:val="left"/>
              <w:rPr>
                <w:rFonts w:ascii="宋体" w:hAnsi="宋体" w:eastAsia="宋体" w:cs="宋体"/>
                <w:sz w:val="18"/>
                <w:szCs w:val="18"/>
              </w:rPr>
            </w:pPr>
            <w:r>
              <w:rPr>
                <w:rFonts w:ascii="宋体" w:hAnsi="宋体" w:eastAsia="宋体" w:cs="宋体"/>
                <w:sz w:val="18"/>
                <w:szCs w:val="18"/>
              </w:rPr>
              <w:t>广州旗锐数字科技有限公司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2A4CDE92">
            <w:pPr>
              <w:spacing w:before="0" w:after="0" w:line="240" w:lineRule="exact"/>
              <w:jc w:val="left"/>
              <w:rPr>
                <w:rFonts w:ascii="宋体" w:hAnsi="宋体" w:eastAsia="宋体" w:cs="宋体"/>
                <w:sz w:val="18"/>
                <w:szCs w:val="18"/>
              </w:rPr>
            </w:pPr>
            <w:r>
              <w:rPr>
                <w:rFonts w:ascii="宋体" w:hAnsi="宋体" w:eastAsia="宋体" w:cs="宋体"/>
                <w:sz w:val="18"/>
                <w:szCs w:val="18"/>
              </w:rPr>
              <w:t>押金保证金</w:t>
            </w:r>
          </w:p>
        </w:tc>
        <w:tc>
          <w:tcPr>
            <w:tcW w:w="1606" w:type="dxa"/>
            <w:tcBorders>
              <w:top w:val="single" w:color="auto" w:sz="2" w:space="0"/>
              <w:left w:val="single" w:color="auto" w:sz="2" w:space="0"/>
              <w:bottom w:val="single" w:color="auto" w:sz="2" w:space="0"/>
              <w:right w:val="single" w:color="auto" w:sz="2" w:space="0"/>
            </w:tcBorders>
            <w:vAlign w:val="center"/>
          </w:tcPr>
          <w:p w14:paraId="03CBB22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952,928.00</w:t>
            </w:r>
          </w:p>
        </w:tc>
        <w:tc>
          <w:tcPr>
            <w:tcW w:w="1606" w:type="dxa"/>
            <w:tcBorders>
              <w:top w:val="single" w:color="auto" w:sz="2" w:space="0"/>
              <w:left w:val="single" w:color="auto" w:sz="2" w:space="0"/>
              <w:bottom w:val="single" w:color="auto" w:sz="2" w:space="0"/>
              <w:right w:val="single" w:color="auto" w:sz="2" w:space="0"/>
            </w:tcBorders>
            <w:vAlign w:val="center"/>
          </w:tcPr>
          <w:p w14:paraId="6EB84B83">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5</w:t>
            </w:r>
            <w:r>
              <w:rPr>
                <w:rFonts w:ascii="宋体" w:hAnsi="宋体" w:eastAsia="宋体" w:cs="宋体"/>
                <w:sz w:val="18"/>
                <w:szCs w:val="18"/>
              </w:rPr>
              <w:t>年以上</w:t>
            </w:r>
          </w:p>
        </w:tc>
        <w:tc>
          <w:tcPr>
            <w:tcW w:w="1606" w:type="dxa"/>
            <w:tcBorders>
              <w:top w:val="single" w:color="auto" w:sz="2" w:space="0"/>
              <w:left w:val="single" w:color="auto" w:sz="2" w:space="0"/>
              <w:bottom w:val="single" w:color="auto" w:sz="2" w:space="0"/>
              <w:right w:val="single" w:color="auto" w:sz="2" w:space="0"/>
            </w:tcBorders>
            <w:vAlign w:val="center"/>
          </w:tcPr>
          <w:p w14:paraId="33280E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9.51%</w:t>
            </w:r>
          </w:p>
        </w:tc>
        <w:tc>
          <w:tcPr>
            <w:tcW w:w="1606" w:type="dxa"/>
            <w:tcBorders>
              <w:top w:val="single" w:color="auto" w:sz="2" w:space="0"/>
              <w:left w:val="single" w:color="auto" w:sz="2" w:space="0"/>
              <w:bottom w:val="single" w:color="auto" w:sz="2" w:space="0"/>
              <w:right w:val="single" w:color="auto" w:sz="2" w:space="0"/>
            </w:tcBorders>
            <w:vAlign w:val="center"/>
          </w:tcPr>
          <w:p w14:paraId="501B136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952,928.00</w:t>
            </w:r>
          </w:p>
        </w:tc>
      </w:tr>
      <w:tr w14:paraId="72639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0B5BF5D">
            <w:pPr>
              <w:spacing w:before="0" w:after="0" w:line="240" w:lineRule="exact"/>
              <w:jc w:val="left"/>
              <w:rPr>
                <w:rFonts w:ascii="宋体" w:hAnsi="宋体" w:eastAsia="宋体" w:cs="宋体"/>
                <w:sz w:val="18"/>
                <w:szCs w:val="18"/>
              </w:rPr>
            </w:pPr>
            <w:r>
              <w:rPr>
                <w:rFonts w:ascii="宋体" w:hAnsi="宋体" w:eastAsia="宋体" w:cs="宋体"/>
                <w:sz w:val="18"/>
                <w:szCs w:val="18"/>
              </w:rPr>
              <w:t>广州优得清生物科技有限公司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3DF2F126">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14:paraId="6F8589D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404,327.46</w:t>
            </w:r>
          </w:p>
        </w:tc>
        <w:tc>
          <w:tcPr>
            <w:tcW w:w="1606" w:type="dxa"/>
            <w:tcBorders>
              <w:top w:val="single" w:color="auto" w:sz="2" w:space="0"/>
              <w:left w:val="single" w:color="auto" w:sz="2" w:space="0"/>
              <w:bottom w:val="single" w:color="auto" w:sz="2" w:space="0"/>
              <w:right w:val="single" w:color="auto" w:sz="2" w:space="0"/>
            </w:tcBorders>
            <w:vAlign w:val="center"/>
          </w:tcPr>
          <w:p w14:paraId="799053AF">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年以内，</w:t>
            </w:r>
            <w:r>
              <w:rPr>
                <w:rFonts w:hint="default" w:ascii="Times New Roman" w:hAnsi="Times New Roman" w:eastAsia="宋体" w:cs="Times New Roman"/>
                <w:sz w:val="18"/>
                <w:szCs w:val="18"/>
              </w:rPr>
              <w:t>1</w:t>
            </w:r>
            <w:r>
              <w:rPr>
                <w:rFonts w:ascii="宋体" w:hAnsi="宋体" w:eastAsia="宋体" w:cs="宋体"/>
                <w:sz w:val="18"/>
                <w:szCs w:val="18"/>
              </w:rPr>
              <w:t>-</w:t>
            </w:r>
            <w:r>
              <w:rPr>
                <w:rFonts w:hint="default" w:ascii="Times New Roman" w:hAnsi="Times New Roman" w:eastAsia="宋体" w:cs="Times New Roman"/>
                <w:sz w:val="18"/>
                <w:szCs w:val="18"/>
              </w:rPr>
              <w:t>2</w:t>
            </w:r>
            <w:r>
              <w:rPr>
                <w:rFonts w:ascii="宋体" w:hAnsi="宋体" w:eastAsia="宋体" w:cs="宋体"/>
                <w:sz w:val="18"/>
                <w:szCs w:val="18"/>
              </w:rPr>
              <w:t>年，</w:t>
            </w:r>
            <w:r>
              <w:rPr>
                <w:rFonts w:hint="default" w:ascii="Times New Roman" w:hAnsi="Times New Roman" w:eastAsia="宋体" w:cs="Times New Roman"/>
                <w:sz w:val="18"/>
                <w:szCs w:val="18"/>
              </w:rPr>
              <w:t>5</w:t>
            </w:r>
            <w:r>
              <w:rPr>
                <w:rFonts w:ascii="宋体" w:hAnsi="宋体" w:eastAsia="宋体" w:cs="宋体"/>
                <w:sz w:val="18"/>
                <w:szCs w:val="18"/>
              </w:rPr>
              <w:t>年以上</w:t>
            </w:r>
          </w:p>
        </w:tc>
        <w:tc>
          <w:tcPr>
            <w:tcW w:w="1606" w:type="dxa"/>
            <w:tcBorders>
              <w:top w:val="single" w:color="auto" w:sz="2" w:space="0"/>
              <w:left w:val="single" w:color="auto" w:sz="2" w:space="0"/>
              <w:bottom w:val="single" w:color="auto" w:sz="2" w:space="0"/>
              <w:right w:val="single" w:color="auto" w:sz="2" w:space="0"/>
            </w:tcBorders>
            <w:vAlign w:val="center"/>
          </w:tcPr>
          <w:p w14:paraId="2A336C5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4.04%</w:t>
            </w:r>
          </w:p>
        </w:tc>
        <w:tc>
          <w:tcPr>
            <w:tcW w:w="1606" w:type="dxa"/>
            <w:tcBorders>
              <w:top w:val="single" w:color="auto" w:sz="2" w:space="0"/>
              <w:left w:val="single" w:color="auto" w:sz="2" w:space="0"/>
              <w:bottom w:val="single" w:color="auto" w:sz="2" w:space="0"/>
              <w:right w:val="single" w:color="auto" w:sz="2" w:space="0"/>
            </w:tcBorders>
            <w:vAlign w:val="center"/>
          </w:tcPr>
          <w:p w14:paraId="3B41049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182,093.19</w:t>
            </w:r>
          </w:p>
        </w:tc>
      </w:tr>
      <w:tr w14:paraId="7B70E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B78C943">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CF5A6B9"/>
        </w:tc>
        <w:tc>
          <w:tcPr>
            <w:tcW w:w="1606" w:type="dxa"/>
            <w:tcBorders>
              <w:top w:val="single" w:color="auto" w:sz="2" w:space="0"/>
              <w:left w:val="single" w:color="auto" w:sz="2" w:space="0"/>
              <w:bottom w:val="single" w:color="auto" w:sz="2" w:space="0"/>
              <w:right w:val="single" w:color="auto" w:sz="2" w:space="0"/>
            </w:tcBorders>
            <w:vAlign w:val="center"/>
          </w:tcPr>
          <w:p w14:paraId="3613E9F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7,959,603.04</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410C0AA"/>
        </w:tc>
        <w:tc>
          <w:tcPr>
            <w:tcW w:w="1606" w:type="dxa"/>
            <w:tcBorders>
              <w:top w:val="single" w:color="auto" w:sz="2" w:space="0"/>
              <w:left w:val="single" w:color="auto" w:sz="2" w:space="0"/>
              <w:bottom w:val="single" w:color="auto" w:sz="2" w:space="0"/>
              <w:right w:val="single" w:color="auto" w:sz="2" w:space="0"/>
            </w:tcBorders>
            <w:vAlign w:val="center"/>
          </w:tcPr>
          <w:p w14:paraId="7DCCBB7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79.45%</w:t>
            </w:r>
          </w:p>
        </w:tc>
        <w:tc>
          <w:tcPr>
            <w:tcW w:w="1606" w:type="dxa"/>
            <w:tcBorders>
              <w:top w:val="single" w:color="auto" w:sz="2" w:space="0"/>
              <w:left w:val="single" w:color="auto" w:sz="2" w:space="0"/>
              <w:bottom w:val="single" w:color="auto" w:sz="2" w:space="0"/>
              <w:right w:val="single" w:color="auto" w:sz="2" w:space="0"/>
            </w:tcBorders>
            <w:vAlign w:val="center"/>
          </w:tcPr>
          <w:p w14:paraId="0954468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6,252,368.77</w:t>
            </w:r>
          </w:p>
        </w:tc>
      </w:tr>
    </w:tbl>
    <w:p w14:paraId="6A8D1FDF">
      <w:pPr>
        <w:pStyle w:val="3"/>
        <w:keepNext/>
        <w:keepLines/>
        <w:spacing w:before="300" w:after="300" w:line="280" w:lineRule="exact"/>
        <w:jc w:val="left"/>
        <w:outlineLvl w:val="2"/>
        <w:rPr>
          <w:rFonts w:ascii="宋体" w:hAnsi="宋体" w:eastAsia="宋体" w:cs="宋体"/>
          <w:b/>
          <w:bCs/>
          <w:sz w:val="21"/>
          <w:szCs w:val="21"/>
        </w:rPr>
      </w:pPr>
      <w:bookmarkStart w:id="295" w:name="_Toc989105"/>
      <w:r>
        <w:rPr>
          <w:rFonts w:hint="default" w:ascii="Times New Roman" w:hAnsi="Times New Roman" w:eastAsia="宋体" w:cs="Times New Roman"/>
          <w:b/>
          <w:bCs/>
          <w:sz w:val="21"/>
          <w:szCs w:val="21"/>
        </w:rPr>
        <w:t>4</w:t>
      </w:r>
      <w:r>
        <w:rPr>
          <w:rFonts w:ascii="宋体" w:hAnsi="宋体" w:eastAsia="宋体" w:cs="宋体"/>
          <w:b/>
          <w:bCs/>
          <w:sz w:val="21"/>
          <w:szCs w:val="21"/>
        </w:rPr>
        <w:t>、预付款项</w:t>
      </w:r>
      <w:bookmarkEnd w:id="295"/>
    </w:p>
    <w:p w14:paraId="4D7AE2F8">
      <w:pPr>
        <w:keepNext/>
        <w:keepLines/>
        <w:spacing w:before="300" w:after="300" w:line="280" w:lineRule="exact"/>
        <w:jc w:val="left"/>
        <w:outlineLvl w:val="3"/>
        <w:rPr>
          <w:rFonts w:ascii="宋体" w:hAnsi="宋体" w:eastAsia="宋体" w:cs="宋体"/>
          <w:b/>
          <w:bCs/>
          <w:sz w:val="21"/>
          <w:szCs w:val="21"/>
        </w:rPr>
      </w:pPr>
      <w:bookmarkStart w:id="296" w:name="_Toc989106"/>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预付款项按账龄列示</w:t>
      </w:r>
      <w:bookmarkEnd w:id="296"/>
    </w:p>
    <w:p w14:paraId="4556E39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0E41B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C607188">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6AB3A5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3008878">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1C104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787EF9D"/>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34B0560">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397FDDC">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1483C2A">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C9E95C4">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14:paraId="2EA4D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EA123B3">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年以内</w:t>
            </w:r>
          </w:p>
        </w:tc>
        <w:tc>
          <w:tcPr>
            <w:tcW w:w="1928" w:type="dxa"/>
            <w:tcBorders>
              <w:top w:val="single" w:color="auto" w:sz="2" w:space="0"/>
              <w:left w:val="single" w:color="auto" w:sz="2" w:space="0"/>
              <w:bottom w:val="single" w:color="auto" w:sz="2" w:space="0"/>
              <w:right w:val="single" w:color="auto" w:sz="2" w:space="0"/>
            </w:tcBorders>
            <w:vAlign w:val="center"/>
          </w:tcPr>
          <w:p w14:paraId="3ED2D20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5,792,785.20</w:t>
            </w:r>
          </w:p>
        </w:tc>
        <w:tc>
          <w:tcPr>
            <w:tcW w:w="1928" w:type="dxa"/>
            <w:tcBorders>
              <w:top w:val="single" w:color="auto" w:sz="2" w:space="0"/>
              <w:left w:val="single" w:color="auto" w:sz="2" w:space="0"/>
              <w:bottom w:val="single" w:color="auto" w:sz="2" w:space="0"/>
              <w:right w:val="single" w:color="auto" w:sz="2" w:space="0"/>
            </w:tcBorders>
            <w:vAlign w:val="center"/>
          </w:tcPr>
          <w:p w14:paraId="1B9046E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98.30%</w:t>
            </w:r>
          </w:p>
        </w:tc>
        <w:tc>
          <w:tcPr>
            <w:tcW w:w="1928" w:type="dxa"/>
            <w:tcBorders>
              <w:top w:val="single" w:color="auto" w:sz="2" w:space="0"/>
              <w:left w:val="single" w:color="auto" w:sz="2" w:space="0"/>
              <w:bottom w:val="single" w:color="auto" w:sz="2" w:space="0"/>
              <w:right w:val="single" w:color="auto" w:sz="2" w:space="0"/>
            </w:tcBorders>
            <w:vAlign w:val="center"/>
          </w:tcPr>
          <w:p w14:paraId="273ADA5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2,018,420.62</w:t>
            </w:r>
          </w:p>
        </w:tc>
        <w:tc>
          <w:tcPr>
            <w:tcW w:w="1928" w:type="dxa"/>
            <w:tcBorders>
              <w:top w:val="single" w:color="auto" w:sz="2" w:space="0"/>
              <w:left w:val="single" w:color="auto" w:sz="2" w:space="0"/>
              <w:bottom w:val="single" w:color="auto" w:sz="2" w:space="0"/>
              <w:right w:val="single" w:color="auto" w:sz="2" w:space="0"/>
            </w:tcBorders>
            <w:vAlign w:val="center"/>
          </w:tcPr>
          <w:p w14:paraId="2D4E0D1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97.27%</w:t>
            </w:r>
          </w:p>
        </w:tc>
      </w:tr>
      <w:tr w14:paraId="53800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F68ECE3">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至</w:t>
            </w:r>
            <w:r>
              <w:rPr>
                <w:rFonts w:hint="default" w:ascii="Times New Roman" w:hAnsi="Times New Roman" w:eastAsia="宋体" w:cs="Times New Roman"/>
                <w:sz w:val="18"/>
                <w:szCs w:val="18"/>
              </w:rPr>
              <w:t>2</w:t>
            </w:r>
            <w:r>
              <w:rPr>
                <w:rFonts w:ascii="宋体" w:hAnsi="宋体" w:eastAsia="宋体" w:cs="宋体"/>
                <w:sz w:val="18"/>
                <w:szCs w:val="18"/>
              </w:rPr>
              <w:t>年</w:t>
            </w:r>
          </w:p>
        </w:tc>
        <w:tc>
          <w:tcPr>
            <w:tcW w:w="1928" w:type="dxa"/>
            <w:tcBorders>
              <w:top w:val="single" w:color="auto" w:sz="2" w:space="0"/>
              <w:left w:val="single" w:color="auto" w:sz="2" w:space="0"/>
              <w:bottom w:val="single" w:color="auto" w:sz="2" w:space="0"/>
              <w:right w:val="single" w:color="auto" w:sz="2" w:space="0"/>
            </w:tcBorders>
            <w:vAlign w:val="center"/>
          </w:tcPr>
          <w:p w14:paraId="500A305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51,101.50</w:t>
            </w:r>
          </w:p>
        </w:tc>
        <w:tc>
          <w:tcPr>
            <w:tcW w:w="1928" w:type="dxa"/>
            <w:tcBorders>
              <w:top w:val="single" w:color="auto" w:sz="2" w:space="0"/>
              <w:left w:val="single" w:color="auto" w:sz="2" w:space="0"/>
              <w:bottom w:val="single" w:color="auto" w:sz="2" w:space="0"/>
              <w:right w:val="single" w:color="auto" w:sz="2" w:space="0"/>
            </w:tcBorders>
            <w:vAlign w:val="center"/>
          </w:tcPr>
          <w:p w14:paraId="318BDFD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0.86%</w:t>
            </w:r>
          </w:p>
        </w:tc>
        <w:tc>
          <w:tcPr>
            <w:tcW w:w="1928" w:type="dxa"/>
            <w:tcBorders>
              <w:top w:val="single" w:color="auto" w:sz="2" w:space="0"/>
              <w:left w:val="single" w:color="auto" w:sz="2" w:space="0"/>
              <w:bottom w:val="single" w:color="auto" w:sz="2" w:space="0"/>
              <w:right w:val="single" w:color="auto" w:sz="2" w:space="0"/>
            </w:tcBorders>
            <w:vAlign w:val="center"/>
          </w:tcPr>
          <w:p w14:paraId="2689327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35,300.00</w:t>
            </w:r>
          </w:p>
        </w:tc>
        <w:tc>
          <w:tcPr>
            <w:tcW w:w="1928" w:type="dxa"/>
            <w:tcBorders>
              <w:top w:val="single" w:color="auto" w:sz="2" w:space="0"/>
              <w:left w:val="single" w:color="auto" w:sz="2" w:space="0"/>
              <w:bottom w:val="single" w:color="auto" w:sz="2" w:space="0"/>
              <w:right w:val="single" w:color="auto" w:sz="2" w:space="0"/>
            </w:tcBorders>
            <w:vAlign w:val="center"/>
          </w:tcPr>
          <w:p w14:paraId="4897C85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1.70%</w:t>
            </w:r>
          </w:p>
        </w:tc>
      </w:tr>
      <w:tr w14:paraId="40ECB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7ECA31F">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至</w:t>
            </w:r>
            <w:r>
              <w:rPr>
                <w:rFonts w:hint="default" w:ascii="Times New Roman" w:hAnsi="Times New Roman" w:eastAsia="宋体" w:cs="Times New Roman"/>
                <w:sz w:val="18"/>
                <w:szCs w:val="18"/>
              </w:rPr>
              <w:t>3</w:t>
            </w:r>
            <w:r>
              <w:rPr>
                <w:rFonts w:ascii="宋体" w:hAnsi="宋体" w:eastAsia="宋体" w:cs="宋体"/>
                <w:sz w:val="18"/>
                <w:szCs w:val="18"/>
              </w:rPr>
              <w:t>年</w:t>
            </w:r>
          </w:p>
        </w:tc>
        <w:tc>
          <w:tcPr>
            <w:tcW w:w="1928" w:type="dxa"/>
            <w:tcBorders>
              <w:top w:val="single" w:color="auto" w:sz="2" w:space="0"/>
              <w:left w:val="single" w:color="auto" w:sz="2" w:space="0"/>
              <w:bottom w:val="single" w:color="auto" w:sz="2" w:space="0"/>
              <w:right w:val="single" w:color="auto" w:sz="2" w:space="0"/>
            </w:tcBorders>
            <w:vAlign w:val="center"/>
          </w:tcPr>
          <w:p w14:paraId="49806C5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35,300.00</w:t>
            </w:r>
          </w:p>
        </w:tc>
        <w:tc>
          <w:tcPr>
            <w:tcW w:w="1928" w:type="dxa"/>
            <w:tcBorders>
              <w:top w:val="single" w:color="auto" w:sz="2" w:space="0"/>
              <w:left w:val="single" w:color="auto" w:sz="2" w:space="0"/>
              <w:bottom w:val="single" w:color="auto" w:sz="2" w:space="0"/>
              <w:right w:val="single" w:color="auto" w:sz="2" w:space="0"/>
            </w:tcBorders>
            <w:vAlign w:val="center"/>
          </w:tcPr>
          <w:p w14:paraId="124F3A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0.60%</w:t>
            </w:r>
          </w:p>
        </w:tc>
        <w:tc>
          <w:tcPr>
            <w:tcW w:w="1928" w:type="dxa"/>
            <w:tcBorders>
              <w:top w:val="single" w:color="auto" w:sz="2" w:space="0"/>
              <w:left w:val="single" w:color="auto" w:sz="2" w:space="0"/>
              <w:bottom w:val="single" w:color="auto" w:sz="2" w:space="0"/>
              <w:right w:val="single" w:color="auto" w:sz="2" w:space="0"/>
            </w:tcBorders>
            <w:vAlign w:val="center"/>
          </w:tcPr>
          <w:p w14:paraId="7CB8C9A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9,742.55</w:t>
            </w:r>
          </w:p>
        </w:tc>
        <w:tc>
          <w:tcPr>
            <w:tcW w:w="1928" w:type="dxa"/>
            <w:tcBorders>
              <w:top w:val="single" w:color="auto" w:sz="2" w:space="0"/>
              <w:left w:val="single" w:color="auto" w:sz="2" w:space="0"/>
              <w:bottom w:val="single" w:color="auto" w:sz="2" w:space="0"/>
              <w:right w:val="single" w:color="auto" w:sz="2" w:space="0"/>
            </w:tcBorders>
            <w:vAlign w:val="center"/>
          </w:tcPr>
          <w:p w14:paraId="6311220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0.47%</w:t>
            </w:r>
          </w:p>
        </w:tc>
      </w:tr>
      <w:tr w14:paraId="42975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5A15D54">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年以上</w:t>
            </w:r>
          </w:p>
        </w:tc>
        <w:tc>
          <w:tcPr>
            <w:tcW w:w="1928" w:type="dxa"/>
            <w:tcBorders>
              <w:top w:val="single" w:color="auto" w:sz="2" w:space="0"/>
              <w:left w:val="single" w:color="auto" w:sz="2" w:space="0"/>
              <w:bottom w:val="single" w:color="auto" w:sz="2" w:space="0"/>
              <w:right w:val="single" w:color="auto" w:sz="2" w:space="0"/>
            </w:tcBorders>
            <w:vAlign w:val="center"/>
          </w:tcPr>
          <w:p w14:paraId="5C66288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14,041.52</w:t>
            </w:r>
          </w:p>
        </w:tc>
        <w:tc>
          <w:tcPr>
            <w:tcW w:w="1928" w:type="dxa"/>
            <w:tcBorders>
              <w:top w:val="single" w:color="auto" w:sz="2" w:space="0"/>
              <w:left w:val="single" w:color="auto" w:sz="2" w:space="0"/>
              <w:bottom w:val="single" w:color="auto" w:sz="2" w:space="0"/>
              <w:right w:val="single" w:color="auto" w:sz="2" w:space="0"/>
            </w:tcBorders>
            <w:vAlign w:val="center"/>
          </w:tcPr>
          <w:p w14:paraId="52F568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0.24%</w:t>
            </w:r>
          </w:p>
        </w:tc>
        <w:tc>
          <w:tcPr>
            <w:tcW w:w="1928" w:type="dxa"/>
            <w:tcBorders>
              <w:top w:val="single" w:color="auto" w:sz="2" w:space="0"/>
              <w:left w:val="single" w:color="auto" w:sz="2" w:space="0"/>
              <w:bottom w:val="single" w:color="auto" w:sz="2" w:space="0"/>
              <w:right w:val="single" w:color="auto" w:sz="2" w:space="0"/>
            </w:tcBorders>
            <w:vAlign w:val="center"/>
          </w:tcPr>
          <w:p w14:paraId="1881784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11,655.98</w:t>
            </w:r>
          </w:p>
        </w:tc>
        <w:tc>
          <w:tcPr>
            <w:tcW w:w="1928" w:type="dxa"/>
            <w:tcBorders>
              <w:top w:val="single" w:color="auto" w:sz="2" w:space="0"/>
              <w:left w:val="single" w:color="auto" w:sz="2" w:space="0"/>
              <w:bottom w:val="single" w:color="auto" w:sz="2" w:space="0"/>
              <w:right w:val="single" w:color="auto" w:sz="2" w:space="0"/>
            </w:tcBorders>
            <w:vAlign w:val="center"/>
          </w:tcPr>
          <w:p w14:paraId="485D45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0.56%</w:t>
            </w:r>
          </w:p>
        </w:tc>
      </w:tr>
      <w:tr w14:paraId="20591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765D4B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1629C7D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5,893,228.22</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0EF1123">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83C67D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2,075,119.15</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83166B6">
            <w:pPr>
              <w:spacing w:before="0" w:after="0" w:line="240" w:lineRule="exact"/>
              <w:jc w:val="right"/>
              <w:rPr>
                <w:rFonts w:hint="default" w:ascii="Times New Roman" w:hAnsi="Times New Roman" w:eastAsia="宋体" w:cs="Times New Roman"/>
                <w:sz w:val="18"/>
                <w:szCs w:val="18"/>
              </w:rPr>
            </w:pPr>
          </w:p>
        </w:tc>
      </w:tr>
    </w:tbl>
    <w:p w14:paraId="3FDF261C">
      <w:pPr>
        <w:spacing w:before="100" w:after="100" w:line="240" w:lineRule="exact"/>
        <w:jc w:val="left"/>
        <w:rPr>
          <w:rFonts w:ascii="宋体" w:hAnsi="宋体" w:eastAsia="宋体" w:cs="宋体"/>
          <w:sz w:val="18"/>
          <w:szCs w:val="18"/>
        </w:rPr>
      </w:pPr>
      <w:r>
        <w:rPr>
          <w:rFonts w:ascii="宋体" w:hAnsi="宋体" w:eastAsia="宋体" w:cs="宋体"/>
          <w:sz w:val="18"/>
          <w:szCs w:val="18"/>
        </w:rPr>
        <w:t>账龄超过</w:t>
      </w:r>
      <w:r>
        <w:rPr>
          <w:rFonts w:hint="default" w:ascii="Times New Roman" w:hAnsi="Times New Roman" w:eastAsia="宋体" w:cs="Times New Roman"/>
          <w:sz w:val="18"/>
          <w:szCs w:val="18"/>
        </w:rPr>
        <w:t>1</w:t>
      </w:r>
      <w:r>
        <w:rPr>
          <w:rFonts w:ascii="宋体" w:hAnsi="宋体" w:eastAsia="宋体" w:cs="宋体"/>
          <w:sz w:val="18"/>
          <w:szCs w:val="18"/>
        </w:rPr>
        <w:t>年且金额重要的预付款项未及时结算原因的说明：</w:t>
      </w:r>
    </w:p>
    <w:p w14:paraId="04469DFD">
      <w:pPr>
        <w:pStyle w:val="6"/>
        <w:keepNext w:val="0"/>
        <w:keepLines w:val="0"/>
        <w:widowControl/>
        <w:suppressLineNumbers w:val="0"/>
      </w:pPr>
      <w:r>
        <w:rPr>
          <w:rFonts w:hint="eastAsia" w:ascii="宋体" w:hAnsi="宋体" w:eastAsia="宋体" w:cs="宋体"/>
          <w:sz w:val="18"/>
          <w:szCs w:val="18"/>
        </w:rPr>
        <w:t>无。</w:t>
      </w:r>
    </w:p>
    <w:p w14:paraId="4FACC849">
      <w:pPr>
        <w:keepNext/>
        <w:keepLines/>
        <w:spacing w:before="300" w:after="300" w:line="280" w:lineRule="exact"/>
        <w:jc w:val="left"/>
        <w:outlineLvl w:val="3"/>
        <w:rPr>
          <w:rFonts w:ascii="宋体" w:hAnsi="宋体" w:eastAsia="宋体" w:cs="宋体"/>
          <w:b/>
          <w:bCs/>
          <w:sz w:val="21"/>
          <w:szCs w:val="21"/>
        </w:rPr>
      </w:pPr>
      <w:bookmarkStart w:id="297" w:name="_Toc989107"/>
      <w:r>
        <w:rPr>
          <w:rFonts w:ascii="宋体" w:hAnsi="宋体" w:eastAsia="宋体" w:cs="宋体"/>
          <w:b/>
          <w:bCs/>
          <w:sz w:val="21"/>
          <w:szCs w:val="21"/>
        </w:rPr>
        <w:t>（</w:t>
      </w:r>
      <w:r>
        <w:rPr>
          <w:rFonts w:hint="default" w:ascii="Times New Roman" w:hAnsi="Times New Roman" w:eastAsia="宋体" w:cs="Times New Roman"/>
          <w:b/>
          <w:bCs/>
          <w:sz w:val="21"/>
          <w:szCs w:val="21"/>
        </w:rPr>
        <w:t>2</w:t>
      </w:r>
      <w:r>
        <w:rPr>
          <w:rFonts w:ascii="宋体" w:hAnsi="宋体" w:eastAsia="宋体" w:cs="宋体"/>
          <w:b/>
          <w:bCs/>
          <w:sz w:val="21"/>
          <w:szCs w:val="21"/>
        </w:rPr>
        <w:t>） 按预付对象归集的期末余额前五名的预付款情况</w:t>
      </w:r>
      <w:bookmarkEnd w:id="297"/>
    </w:p>
    <w:tbl>
      <w:tblPr>
        <w:tblStyle w:val="7"/>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928"/>
        <w:gridCol w:w="2083"/>
        <w:gridCol w:w="2842"/>
      </w:tblGrid>
      <w:tr w14:paraId="0A5D1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6" w:hRule="atLeast"/>
        </w:trPr>
        <w:tc>
          <w:tcPr>
            <w:tcW w:w="250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7E7F0B">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单位名称</w:t>
            </w:r>
          </w:p>
        </w:tc>
        <w:tc>
          <w:tcPr>
            <w:tcW w:w="1057"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DA4005">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期末余额</w:t>
            </w:r>
          </w:p>
        </w:tc>
        <w:tc>
          <w:tcPr>
            <w:tcW w:w="144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64B974">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占预付款项期末余额合计数</w:t>
            </w:r>
          </w:p>
          <w:p w14:paraId="20592842">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的比例</w:t>
            </w:r>
            <w:r>
              <w:rPr>
                <w:rFonts w:ascii="Arial Narrow" w:hAnsi="Arial Narrow" w:eastAsia="Arial Narrow" w:cs="Arial Narrow"/>
                <w:sz w:val="18"/>
                <w:szCs w:val="18"/>
              </w:rPr>
              <w:t>(%)</w:t>
            </w:r>
          </w:p>
        </w:tc>
      </w:tr>
      <w:tr w14:paraId="500091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42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FB1CD6">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广东省中科进出口有限公司</w:t>
            </w:r>
          </w:p>
        </w:tc>
        <w:tc>
          <w:tcPr>
            <w:tcW w:w="1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BED748">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4,843,976.93 </w:t>
            </w:r>
          </w:p>
        </w:tc>
        <w:tc>
          <w:tcPr>
            <w:tcW w:w="24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9DEA2B">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82.20 </w:t>
            </w:r>
          </w:p>
        </w:tc>
      </w:tr>
      <w:tr w14:paraId="5DF556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42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8E5DC8">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北京源沃生物科技有限公司</w:t>
            </w:r>
          </w:p>
        </w:tc>
        <w:tc>
          <w:tcPr>
            <w:tcW w:w="1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A908FA">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499,300.00 </w:t>
            </w:r>
          </w:p>
        </w:tc>
        <w:tc>
          <w:tcPr>
            <w:tcW w:w="24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F44DB9">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8.47 </w:t>
            </w:r>
          </w:p>
        </w:tc>
      </w:tr>
      <w:tr w14:paraId="1FBB96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42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3088DA">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中国平安财产保险股份有限公司佛山分公司</w:t>
            </w:r>
          </w:p>
        </w:tc>
        <w:tc>
          <w:tcPr>
            <w:tcW w:w="1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144190">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82,325.00 </w:t>
            </w:r>
          </w:p>
        </w:tc>
        <w:tc>
          <w:tcPr>
            <w:tcW w:w="24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B5CD00">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1.40</w:t>
            </w:r>
          </w:p>
        </w:tc>
      </w:tr>
      <w:tr w14:paraId="09E730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42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77E1E8">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广州菲童生物技术有限公司</w:t>
            </w:r>
          </w:p>
        </w:tc>
        <w:tc>
          <w:tcPr>
            <w:tcW w:w="1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C248E1">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57,400.00</w:t>
            </w:r>
          </w:p>
        </w:tc>
        <w:tc>
          <w:tcPr>
            <w:tcW w:w="24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82B406">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0.97</w:t>
            </w:r>
          </w:p>
        </w:tc>
      </w:tr>
      <w:tr w14:paraId="6346B2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42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1AD16B">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中国石油天然气股份有限公司湖北武汉销售分公司</w:t>
            </w:r>
          </w:p>
        </w:tc>
        <w:tc>
          <w:tcPr>
            <w:tcW w:w="1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098F6A">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55,837.25 </w:t>
            </w:r>
          </w:p>
        </w:tc>
        <w:tc>
          <w:tcPr>
            <w:tcW w:w="24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B9F0A8">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0.95</w:t>
            </w:r>
          </w:p>
        </w:tc>
      </w:tr>
      <w:tr w14:paraId="5B17B6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25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5FA830">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合计</w:t>
            </w:r>
          </w:p>
        </w:tc>
        <w:tc>
          <w:tcPr>
            <w:tcW w:w="1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BD224C">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5,538,839.18</w:t>
            </w:r>
          </w:p>
        </w:tc>
        <w:tc>
          <w:tcPr>
            <w:tcW w:w="24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4907C0">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93.99</w:t>
            </w:r>
          </w:p>
        </w:tc>
      </w:tr>
    </w:tbl>
    <w:p w14:paraId="63AC66D0">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248F2F17">
      <w:pPr>
        <w:pStyle w:val="3"/>
        <w:keepNext/>
        <w:keepLines/>
        <w:spacing w:before="300" w:after="300" w:line="280" w:lineRule="exact"/>
        <w:jc w:val="left"/>
        <w:outlineLvl w:val="2"/>
        <w:rPr>
          <w:rFonts w:ascii="宋体" w:hAnsi="宋体" w:eastAsia="宋体" w:cs="宋体"/>
          <w:b/>
          <w:bCs/>
          <w:sz w:val="21"/>
          <w:szCs w:val="21"/>
        </w:rPr>
      </w:pPr>
      <w:bookmarkStart w:id="298" w:name="_Toc989108"/>
      <w:r>
        <w:rPr>
          <w:rFonts w:hint="default" w:ascii="Times New Roman" w:hAnsi="Times New Roman" w:eastAsia="宋体" w:cs="Times New Roman"/>
          <w:b/>
          <w:bCs/>
          <w:sz w:val="21"/>
          <w:szCs w:val="21"/>
        </w:rPr>
        <w:t>5</w:t>
      </w:r>
      <w:r>
        <w:rPr>
          <w:rFonts w:ascii="宋体" w:hAnsi="宋体" w:eastAsia="宋体" w:cs="宋体"/>
          <w:b/>
          <w:bCs/>
          <w:sz w:val="21"/>
          <w:szCs w:val="21"/>
        </w:rPr>
        <w:t>、存货</w:t>
      </w:r>
      <w:bookmarkEnd w:id="298"/>
    </w:p>
    <w:p w14:paraId="0E5E5D2B">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公司是否需要遵守房地产行业的披露要求</w:t>
      </w:r>
    </w:p>
    <w:p w14:paraId="77F6E225">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p w14:paraId="1DF2871F">
      <w:pPr>
        <w:keepNext/>
        <w:keepLines/>
        <w:spacing w:before="300" w:after="300" w:line="280" w:lineRule="exact"/>
        <w:jc w:val="left"/>
        <w:outlineLvl w:val="3"/>
        <w:rPr>
          <w:rFonts w:ascii="宋体" w:hAnsi="宋体" w:eastAsia="宋体" w:cs="宋体"/>
          <w:b/>
          <w:bCs/>
          <w:sz w:val="21"/>
          <w:szCs w:val="21"/>
        </w:rPr>
      </w:pPr>
      <w:bookmarkStart w:id="299" w:name="_Toc989109"/>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存货分类</w:t>
      </w:r>
      <w:bookmarkEnd w:id="299"/>
    </w:p>
    <w:p w14:paraId="1618616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128CD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6396FD3">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007E449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5D5BEFA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AE06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A03970A"/>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B7EDAFA">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3E1277E">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4BC9D84">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B383676">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6993C74">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E13AA6E">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25EE4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E9D39F1">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14:paraId="1ADC395D">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2,304,129.17</w:t>
            </w:r>
          </w:p>
        </w:tc>
        <w:tc>
          <w:tcPr>
            <w:tcW w:w="1377" w:type="dxa"/>
            <w:tcBorders>
              <w:top w:val="single" w:color="auto" w:sz="2" w:space="0"/>
              <w:left w:val="single" w:color="auto" w:sz="2" w:space="0"/>
              <w:bottom w:val="single" w:color="auto" w:sz="2" w:space="0"/>
              <w:right w:val="single" w:color="auto" w:sz="2" w:space="0"/>
            </w:tcBorders>
            <w:vAlign w:val="center"/>
          </w:tcPr>
          <w:p w14:paraId="7E2F00F6">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BC8B61A">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2,304,129.17</w:t>
            </w:r>
          </w:p>
        </w:tc>
        <w:tc>
          <w:tcPr>
            <w:tcW w:w="1377" w:type="dxa"/>
            <w:tcBorders>
              <w:top w:val="single" w:color="auto" w:sz="2" w:space="0"/>
              <w:left w:val="single" w:color="auto" w:sz="2" w:space="0"/>
              <w:bottom w:val="single" w:color="auto" w:sz="2" w:space="0"/>
              <w:right w:val="single" w:color="auto" w:sz="2" w:space="0"/>
            </w:tcBorders>
            <w:vAlign w:val="center"/>
          </w:tcPr>
          <w:p w14:paraId="2CCA5938">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1,175,145.33</w:t>
            </w:r>
          </w:p>
        </w:tc>
        <w:tc>
          <w:tcPr>
            <w:tcW w:w="1377" w:type="dxa"/>
            <w:tcBorders>
              <w:top w:val="single" w:color="auto" w:sz="2" w:space="0"/>
              <w:left w:val="single" w:color="auto" w:sz="2" w:space="0"/>
              <w:bottom w:val="single" w:color="auto" w:sz="2" w:space="0"/>
              <w:right w:val="single" w:color="auto" w:sz="2" w:space="0"/>
            </w:tcBorders>
            <w:vAlign w:val="center"/>
          </w:tcPr>
          <w:p w14:paraId="73F47736">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529A4D9">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1,175,145.33</w:t>
            </w:r>
          </w:p>
        </w:tc>
      </w:tr>
      <w:tr w14:paraId="4D995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F1AF0BB">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14:paraId="1B9247F1">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15,544,131.17</w:t>
            </w:r>
          </w:p>
        </w:tc>
        <w:tc>
          <w:tcPr>
            <w:tcW w:w="1377" w:type="dxa"/>
            <w:tcBorders>
              <w:top w:val="single" w:color="auto" w:sz="2" w:space="0"/>
              <w:left w:val="single" w:color="auto" w:sz="2" w:space="0"/>
              <w:bottom w:val="single" w:color="auto" w:sz="2" w:space="0"/>
              <w:right w:val="single" w:color="auto" w:sz="2" w:space="0"/>
            </w:tcBorders>
            <w:vAlign w:val="center"/>
          </w:tcPr>
          <w:p w14:paraId="10273415">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576,005.18</w:t>
            </w:r>
          </w:p>
        </w:tc>
        <w:tc>
          <w:tcPr>
            <w:tcW w:w="1377" w:type="dxa"/>
            <w:tcBorders>
              <w:top w:val="single" w:color="auto" w:sz="2" w:space="0"/>
              <w:left w:val="single" w:color="auto" w:sz="2" w:space="0"/>
              <w:bottom w:val="single" w:color="auto" w:sz="2" w:space="0"/>
              <w:right w:val="single" w:color="auto" w:sz="2" w:space="0"/>
            </w:tcBorders>
            <w:vAlign w:val="center"/>
          </w:tcPr>
          <w:p w14:paraId="757DA46E">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14,968,125.99</w:t>
            </w:r>
          </w:p>
        </w:tc>
        <w:tc>
          <w:tcPr>
            <w:tcW w:w="1377" w:type="dxa"/>
            <w:tcBorders>
              <w:top w:val="single" w:color="auto" w:sz="2" w:space="0"/>
              <w:left w:val="single" w:color="auto" w:sz="2" w:space="0"/>
              <w:bottom w:val="single" w:color="auto" w:sz="2" w:space="0"/>
              <w:right w:val="single" w:color="auto" w:sz="2" w:space="0"/>
            </w:tcBorders>
            <w:vAlign w:val="center"/>
          </w:tcPr>
          <w:p w14:paraId="4CBB8920">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29,497,430.38</w:t>
            </w:r>
          </w:p>
        </w:tc>
        <w:tc>
          <w:tcPr>
            <w:tcW w:w="1377" w:type="dxa"/>
            <w:tcBorders>
              <w:top w:val="single" w:color="auto" w:sz="2" w:space="0"/>
              <w:left w:val="single" w:color="auto" w:sz="2" w:space="0"/>
              <w:bottom w:val="single" w:color="auto" w:sz="2" w:space="0"/>
              <w:right w:val="single" w:color="auto" w:sz="2" w:space="0"/>
            </w:tcBorders>
            <w:vAlign w:val="center"/>
          </w:tcPr>
          <w:p w14:paraId="59F1FEB1">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660,968.70</w:t>
            </w:r>
          </w:p>
        </w:tc>
        <w:tc>
          <w:tcPr>
            <w:tcW w:w="1377" w:type="dxa"/>
            <w:tcBorders>
              <w:top w:val="single" w:color="auto" w:sz="2" w:space="0"/>
              <w:left w:val="single" w:color="auto" w:sz="2" w:space="0"/>
              <w:bottom w:val="single" w:color="auto" w:sz="2" w:space="0"/>
              <w:right w:val="single" w:color="auto" w:sz="2" w:space="0"/>
            </w:tcBorders>
            <w:vAlign w:val="center"/>
          </w:tcPr>
          <w:p w14:paraId="10BDA181">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28,836,461.68</w:t>
            </w:r>
          </w:p>
        </w:tc>
      </w:tr>
      <w:tr w14:paraId="24FD1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7346DC7">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14:paraId="73F9399F">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56,908,319.41</w:t>
            </w:r>
          </w:p>
        </w:tc>
        <w:tc>
          <w:tcPr>
            <w:tcW w:w="1377" w:type="dxa"/>
            <w:tcBorders>
              <w:top w:val="single" w:color="auto" w:sz="2" w:space="0"/>
              <w:left w:val="single" w:color="auto" w:sz="2" w:space="0"/>
              <w:bottom w:val="single" w:color="auto" w:sz="2" w:space="0"/>
              <w:right w:val="single" w:color="auto" w:sz="2" w:space="0"/>
            </w:tcBorders>
            <w:vAlign w:val="center"/>
          </w:tcPr>
          <w:p w14:paraId="7B2C19EE">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1,296,260.81</w:t>
            </w:r>
          </w:p>
        </w:tc>
        <w:tc>
          <w:tcPr>
            <w:tcW w:w="1377" w:type="dxa"/>
            <w:tcBorders>
              <w:top w:val="single" w:color="auto" w:sz="2" w:space="0"/>
              <w:left w:val="single" w:color="auto" w:sz="2" w:space="0"/>
              <w:bottom w:val="single" w:color="auto" w:sz="2" w:space="0"/>
              <w:right w:val="single" w:color="auto" w:sz="2" w:space="0"/>
            </w:tcBorders>
            <w:vAlign w:val="center"/>
          </w:tcPr>
          <w:p w14:paraId="57F9F7C5">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55,612,058.60</w:t>
            </w:r>
          </w:p>
        </w:tc>
        <w:tc>
          <w:tcPr>
            <w:tcW w:w="1377" w:type="dxa"/>
            <w:tcBorders>
              <w:top w:val="single" w:color="auto" w:sz="2" w:space="0"/>
              <w:left w:val="single" w:color="auto" w:sz="2" w:space="0"/>
              <w:bottom w:val="single" w:color="auto" w:sz="2" w:space="0"/>
              <w:right w:val="single" w:color="auto" w:sz="2" w:space="0"/>
            </w:tcBorders>
            <w:vAlign w:val="center"/>
          </w:tcPr>
          <w:p w14:paraId="3F876F07">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112,248,979.15</w:t>
            </w:r>
          </w:p>
        </w:tc>
        <w:tc>
          <w:tcPr>
            <w:tcW w:w="1377" w:type="dxa"/>
            <w:tcBorders>
              <w:top w:val="single" w:color="auto" w:sz="2" w:space="0"/>
              <w:left w:val="single" w:color="auto" w:sz="2" w:space="0"/>
              <w:bottom w:val="single" w:color="auto" w:sz="2" w:space="0"/>
              <w:right w:val="single" w:color="auto" w:sz="2" w:space="0"/>
            </w:tcBorders>
            <w:vAlign w:val="center"/>
          </w:tcPr>
          <w:p w14:paraId="62B7C357">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67,219,660.97</w:t>
            </w:r>
          </w:p>
        </w:tc>
        <w:tc>
          <w:tcPr>
            <w:tcW w:w="1377" w:type="dxa"/>
            <w:tcBorders>
              <w:top w:val="single" w:color="auto" w:sz="2" w:space="0"/>
              <w:left w:val="single" w:color="auto" w:sz="2" w:space="0"/>
              <w:bottom w:val="single" w:color="auto" w:sz="2" w:space="0"/>
              <w:right w:val="single" w:color="auto" w:sz="2" w:space="0"/>
            </w:tcBorders>
            <w:vAlign w:val="center"/>
          </w:tcPr>
          <w:p w14:paraId="027917C3">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45,029,318.18</w:t>
            </w:r>
          </w:p>
        </w:tc>
      </w:tr>
      <w:tr w14:paraId="3A27F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7C07994">
            <w:pPr>
              <w:spacing w:before="40" w:after="40" w:line="240" w:lineRule="exact"/>
              <w:jc w:val="left"/>
              <w:rPr>
                <w:rFonts w:ascii="宋体" w:hAnsi="宋体" w:eastAsia="宋体" w:cs="宋体"/>
                <w:sz w:val="18"/>
                <w:szCs w:val="18"/>
              </w:rPr>
            </w:pPr>
            <w:r>
              <w:rPr>
                <w:rFonts w:ascii="宋体" w:hAnsi="宋体" w:eastAsia="宋体" w:cs="宋体"/>
                <w:sz w:val="18"/>
                <w:szCs w:val="18"/>
              </w:rPr>
              <w:t>周转材料</w:t>
            </w:r>
          </w:p>
        </w:tc>
        <w:tc>
          <w:tcPr>
            <w:tcW w:w="1377" w:type="dxa"/>
            <w:tcBorders>
              <w:top w:val="single" w:color="auto" w:sz="2" w:space="0"/>
              <w:left w:val="single" w:color="auto" w:sz="2" w:space="0"/>
              <w:bottom w:val="single" w:color="auto" w:sz="2" w:space="0"/>
              <w:right w:val="single" w:color="auto" w:sz="2" w:space="0"/>
            </w:tcBorders>
            <w:vAlign w:val="center"/>
          </w:tcPr>
          <w:p w14:paraId="4C4F4045">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579,903.18</w:t>
            </w:r>
          </w:p>
        </w:tc>
        <w:tc>
          <w:tcPr>
            <w:tcW w:w="1377" w:type="dxa"/>
            <w:tcBorders>
              <w:top w:val="single" w:color="auto" w:sz="2" w:space="0"/>
              <w:left w:val="single" w:color="auto" w:sz="2" w:space="0"/>
              <w:bottom w:val="single" w:color="auto" w:sz="2" w:space="0"/>
              <w:right w:val="single" w:color="auto" w:sz="2" w:space="0"/>
            </w:tcBorders>
            <w:vAlign w:val="center"/>
          </w:tcPr>
          <w:p w14:paraId="3BC29104">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9AC45B2">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579,903.18</w:t>
            </w:r>
          </w:p>
        </w:tc>
        <w:tc>
          <w:tcPr>
            <w:tcW w:w="1377" w:type="dxa"/>
            <w:tcBorders>
              <w:top w:val="single" w:color="auto" w:sz="2" w:space="0"/>
              <w:left w:val="single" w:color="auto" w:sz="2" w:space="0"/>
              <w:bottom w:val="single" w:color="auto" w:sz="2" w:space="0"/>
              <w:right w:val="single" w:color="auto" w:sz="2" w:space="0"/>
            </w:tcBorders>
            <w:vAlign w:val="center"/>
          </w:tcPr>
          <w:p w14:paraId="42F73E0C">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587,732.12</w:t>
            </w:r>
          </w:p>
        </w:tc>
        <w:tc>
          <w:tcPr>
            <w:tcW w:w="1377" w:type="dxa"/>
            <w:tcBorders>
              <w:top w:val="single" w:color="auto" w:sz="2" w:space="0"/>
              <w:left w:val="single" w:color="auto" w:sz="2" w:space="0"/>
              <w:bottom w:val="single" w:color="auto" w:sz="2" w:space="0"/>
              <w:right w:val="single" w:color="auto" w:sz="2" w:space="0"/>
            </w:tcBorders>
            <w:vAlign w:val="center"/>
          </w:tcPr>
          <w:p w14:paraId="15E39D4B">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302BA67">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587,732.12</w:t>
            </w:r>
          </w:p>
        </w:tc>
      </w:tr>
      <w:tr w14:paraId="556E4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B68F7E1">
            <w:pPr>
              <w:spacing w:before="40" w:after="4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377" w:type="dxa"/>
            <w:tcBorders>
              <w:top w:val="single" w:color="auto" w:sz="2" w:space="0"/>
              <w:left w:val="single" w:color="auto" w:sz="2" w:space="0"/>
              <w:bottom w:val="single" w:color="auto" w:sz="2" w:space="0"/>
              <w:right w:val="single" w:color="auto" w:sz="2" w:space="0"/>
            </w:tcBorders>
            <w:vAlign w:val="center"/>
          </w:tcPr>
          <w:p w14:paraId="249CDCBA">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2,332,656.91</w:t>
            </w:r>
          </w:p>
        </w:tc>
        <w:tc>
          <w:tcPr>
            <w:tcW w:w="1377" w:type="dxa"/>
            <w:tcBorders>
              <w:top w:val="single" w:color="auto" w:sz="2" w:space="0"/>
              <w:left w:val="single" w:color="auto" w:sz="2" w:space="0"/>
              <w:bottom w:val="single" w:color="auto" w:sz="2" w:space="0"/>
              <w:right w:val="single" w:color="auto" w:sz="2" w:space="0"/>
            </w:tcBorders>
            <w:vAlign w:val="center"/>
          </w:tcPr>
          <w:p w14:paraId="5CDFC6FF">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ABD0443">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2,332,656.91</w:t>
            </w:r>
          </w:p>
        </w:tc>
        <w:tc>
          <w:tcPr>
            <w:tcW w:w="1377" w:type="dxa"/>
            <w:tcBorders>
              <w:top w:val="single" w:color="auto" w:sz="2" w:space="0"/>
              <w:left w:val="single" w:color="auto" w:sz="2" w:space="0"/>
              <w:bottom w:val="single" w:color="auto" w:sz="2" w:space="0"/>
              <w:right w:val="single" w:color="auto" w:sz="2" w:space="0"/>
            </w:tcBorders>
            <w:vAlign w:val="center"/>
          </w:tcPr>
          <w:p w14:paraId="6F7A0018">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2,432,597.82</w:t>
            </w:r>
          </w:p>
        </w:tc>
        <w:tc>
          <w:tcPr>
            <w:tcW w:w="1377" w:type="dxa"/>
            <w:tcBorders>
              <w:top w:val="single" w:color="auto" w:sz="2" w:space="0"/>
              <w:left w:val="single" w:color="auto" w:sz="2" w:space="0"/>
              <w:bottom w:val="single" w:color="auto" w:sz="2" w:space="0"/>
              <w:right w:val="single" w:color="auto" w:sz="2" w:space="0"/>
            </w:tcBorders>
            <w:vAlign w:val="center"/>
          </w:tcPr>
          <w:p w14:paraId="2F21D779">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04AB1B3">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2,432,597.82</w:t>
            </w:r>
          </w:p>
        </w:tc>
      </w:tr>
      <w:tr w14:paraId="2AEA8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D708479">
            <w:pPr>
              <w:spacing w:before="0" w:after="0" w:line="240" w:lineRule="exact"/>
              <w:jc w:val="left"/>
              <w:rPr>
                <w:rFonts w:ascii="宋体" w:hAnsi="宋体" w:eastAsia="宋体" w:cs="宋体"/>
                <w:sz w:val="18"/>
                <w:szCs w:val="18"/>
              </w:rPr>
            </w:pPr>
            <w:r>
              <w:rPr>
                <w:rFonts w:ascii="宋体" w:hAnsi="宋体" w:eastAsia="宋体" w:cs="宋体"/>
                <w:sz w:val="18"/>
                <w:szCs w:val="18"/>
              </w:rPr>
              <w:t>其他材料</w:t>
            </w:r>
          </w:p>
        </w:tc>
        <w:tc>
          <w:tcPr>
            <w:tcW w:w="1377" w:type="dxa"/>
            <w:tcBorders>
              <w:top w:val="single" w:color="auto" w:sz="2" w:space="0"/>
              <w:left w:val="single" w:color="auto" w:sz="2" w:space="0"/>
              <w:bottom w:val="single" w:color="auto" w:sz="2" w:space="0"/>
              <w:right w:val="single" w:color="auto" w:sz="2" w:space="0"/>
            </w:tcBorders>
            <w:vAlign w:val="center"/>
          </w:tcPr>
          <w:p w14:paraId="6A1535EF">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1,911,009.00</w:t>
            </w:r>
          </w:p>
        </w:tc>
        <w:tc>
          <w:tcPr>
            <w:tcW w:w="1377" w:type="dxa"/>
            <w:tcBorders>
              <w:top w:val="single" w:color="auto" w:sz="2" w:space="0"/>
              <w:left w:val="single" w:color="auto" w:sz="2" w:space="0"/>
              <w:bottom w:val="single" w:color="auto" w:sz="2" w:space="0"/>
              <w:right w:val="single" w:color="auto" w:sz="2" w:space="0"/>
            </w:tcBorders>
            <w:vAlign w:val="center"/>
          </w:tcPr>
          <w:p w14:paraId="63D4200E">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0BD0256">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1,911,009.00</w:t>
            </w:r>
          </w:p>
        </w:tc>
        <w:tc>
          <w:tcPr>
            <w:tcW w:w="1377" w:type="dxa"/>
            <w:tcBorders>
              <w:top w:val="single" w:color="auto" w:sz="2" w:space="0"/>
              <w:left w:val="single" w:color="auto" w:sz="2" w:space="0"/>
              <w:bottom w:val="single" w:color="auto" w:sz="2" w:space="0"/>
              <w:right w:val="single" w:color="auto" w:sz="2" w:space="0"/>
            </w:tcBorders>
            <w:vAlign w:val="center"/>
          </w:tcPr>
          <w:p w14:paraId="1C62314C">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397,777.47</w:t>
            </w:r>
          </w:p>
        </w:tc>
        <w:tc>
          <w:tcPr>
            <w:tcW w:w="1377" w:type="dxa"/>
            <w:tcBorders>
              <w:top w:val="single" w:color="auto" w:sz="2" w:space="0"/>
              <w:left w:val="single" w:color="auto" w:sz="2" w:space="0"/>
              <w:bottom w:val="single" w:color="auto" w:sz="2" w:space="0"/>
              <w:right w:val="single" w:color="auto" w:sz="2" w:space="0"/>
            </w:tcBorders>
            <w:vAlign w:val="center"/>
          </w:tcPr>
          <w:p w14:paraId="3A0D5BEE">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B6CF21E">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397,777.47</w:t>
            </w:r>
          </w:p>
        </w:tc>
      </w:tr>
      <w:tr w14:paraId="76531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92FB78D">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0D75189A">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79,580,148.84</w:t>
            </w:r>
          </w:p>
        </w:tc>
        <w:tc>
          <w:tcPr>
            <w:tcW w:w="1377" w:type="dxa"/>
            <w:tcBorders>
              <w:top w:val="single" w:color="auto" w:sz="2" w:space="0"/>
              <w:left w:val="single" w:color="auto" w:sz="2" w:space="0"/>
              <w:bottom w:val="single" w:color="auto" w:sz="2" w:space="0"/>
              <w:right w:val="single" w:color="auto" w:sz="2" w:space="0"/>
            </w:tcBorders>
            <w:vAlign w:val="center"/>
          </w:tcPr>
          <w:p w14:paraId="771B1AE4">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1,872,265.99</w:t>
            </w:r>
          </w:p>
        </w:tc>
        <w:tc>
          <w:tcPr>
            <w:tcW w:w="1377" w:type="dxa"/>
            <w:tcBorders>
              <w:top w:val="single" w:color="auto" w:sz="2" w:space="0"/>
              <w:left w:val="single" w:color="auto" w:sz="2" w:space="0"/>
              <w:bottom w:val="single" w:color="auto" w:sz="2" w:space="0"/>
              <w:right w:val="single" w:color="auto" w:sz="2" w:space="0"/>
            </w:tcBorders>
            <w:vAlign w:val="center"/>
          </w:tcPr>
          <w:p w14:paraId="3F62C942">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77,707,882.85</w:t>
            </w:r>
          </w:p>
        </w:tc>
        <w:tc>
          <w:tcPr>
            <w:tcW w:w="1377" w:type="dxa"/>
            <w:tcBorders>
              <w:top w:val="single" w:color="auto" w:sz="2" w:space="0"/>
              <w:left w:val="single" w:color="auto" w:sz="2" w:space="0"/>
              <w:bottom w:val="single" w:color="auto" w:sz="2" w:space="0"/>
              <w:right w:val="single" w:color="auto" w:sz="2" w:space="0"/>
            </w:tcBorders>
            <w:vAlign w:val="center"/>
          </w:tcPr>
          <w:p w14:paraId="41237097">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146,339,662.27</w:t>
            </w:r>
          </w:p>
        </w:tc>
        <w:tc>
          <w:tcPr>
            <w:tcW w:w="1377" w:type="dxa"/>
            <w:tcBorders>
              <w:top w:val="single" w:color="auto" w:sz="2" w:space="0"/>
              <w:left w:val="single" w:color="auto" w:sz="2" w:space="0"/>
              <w:bottom w:val="single" w:color="auto" w:sz="2" w:space="0"/>
              <w:right w:val="single" w:color="auto" w:sz="2" w:space="0"/>
            </w:tcBorders>
            <w:vAlign w:val="center"/>
          </w:tcPr>
          <w:p w14:paraId="30B66704">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67,880,629.67</w:t>
            </w:r>
          </w:p>
        </w:tc>
        <w:tc>
          <w:tcPr>
            <w:tcW w:w="1377" w:type="dxa"/>
            <w:tcBorders>
              <w:top w:val="single" w:color="auto" w:sz="2" w:space="0"/>
              <w:left w:val="single" w:color="auto" w:sz="2" w:space="0"/>
              <w:bottom w:val="single" w:color="auto" w:sz="2" w:space="0"/>
              <w:right w:val="single" w:color="auto" w:sz="2" w:space="0"/>
            </w:tcBorders>
            <w:vAlign w:val="center"/>
          </w:tcPr>
          <w:p w14:paraId="774D74F0">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78,459,032.60</w:t>
            </w:r>
          </w:p>
        </w:tc>
      </w:tr>
    </w:tbl>
    <w:p w14:paraId="429C0287">
      <w:pPr>
        <w:keepNext/>
        <w:keepLines/>
        <w:spacing w:before="300" w:after="300" w:line="280" w:lineRule="exact"/>
        <w:jc w:val="left"/>
        <w:outlineLvl w:val="3"/>
        <w:rPr>
          <w:rFonts w:ascii="宋体" w:hAnsi="宋体" w:eastAsia="宋体" w:cs="宋体"/>
          <w:b/>
          <w:bCs/>
          <w:sz w:val="21"/>
          <w:szCs w:val="21"/>
        </w:rPr>
      </w:pPr>
      <w:bookmarkStart w:id="300" w:name="_Toc989110"/>
      <w:r>
        <w:rPr>
          <w:rFonts w:ascii="宋体" w:hAnsi="宋体" w:eastAsia="宋体" w:cs="宋体"/>
          <w:b/>
          <w:bCs/>
          <w:sz w:val="21"/>
          <w:szCs w:val="21"/>
        </w:rPr>
        <w:t>（</w:t>
      </w:r>
      <w:r>
        <w:rPr>
          <w:rFonts w:hint="default" w:ascii="Times New Roman" w:hAnsi="Times New Roman" w:eastAsia="宋体" w:cs="Times New Roman"/>
          <w:b/>
          <w:bCs/>
          <w:sz w:val="21"/>
          <w:szCs w:val="21"/>
        </w:rPr>
        <w:t>2</w:t>
      </w:r>
      <w:r>
        <w:rPr>
          <w:rFonts w:ascii="宋体" w:hAnsi="宋体" w:eastAsia="宋体" w:cs="宋体"/>
          <w:b/>
          <w:bCs/>
          <w:sz w:val="21"/>
          <w:szCs w:val="21"/>
        </w:rPr>
        <w:t>） 存货跌价准备和合同履约成本减值准备</w:t>
      </w:r>
      <w:bookmarkEnd w:id="300"/>
    </w:p>
    <w:p w14:paraId="7CE4154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7D644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41677EE">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C603D15">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7E0D531">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873D9F6">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26C81F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6AF69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8F0ADF5"/>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3FB8B95"/>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02E2023">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5820890">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9FCA077">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82AD58F">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257B82A"/>
        </w:tc>
      </w:tr>
      <w:tr w14:paraId="5E42D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15700CB">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14:paraId="71116782">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660,968.70</w:t>
            </w:r>
          </w:p>
        </w:tc>
        <w:tc>
          <w:tcPr>
            <w:tcW w:w="1377" w:type="dxa"/>
            <w:tcBorders>
              <w:top w:val="single" w:color="auto" w:sz="2" w:space="0"/>
              <w:left w:val="single" w:color="auto" w:sz="2" w:space="0"/>
              <w:bottom w:val="single" w:color="auto" w:sz="2" w:space="0"/>
              <w:right w:val="single" w:color="auto" w:sz="2" w:space="0"/>
            </w:tcBorders>
            <w:vAlign w:val="center"/>
          </w:tcPr>
          <w:p w14:paraId="051F3EC4">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576,005.16</w:t>
            </w:r>
          </w:p>
        </w:tc>
        <w:tc>
          <w:tcPr>
            <w:tcW w:w="1377" w:type="dxa"/>
            <w:tcBorders>
              <w:top w:val="single" w:color="auto" w:sz="2" w:space="0"/>
              <w:left w:val="single" w:color="auto" w:sz="2" w:space="0"/>
              <w:bottom w:val="single" w:color="auto" w:sz="2" w:space="0"/>
              <w:right w:val="single" w:color="auto" w:sz="2" w:space="0"/>
            </w:tcBorders>
            <w:vAlign w:val="center"/>
          </w:tcPr>
          <w:p w14:paraId="365DCC26">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4A88FC8">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660,968.68</w:t>
            </w:r>
          </w:p>
        </w:tc>
        <w:tc>
          <w:tcPr>
            <w:tcW w:w="1377" w:type="dxa"/>
            <w:tcBorders>
              <w:top w:val="single" w:color="auto" w:sz="2" w:space="0"/>
              <w:left w:val="single" w:color="auto" w:sz="2" w:space="0"/>
              <w:bottom w:val="single" w:color="auto" w:sz="2" w:space="0"/>
              <w:right w:val="single" w:color="auto" w:sz="2" w:space="0"/>
            </w:tcBorders>
            <w:vAlign w:val="center"/>
          </w:tcPr>
          <w:p w14:paraId="528822D0">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4519917">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576,005.18</w:t>
            </w:r>
          </w:p>
        </w:tc>
      </w:tr>
      <w:tr w14:paraId="19E2B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8C800CC">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14:paraId="66809511">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67,219,660.97</w:t>
            </w:r>
          </w:p>
        </w:tc>
        <w:tc>
          <w:tcPr>
            <w:tcW w:w="1377" w:type="dxa"/>
            <w:tcBorders>
              <w:top w:val="single" w:color="auto" w:sz="2" w:space="0"/>
              <w:left w:val="single" w:color="auto" w:sz="2" w:space="0"/>
              <w:bottom w:val="single" w:color="auto" w:sz="2" w:space="0"/>
              <w:right w:val="single" w:color="auto" w:sz="2" w:space="0"/>
            </w:tcBorders>
            <w:vAlign w:val="center"/>
          </w:tcPr>
          <w:p w14:paraId="3F365D2D">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1,316,852.13</w:t>
            </w:r>
          </w:p>
        </w:tc>
        <w:tc>
          <w:tcPr>
            <w:tcW w:w="1377" w:type="dxa"/>
            <w:tcBorders>
              <w:top w:val="single" w:color="auto" w:sz="2" w:space="0"/>
              <w:left w:val="single" w:color="auto" w:sz="2" w:space="0"/>
              <w:bottom w:val="single" w:color="auto" w:sz="2" w:space="0"/>
              <w:right w:val="single" w:color="auto" w:sz="2" w:space="0"/>
            </w:tcBorders>
            <w:vAlign w:val="center"/>
          </w:tcPr>
          <w:p w14:paraId="7895B3F4">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FAA307B">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67,240,252.29</w:t>
            </w:r>
          </w:p>
        </w:tc>
        <w:tc>
          <w:tcPr>
            <w:tcW w:w="1377" w:type="dxa"/>
            <w:tcBorders>
              <w:top w:val="single" w:color="auto" w:sz="2" w:space="0"/>
              <w:left w:val="single" w:color="auto" w:sz="2" w:space="0"/>
              <w:bottom w:val="single" w:color="auto" w:sz="2" w:space="0"/>
              <w:right w:val="single" w:color="auto" w:sz="2" w:space="0"/>
            </w:tcBorders>
            <w:vAlign w:val="center"/>
          </w:tcPr>
          <w:p w14:paraId="05E47871">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DEB36D2">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1,296,260.81</w:t>
            </w:r>
          </w:p>
        </w:tc>
      </w:tr>
      <w:tr w14:paraId="0E7B8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D31958F">
            <w:pPr>
              <w:spacing w:before="40" w:after="40" w:line="240" w:lineRule="exact"/>
              <w:jc w:val="left"/>
              <w:rPr>
                <w:rFonts w:ascii="宋体" w:hAnsi="宋体" w:eastAsia="宋体" w:cs="宋体"/>
                <w:sz w:val="18"/>
                <w:szCs w:val="18"/>
              </w:rPr>
            </w:pPr>
            <w:r>
              <w:rPr>
                <w:rFonts w:ascii="宋体" w:hAnsi="宋体" w:eastAsia="宋体" w:cs="宋体"/>
                <w:sz w:val="18"/>
                <w:szCs w:val="18"/>
              </w:rPr>
              <w:t>周转材料</w:t>
            </w:r>
          </w:p>
        </w:tc>
        <w:tc>
          <w:tcPr>
            <w:tcW w:w="1377" w:type="dxa"/>
            <w:tcBorders>
              <w:top w:val="single" w:color="auto" w:sz="2" w:space="0"/>
              <w:left w:val="single" w:color="auto" w:sz="2" w:space="0"/>
              <w:bottom w:val="single" w:color="auto" w:sz="2" w:space="0"/>
              <w:right w:val="single" w:color="auto" w:sz="2" w:space="0"/>
            </w:tcBorders>
            <w:vAlign w:val="center"/>
          </w:tcPr>
          <w:p w14:paraId="2DCCDB6E">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AB800AA">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9,129.94</w:t>
            </w:r>
          </w:p>
        </w:tc>
        <w:tc>
          <w:tcPr>
            <w:tcW w:w="1377" w:type="dxa"/>
            <w:tcBorders>
              <w:top w:val="single" w:color="auto" w:sz="2" w:space="0"/>
              <w:left w:val="single" w:color="auto" w:sz="2" w:space="0"/>
              <w:bottom w:val="single" w:color="auto" w:sz="2" w:space="0"/>
              <w:right w:val="single" w:color="auto" w:sz="2" w:space="0"/>
            </w:tcBorders>
            <w:vAlign w:val="center"/>
          </w:tcPr>
          <w:p w14:paraId="2943FBFA">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7250D44">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9,129.94</w:t>
            </w:r>
          </w:p>
        </w:tc>
        <w:tc>
          <w:tcPr>
            <w:tcW w:w="1377" w:type="dxa"/>
            <w:tcBorders>
              <w:top w:val="single" w:color="auto" w:sz="2" w:space="0"/>
              <w:left w:val="single" w:color="auto" w:sz="2" w:space="0"/>
              <w:bottom w:val="single" w:color="auto" w:sz="2" w:space="0"/>
              <w:right w:val="single" w:color="auto" w:sz="2" w:space="0"/>
            </w:tcBorders>
            <w:vAlign w:val="center"/>
          </w:tcPr>
          <w:p w14:paraId="6BFA6AB0">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74571AD">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r>
      <w:tr w14:paraId="49C49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4E5A569">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47C2F758">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67,880,629.67</w:t>
            </w:r>
          </w:p>
        </w:tc>
        <w:tc>
          <w:tcPr>
            <w:tcW w:w="1377" w:type="dxa"/>
            <w:tcBorders>
              <w:top w:val="single" w:color="auto" w:sz="2" w:space="0"/>
              <w:left w:val="single" w:color="auto" w:sz="2" w:space="0"/>
              <w:bottom w:val="single" w:color="auto" w:sz="2" w:space="0"/>
              <w:right w:val="single" w:color="auto" w:sz="2" w:space="0"/>
            </w:tcBorders>
            <w:vAlign w:val="center"/>
          </w:tcPr>
          <w:p w14:paraId="0ED5702B">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1,901,987.23</w:t>
            </w:r>
          </w:p>
        </w:tc>
        <w:tc>
          <w:tcPr>
            <w:tcW w:w="1377" w:type="dxa"/>
            <w:tcBorders>
              <w:top w:val="single" w:color="auto" w:sz="2" w:space="0"/>
              <w:left w:val="single" w:color="auto" w:sz="2" w:space="0"/>
              <w:bottom w:val="single" w:color="auto" w:sz="2" w:space="0"/>
              <w:right w:val="single" w:color="auto" w:sz="2" w:space="0"/>
            </w:tcBorders>
            <w:vAlign w:val="center"/>
          </w:tcPr>
          <w:p w14:paraId="0503C773">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48E1B6D">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67,910,350.91</w:t>
            </w:r>
          </w:p>
        </w:tc>
        <w:tc>
          <w:tcPr>
            <w:tcW w:w="1377" w:type="dxa"/>
            <w:tcBorders>
              <w:top w:val="single" w:color="auto" w:sz="2" w:space="0"/>
              <w:left w:val="single" w:color="auto" w:sz="2" w:space="0"/>
              <w:bottom w:val="single" w:color="auto" w:sz="2" w:space="0"/>
              <w:right w:val="single" w:color="auto" w:sz="2" w:space="0"/>
            </w:tcBorders>
            <w:vAlign w:val="center"/>
          </w:tcPr>
          <w:p w14:paraId="2FF3A984">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AFB7FEC">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Arial Narrow" w:cs="Times New Roman"/>
                <w:i w:val="0"/>
                <w:iCs w:val="0"/>
                <w:color w:val="000000"/>
                <w:sz w:val="18"/>
                <w:szCs w:val="18"/>
              </w:rPr>
            </w:pPr>
            <w:r>
              <w:rPr>
                <w:rFonts w:hint="default" w:ascii="Times New Roman" w:hAnsi="Times New Roman" w:eastAsia="Arial Narrow" w:cs="Times New Roman"/>
                <w:i w:val="0"/>
                <w:iCs w:val="0"/>
                <w:color w:val="000000"/>
                <w:sz w:val="18"/>
                <w:szCs w:val="18"/>
              </w:rPr>
              <w:t>1,872,265.99</w:t>
            </w:r>
          </w:p>
        </w:tc>
      </w:tr>
    </w:tbl>
    <w:p w14:paraId="311571C0">
      <w:pPr>
        <w:spacing w:before="100" w:after="100" w:line="0" w:lineRule="exact"/>
        <w:jc w:val="left"/>
      </w:pPr>
    </w:p>
    <w:p w14:paraId="4E4323F3">
      <w:pPr>
        <w:pStyle w:val="6"/>
        <w:keepNext w:val="0"/>
        <w:keepLines w:val="0"/>
        <w:widowControl/>
        <w:suppressLineNumbers w:val="0"/>
        <w:autoSpaceDE w:val="0"/>
        <w:autoSpaceDN/>
        <w:snapToGrid w:val="0"/>
        <w:spacing w:before="0" w:beforeAutospacing="1" w:after="0" w:afterAutospacing="1" w:line="460" w:lineRule="atLeast"/>
        <w:ind w:left="0" w:right="0"/>
        <w:textAlignment w:val="baseline"/>
      </w:pPr>
      <w:r>
        <w:rPr>
          <w:rFonts w:hint="eastAsia" w:ascii="宋体" w:hAnsi="宋体" w:eastAsia="宋体" w:cs="宋体"/>
          <w:sz w:val="21"/>
          <w:szCs w:val="21"/>
          <w:vertAlign w:val="baseline"/>
        </w:rPr>
        <w:t>公司本期存货跌价准备转回或转销主要系销毁无法销售且已全额计提跌价准备的人工晶体产品。</w:t>
      </w:r>
    </w:p>
    <w:p w14:paraId="219D1EA8">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按组合计提存货跌价准备</w:t>
      </w:r>
    </w:p>
    <w:p w14:paraId="2388032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31962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585605A">
            <w:pPr>
              <w:spacing w:before="40" w:after="40" w:line="240" w:lineRule="exact"/>
              <w:jc w:val="center"/>
              <w:rPr>
                <w:rFonts w:ascii="宋体" w:hAnsi="宋体" w:eastAsia="宋体" w:cs="宋体"/>
                <w:sz w:val="18"/>
                <w:szCs w:val="18"/>
              </w:rPr>
            </w:pPr>
            <w:r>
              <w:rPr>
                <w:rFonts w:ascii="宋体" w:hAnsi="宋体" w:eastAsia="宋体" w:cs="宋体"/>
                <w:sz w:val="18"/>
                <w:szCs w:val="18"/>
              </w:rPr>
              <w:t>组合名称</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0813C82F">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2C9C23F5">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r>
      <w:tr w14:paraId="5374A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3FFA092"/>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54DD4A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AED3B3D">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93099F3">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4E17B0F">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129B5F0">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0A648D2">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跌价准备计提比例</w:t>
            </w:r>
          </w:p>
        </w:tc>
      </w:tr>
    </w:tbl>
    <w:p w14:paraId="66DF4FEA">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按组合计提存货跌价准备的计提标准</w:t>
      </w:r>
    </w:p>
    <w:p w14:paraId="5F1475C3">
      <w:pPr>
        <w:pStyle w:val="3"/>
        <w:keepNext/>
        <w:keepLines/>
        <w:spacing w:before="300" w:after="300" w:line="280" w:lineRule="exact"/>
        <w:jc w:val="left"/>
        <w:outlineLvl w:val="2"/>
        <w:rPr>
          <w:rFonts w:ascii="宋体" w:hAnsi="宋体" w:eastAsia="宋体" w:cs="宋体"/>
          <w:b/>
          <w:bCs/>
          <w:sz w:val="21"/>
          <w:szCs w:val="21"/>
        </w:rPr>
      </w:pPr>
      <w:bookmarkStart w:id="301" w:name="_Toc989111"/>
      <w:r>
        <w:rPr>
          <w:rFonts w:hint="default" w:ascii="Times New Roman" w:hAnsi="Times New Roman" w:eastAsia="宋体" w:cs="Times New Roman"/>
          <w:b/>
          <w:bCs/>
          <w:sz w:val="21"/>
          <w:szCs w:val="21"/>
        </w:rPr>
        <w:t>6</w:t>
      </w:r>
      <w:r>
        <w:rPr>
          <w:rFonts w:ascii="宋体" w:hAnsi="宋体" w:eastAsia="宋体" w:cs="宋体"/>
          <w:b/>
          <w:bCs/>
          <w:sz w:val="21"/>
          <w:szCs w:val="21"/>
        </w:rPr>
        <w:t>、其他流动资产</w:t>
      </w:r>
      <w:bookmarkEnd w:id="301"/>
    </w:p>
    <w:p w14:paraId="285D98D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44BC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A2B59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77D61D">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701985">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68026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D948C42">
            <w:pPr>
              <w:spacing w:before="0" w:after="0" w:line="240" w:lineRule="exact"/>
              <w:jc w:val="left"/>
              <w:rPr>
                <w:rFonts w:ascii="宋体" w:hAnsi="宋体" w:eastAsia="宋体" w:cs="宋体"/>
                <w:sz w:val="18"/>
                <w:szCs w:val="18"/>
              </w:rPr>
            </w:pPr>
            <w:r>
              <w:rPr>
                <w:rFonts w:ascii="宋体" w:hAnsi="宋体" w:eastAsia="宋体" w:cs="宋体"/>
                <w:sz w:val="18"/>
                <w:szCs w:val="18"/>
              </w:rPr>
              <w:t>待摊费用</w:t>
            </w:r>
          </w:p>
        </w:tc>
        <w:tc>
          <w:tcPr>
            <w:tcW w:w="3213" w:type="dxa"/>
            <w:tcBorders>
              <w:top w:val="single" w:color="auto" w:sz="2" w:space="0"/>
              <w:left w:val="single" w:color="auto" w:sz="2" w:space="0"/>
              <w:bottom w:val="single" w:color="auto" w:sz="2" w:space="0"/>
              <w:right w:val="single" w:color="auto" w:sz="2" w:space="0"/>
            </w:tcBorders>
            <w:vAlign w:val="center"/>
          </w:tcPr>
          <w:p w14:paraId="4A63DE3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2,079,460.77</w:t>
            </w:r>
          </w:p>
        </w:tc>
        <w:tc>
          <w:tcPr>
            <w:tcW w:w="3213" w:type="dxa"/>
            <w:tcBorders>
              <w:top w:val="single" w:color="auto" w:sz="2" w:space="0"/>
              <w:left w:val="single" w:color="auto" w:sz="2" w:space="0"/>
              <w:bottom w:val="single" w:color="auto" w:sz="2" w:space="0"/>
              <w:right w:val="single" w:color="auto" w:sz="2" w:space="0"/>
            </w:tcBorders>
            <w:vAlign w:val="center"/>
          </w:tcPr>
          <w:p w14:paraId="389121D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1,308,262.55</w:t>
            </w:r>
          </w:p>
        </w:tc>
      </w:tr>
      <w:tr w14:paraId="7E8AA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1DCF3A6">
            <w:pPr>
              <w:spacing w:before="0" w:after="0" w:line="240" w:lineRule="exact"/>
              <w:jc w:val="left"/>
              <w:rPr>
                <w:rFonts w:ascii="宋体" w:hAnsi="宋体" w:eastAsia="宋体" w:cs="宋体"/>
                <w:sz w:val="18"/>
                <w:szCs w:val="18"/>
              </w:rPr>
            </w:pPr>
            <w:r>
              <w:rPr>
                <w:rFonts w:ascii="宋体" w:hAnsi="宋体" w:eastAsia="宋体" w:cs="宋体"/>
                <w:sz w:val="18"/>
                <w:szCs w:val="18"/>
              </w:rPr>
              <w:t>待抵扣进项税</w:t>
            </w:r>
          </w:p>
        </w:tc>
        <w:tc>
          <w:tcPr>
            <w:tcW w:w="3213" w:type="dxa"/>
            <w:tcBorders>
              <w:top w:val="single" w:color="auto" w:sz="2" w:space="0"/>
              <w:left w:val="single" w:color="auto" w:sz="2" w:space="0"/>
              <w:bottom w:val="single" w:color="auto" w:sz="2" w:space="0"/>
              <w:right w:val="single" w:color="auto" w:sz="2" w:space="0"/>
            </w:tcBorders>
            <w:vAlign w:val="center"/>
          </w:tcPr>
          <w:p w14:paraId="500AB5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23,480,485.98</w:t>
            </w:r>
          </w:p>
        </w:tc>
        <w:tc>
          <w:tcPr>
            <w:tcW w:w="3213" w:type="dxa"/>
            <w:tcBorders>
              <w:top w:val="single" w:color="auto" w:sz="2" w:space="0"/>
              <w:left w:val="single" w:color="auto" w:sz="2" w:space="0"/>
              <w:bottom w:val="single" w:color="auto" w:sz="2" w:space="0"/>
              <w:right w:val="single" w:color="auto" w:sz="2" w:space="0"/>
            </w:tcBorders>
            <w:vAlign w:val="center"/>
          </w:tcPr>
          <w:p w14:paraId="1654DEA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15,416,256.13</w:t>
            </w:r>
          </w:p>
        </w:tc>
      </w:tr>
      <w:tr w14:paraId="584FA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03178DD">
            <w:pPr>
              <w:spacing w:before="0" w:after="0" w:line="240" w:lineRule="exact"/>
              <w:jc w:val="left"/>
              <w:rPr>
                <w:rFonts w:ascii="宋体" w:hAnsi="宋体" w:eastAsia="宋体" w:cs="宋体"/>
                <w:sz w:val="18"/>
                <w:szCs w:val="18"/>
              </w:rPr>
            </w:pPr>
            <w:r>
              <w:rPr>
                <w:rFonts w:ascii="宋体" w:hAnsi="宋体" w:eastAsia="宋体" w:cs="宋体"/>
                <w:sz w:val="18"/>
                <w:szCs w:val="18"/>
              </w:rPr>
              <w:t>预缴其他税费</w:t>
            </w:r>
          </w:p>
        </w:tc>
        <w:tc>
          <w:tcPr>
            <w:tcW w:w="3213" w:type="dxa"/>
            <w:tcBorders>
              <w:top w:val="single" w:color="auto" w:sz="2" w:space="0"/>
              <w:left w:val="single" w:color="auto" w:sz="2" w:space="0"/>
              <w:bottom w:val="single" w:color="auto" w:sz="2" w:space="0"/>
              <w:right w:val="single" w:color="auto" w:sz="2" w:space="0"/>
            </w:tcBorders>
            <w:vAlign w:val="center"/>
          </w:tcPr>
          <w:p w14:paraId="70D0A15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427,127.93</w:t>
            </w:r>
          </w:p>
        </w:tc>
        <w:tc>
          <w:tcPr>
            <w:tcW w:w="3213" w:type="dxa"/>
            <w:tcBorders>
              <w:top w:val="single" w:color="auto" w:sz="2" w:space="0"/>
              <w:left w:val="single" w:color="auto" w:sz="2" w:space="0"/>
              <w:bottom w:val="single" w:color="auto" w:sz="2" w:space="0"/>
              <w:right w:val="single" w:color="auto" w:sz="2" w:space="0"/>
            </w:tcBorders>
            <w:vAlign w:val="center"/>
          </w:tcPr>
          <w:p w14:paraId="77D0D0DD">
            <w:pPr>
              <w:spacing w:before="0" w:after="0" w:line="240" w:lineRule="exact"/>
              <w:jc w:val="right"/>
              <w:rPr>
                <w:rFonts w:hint="default" w:ascii="Times New Roman" w:hAnsi="Times New Roman" w:eastAsia="宋体" w:cs="Times New Roman"/>
                <w:sz w:val="18"/>
                <w:szCs w:val="18"/>
              </w:rPr>
            </w:pPr>
          </w:p>
        </w:tc>
      </w:tr>
      <w:tr w14:paraId="754AD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869EBF">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B33ED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25,987,074.68</w:t>
            </w:r>
          </w:p>
        </w:tc>
        <w:tc>
          <w:tcPr>
            <w:tcW w:w="3213" w:type="dxa"/>
            <w:tcBorders>
              <w:top w:val="single" w:color="auto" w:sz="2" w:space="0"/>
              <w:left w:val="single" w:color="auto" w:sz="2" w:space="0"/>
              <w:bottom w:val="single" w:color="auto" w:sz="2" w:space="0"/>
              <w:right w:val="single" w:color="auto" w:sz="2" w:space="0"/>
            </w:tcBorders>
            <w:vAlign w:val="center"/>
          </w:tcPr>
          <w:p w14:paraId="5547E76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16,724,518.68</w:t>
            </w:r>
          </w:p>
        </w:tc>
      </w:tr>
    </w:tbl>
    <w:p w14:paraId="46DD0536">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7E3EEDD4">
      <w:pPr>
        <w:pStyle w:val="3"/>
        <w:keepNext/>
        <w:keepLines/>
        <w:spacing w:before="300" w:after="300" w:line="280" w:lineRule="exact"/>
        <w:jc w:val="left"/>
        <w:outlineLvl w:val="2"/>
        <w:rPr>
          <w:rFonts w:ascii="宋体" w:hAnsi="宋体" w:eastAsia="宋体" w:cs="宋体"/>
          <w:b/>
          <w:bCs/>
          <w:sz w:val="21"/>
          <w:szCs w:val="21"/>
        </w:rPr>
      </w:pPr>
      <w:bookmarkStart w:id="302" w:name="_Toc989112"/>
      <w:r>
        <w:rPr>
          <w:rFonts w:hint="default" w:ascii="Times New Roman" w:hAnsi="Times New Roman" w:eastAsia="宋体" w:cs="Times New Roman"/>
          <w:b/>
          <w:bCs/>
          <w:sz w:val="21"/>
          <w:szCs w:val="21"/>
        </w:rPr>
        <w:t>7</w:t>
      </w:r>
      <w:r>
        <w:rPr>
          <w:rFonts w:ascii="宋体" w:hAnsi="宋体" w:eastAsia="宋体" w:cs="宋体"/>
          <w:b/>
          <w:bCs/>
          <w:sz w:val="21"/>
          <w:szCs w:val="21"/>
        </w:rPr>
        <w:t>、长期股权投资</w:t>
      </w:r>
      <w:bookmarkEnd w:id="302"/>
    </w:p>
    <w:p w14:paraId="0831AAF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14:paraId="6ED8F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DA740FF">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F92CC9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2A4F4BA">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14:paraId="092418CF">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D729D1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4AA0AEC">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14:paraId="5A001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B0E619D"/>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C22C1F8"/>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42CB74C"/>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2ED1BB5">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7C796BE">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8FB0256">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7183068">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C3FFF04">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755CD8B">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F29F95F">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8F38B12">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5A90112"/>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7A296EA"/>
        </w:tc>
      </w:tr>
      <w:tr w14:paraId="08CEB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7AE8AB25">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14:paraId="5E111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1512CD8F">
            <w:pPr>
              <w:spacing w:before="0" w:after="0" w:line="240" w:lineRule="exact"/>
              <w:jc w:val="left"/>
              <w:rPr>
                <w:rFonts w:ascii="宋体" w:hAnsi="宋体" w:eastAsia="宋体" w:cs="宋体"/>
                <w:sz w:val="18"/>
                <w:szCs w:val="18"/>
              </w:rPr>
            </w:pPr>
            <w:r>
              <w:rPr>
                <w:rFonts w:ascii="宋体" w:hAnsi="宋体" w:eastAsia="宋体" w:cs="宋体"/>
                <w:sz w:val="18"/>
                <w:szCs w:val="18"/>
              </w:rPr>
              <w:t>北京宏冠再生医学科技有限公司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7DC25D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4,441,322.35</w:t>
            </w:r>
          </w:p>
        </w:tc>
        <w:tc>
          <w:tcPr>
            <w:tcW w:w="741" w:type="dxa"/>
            <w:tcBorders>
              <w:top w:val="single" w:color="auto" w:sz="2" w:space="0"/>
              <w:left w:val="single" w:color="auto" w:sz="2" w:space="0"/>
              <w:bottom w:val="single" w:color="auto" w:sz="2" w:space="0"/>
              <w:right w:val="single" w:color="auto" w:sz="2" w:space="0"/>
            </w:tcBorders>
            <w:vAlign w:val="center"/>
          </w:tcPr>
          <w:p w14:paraId="05F5DFD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10,840,387.35</w:t>
            </w:r>
          </w:p>
        </w:tc>
        <w:tc>
          <w:tcPr>
            <w:tcW w:w="741" w:type="dxa"/>
            <w:tcBorders>
              <w:top w:val="single" w:color="auto" w:sz="2" w:space="0"/>
              <w:left w:val="single" w:color="auto" w:sz="2" w:space="0"/>
              <w:bottom w:val="single" w:color="auto" w:sz="2" w:space="0"/>
              <w:right w:val="single" w:color="auto" w:sz="2" w:space="0"/>
            </w:tcBorders>
            <w:vAlign w:val="center"/>
          </w:tcPr>
          <w:p w14:paraId="26E23D5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C9D8A3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B196A4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9C53FD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CE9771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62E76B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471C9D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2FACB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-4,441,322.35</w:t>
            </w:r>
          </w:p>
        </w:tc>
        <w:tc>
          <w:tcPr>
            <w:tcW w:w="741" w:type="dxa"/>
            <w:tcBorders>
              <w:top w:val="single" w:color="auto" w:sz="2" w:space="0"/>
              <w:left w:val="single" w:color="auto" w:sz="2" w:space="0"/>
              <w:bottom w:val="single" w:color="auto" w:sz="2" w:space="0"/>
              <w:right w:val="single" w:color="auto" w:sz="2" w:space="0"/>
            </w:tcBorders>
            <w:vAlign w:val="center"/>
          </w:tcPr>
          <w:p w14:paraId="3121903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F875F96">
            <w:pPr>
              <w:spacing w:before="0" w:after="0" w:line="240" w:lineRule="exact"/>
              <w:jc w:val="right"/>
              <w:rPr>
                <w:rFonts w:ascii="宋体" w:hAnsi="宋体" w:eastAsia="宋体" w:cs="宋体"/>
                <w:sz w:val="18"/>
                <w:szCs w:val="18"/>
              </w:rPr>
            </w:pPr>
          </w:p>
        </w:tc>
      </w:tr>
      <w:tr w14:paraId="18ECB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79DA068">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741" w:type="dxa"/>
            <w:tcBorders>
              <w:top w:val="single" w:color="auto" w:sz="2" w:space="0"/>
              <w:left w:val="single" w:color="auto" w:sz="2" w:space="0"/>
              <w:bottom w:val="single" w:color="auto" w:sz="2" w:space="0"/>
              <w:right w:val="single" w:color="auto" w:sz="2" w:space="0"/>
            </w:tcBorders>
            <w:vAlign w:val="center"/>
          </w:tcPr>
          <w:p w14:paraId="53E000D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4,441,322.35</w:t>
            </w:r>
          </w:p>
        </w:tc>
        <w:tc>
          <w:tcPr>
            <w:tcW w:w="741" w:type="dxa"/>
            <w:tcBorders>
              <w:top w:val="single" w:color="auto" w:sz="2" w:space="0"/>
              <w:left w:val="single" w:color="auto" w:sz="2" w:space="0"/>
              <w:bottom w:val="single" w:color="auto" w:sz="2" w:space="0"/>
              <w:right w:val="single" w:color="auto" w:sz="2" w:space="0"/>
            </w:tcBorders>
            <w:vAlign w:val="center"/>
          </w:tcPr>
          <w:p w14:paraId="7229673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10,840,387.35</w:t>
            </w:r>
          </w:p>
        </w:tc>
        <w:tc>
          <w:tcPr>
            <w:tcW w:w="741" w:type="dxa"/>
            <w:tcBorders>
              <w:top w:val="single" w:color="auto" w:sz="2" w:space="0"/>
              <w:left w:val="single" w:color="auto" w:sz="2" w:space="0"/>
              <w:bottom w:val="single" w:color="auto" w:sz="2" w:space="0"/>
              <w:right w:val="single" w:color="auto" w:sz="2" w:space="0"/>
            </w:tcBorders>
            <w:vAlign w:val="center"/>
          </w:tcPr>
          <w:p w14:paraId="6D78E38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4364F1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33EEC8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CC8E28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464F5D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B970BD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6A8A4F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4C316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-4,441,322.35</w:t>
            </w:r>
          </w:p>
        </w:tc>
        <w:tc>
          <w:tcPr>
            <w:tcW w:w="741" w:type="dxa"/>
            <w:tcBorders>
              <w:top w:val="single" w:color="auto" w:sz="2" w:space="0"/>
              <w:left w:val="single" w:color="auto" w:sz="2" w:space="0"/>
              <w:bottom w:val="single" w:color="auto" w:sz="2" w:space="0"/>
              <w:right w:val="single" w:color="auto" w:sz="2" w:space="0"/>
            </w:tcBorders>
            <w:vAlign w:val="center"/>
          </w:tcPr>
          <w:p w14:paraId="0789896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AD0C89C">
            <w:pPr>
              <w:spacing w:before="0" w:after="0" w:line="240" w:lineRule="exact"/>
              <w:jc w:val="right"/>
              <w:rPr>
                <w:rFonts w:ascii="宋体" w:hAnsi="宋体" w:eastAsia="宋体" w:cs="宋体"/>
                <w:sz w:val="18"/>
                <w:szCs w:val="18"/>
              </w:rPr>
            </w:pPr>
          </w:p>
        </w:tc>
      </w:tr>
      <w:tr w14:paraId="0413D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11058AB4">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r w14:paraId="47D80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9767868">
            <w:pPr>
              <w:spacing w:before="0" w:after="0" w:line="240" w:lineRule="exact"/>
              <w:jc w:val="left"/>
              <w:rPr>
                <w:rFonts w:ascii="宋体" w:hAnsi="宋体" w:eastAsia="宋体" w:cs="宋体"/>
                <w:sz w:val="18"/>
                <w:szCs w:val="18"/>
              </w:rPr>
            </w:pPr>
            <w:r>
              <w:rPr>
                <w:rFonts w:ascii="宋体" w:hAnsi="宋体" w:eastAsia="宋体" w:cs="宋体"/>
                <w:sz w:val="18"/>
                <w:szCs w:val="18"/>
              </w:rPr>
              <w:t>TEKIA INC.</w:t>
            </w:r>
          </w:p>
        </w:tc>
        <w:tc>
          <w:tcPr>
            <w:tcW w:w="741" w:type="dxa"/>
            <w:tcBorders>
              <w:top w:val="single" w:color="auto" w:sz="2" w:space="0"/>
              <w:left w:val="single" w:color="auto" w:sz="2" w:space="0"/>
              <w:bottom w:val="single" w:color="auto" w:sz="2" w:space="0"/>
              <w:right w:val="single" w:color="auto" w:sz="2" w:space="0"/>
            </w:tcBorders>
            <w:vAlign w:val="center"/>
          </w:tcPr>
          <w:p w14:paraId="6256703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FECC94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13,881,824.63</w:t>
            </w:r>
          </w:p>
        </w:tc>
        <w:tc>
          <w:tcPr>
            <w:tcW w:w="741" w:type="dxa"/>
            <w:tcBorders>
              <w:top w:val="single" w:color="auto" w:sz="2" w:space="0"/>
              <w:left w:val="single" w:color="auto" w:sz="2" w:space="0"/>
              <w:bottom w:val="single" w:color="auto" w:sz="2" w:space="0"/>
              <w:right w:val="single" w:color="auto" w:sz="2" w:space="0"/>
            </w:tcBorders>
            <w:vAlign w:val="center"/>
          </w:tcPr>
          <w:p w14:paraId="5D25D7F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3168EA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53D85C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CACC5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2EB002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0F5D9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9C844C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5E8E98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B7376C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0C06D6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13,881,824.63</w:t>
            </w:r>
          </w:p>
        </w:tc>
      </w:tr>
      <w:tr w14:paraId="77EAB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68055007">
            <w:pPr>
              <w:spacing w:before="0" w:after="0" w:line="240" w:lineRule="exact"/>
              <w:jc w:val="left"/>
              <w:rPr>
                <w:rFonts w:ascii="宋体" w:hAnsi="宋体" w:eastAsia="宋体" w:cs="宋体"/>
                <w:sz w:val="18"/>
                <w:szCs w:val="18"/>
              </w:rPr>
            </w:pPr>
            <w:r>
              <w:rPr>
                <w:rFonts w:ascii="宋体" w:hAnsi="宋体" w:eastAsia="宋体" w:cs="宋体"/>
                <w:sz w:val="18"/>
                <w:szCs w:val="18"/>
              </w:rPr>
              <w:t>广州优得清生物科技有限公司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69641AD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A85FA8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55,064,780.44</w:t>
            </w:r>
          </w:p>
        </w:tc>
        <w:tc>
          <w:tcPr>
            <w:tcW w:w="741" w:type="dxa"/>
            <w:tcBorders>
              <w:top w:val="single" w:color="auto" w:sz="2" w:space="0"/>
              <w:left w:val="single" w:color="auto" w:sz="2" w:space="0"/>
              <w:bottom w:val="single" w:color="auto" w:sz="2" w:space="0"/>
              <w:right w:val="single" w:color="auto" w:sz="2" w:space="0"/>
            </w:tcBorders>
            <w:vAlign w:val="center"/>
          </w:tcPr>
          <w:p w14:paraId="2084B05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7FB08F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82BABE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9C8257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E65C6A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CE99A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51092A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BF812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E96E87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4E6528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55,064,780.44</w:t>
            </w:r>
          </w:p>
        </w:tc>
      </w:tr>
      <w:tr w14:paraId="538F6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13E6609B">
            <w:pPr>
              <w:spacing w:before="0" w:after="0" w:line="240" w:lineRule="exact"/>
              <w:jc w:val="left"/>
              <w:rPr>
                <w:rFonts w:ascii="宋体" w:hAnsi="宋体" w:eastAsia="宋体" w:cs="宋体"/>
                <w:sz w:val="18"/>
                <w:szCs w:val="18"/>
              </w:rPr>
            </w:pPr>
            <w:r>
              <w:rPr>
                <w:rFonts w:ascii="宋体" w:hAnsi="宋体" w:eastAsia="宋体" w:cs="宋体"/>
                <w:sz w:val="18"/>
                <w:szCs w:val="18"/>
              </w:rPr>
              <w:t>嘉兴君重冠昊股权投资合伙企业（有限合伙）</w:t>
            </w:r>
          </w:p>
        </w:tc>
        <w:tc>
          <w:tcPr>
            <w:tcW w:w="741" w:type="dxa"/>
            <w:tcBorders>
              <w:top w:val="single" w:color="auto" w:sz="2" w:space="0"/>
              <w:left w:val="single" w:color="auto" w:sz="2" w:space="0"/>
              <w:bottom w:val="single" w:color="auto" w:sz="2" w:space="0"/>
              <w:right w:val="single" w:color="auto" w:sz="2" w:space="0"/>
            </w:tcBorders>
            <w:vAlign w:val="center"/>
          </w:tcPr>
          <w:p w14:paraId="1F17EFE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48,490.18</w:t>
            </w:r>
          </w:p>
        </w:tc>
        <w:tc>
          <w:tcPr>
            <w:tcW w:w="741" w:type="dxa"/>
            <w:tcBorders>
              <w:top w:val="single" w:color="auto" w:sz="2" w:space="0"/>
              <w:left w:val="single" w:color="auto" w:sz="2" w:space="0"/>
              <w:bottom w:val="single" w:color="auto" w:sz="2" w:space="0"/>
              <w:right w:val="single" w:color="auto" w:sz="2" w:space="0"/>
            </w:tcBorders>
            <w:vAlign w:val="center"/>
          </w:tcPr>
          <w:p w14:paraId="1B619FE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8726F8C">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32D456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1,642,712.17</w:t>
            </w:r>
          </w:p>
        </w:tc>
        <w:tc>
          <w:tcPr>
            <w:tcW w:w="741" w:type="dxa"/>
            <w:tcBorders>
              <w:top w:val="single" w:color="auto" w:sz="2" w:space="0"/>
              <w:left w:val="single" w:color="auto" w:sz="2" w:space="0"/>
              <w:bottom w:val="single" w:color="auto" w:sz="2" w:space="0"/>
              <w:right w:val="single" w:color="auto" w:sz="2" w:space="0"/>
            </w:tcBorders>
            <w:vAlign w:val="center"/>
          </w:tcPr>
          <w:p w14:paraId="25E6621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1,785,804.55</w:t>
            </w:r>
          </w:p>
        </w:tc>
        <w:tc>
          <w:tcPr>
            <w:tcW w:w="741" w:type="dxa"/>
            <w:tcBorders>
              <w:top w:val="single" w:color="auto" w:sz="2" w:space="0"/>
              <w:left w:val="single" w:color="auto" w:sz="2" w:space="0"/>
              <w:bottom w:val="single" w:color="auto" w:sz="2" w:space="0"/>
              <w:right w:val="single" w:color="auto" w:sz="2" w:space="0"/>
            </w:tcBorders>
            <w:vAlign w:val="center"/>
          </w:tcPr>
          <w:p w14:paraId="11602E8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89482D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125C63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A3C319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21F10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7EE36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191,582.56</w:t>
            </w:r>
          </w:p>
        </w:tc>
        <w:tc>
          <w:tcPr>
            <w:tcW w:w="741" w:type="dxa"/>
            <w:tcBorders>
              <w:top w:val="single" w:color="auto" w:sz="2" w:space="0"/>
              <w:left w:val="single" w:color="auto" w:sz="2" w:space="0"/>
              <w:bottom w:val="single" w:color="auto" w:sz="2" w:space="0"/>
              <w:right w:val="single" w:color="auto" w:sz="2" w:space="0"/>
            </w:tcBorders>
            <w:vAlign w:val="center"/>
          </w:tcPr>
          <w:p w14:paraId="09CE6801">
            <w:pPr>
              <w:spacing w:before="0" w:after="0" w:line="240" w:lineRule="exact"/>
              <w:jc w:val="right"/>
              <w:rPr>
                <w:rFonts w:hint="default" w:ascii="Times New Roman" w:hAnsi="Times New Roman" w:eastAsia="宋体" w:cs="Times New Roman"/>
                <w:sz w:val="18"/>
                <w:szCs w:val="18"/>
              </w:rPr>
            </w:pPr>
          </w:p>
        </w:tc>
      </w:tr>
      <w:tr w14:paraId="1206C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2EB8730">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741" w:type="dxa"/>
            <w:tcBorders>
              <w:top w:val="single" w:color="auto" w:sz="2" w:space="0"/>
              <w:left w:val="single" w:color="auto" w:sz="2" w:space="0"/>
              <w:bottom w:val="single" w:color="auto" w:sz="2" w:space="0"/>
              <w:right w:val="single" w:color="auto" w:sz="2" w:space="0"/>
            </w:tcBorders>
            <w:vAlign w:val="center"/>
          </w:tcPr>
          <w:p w14:paraId="00C7AFB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48,490.18</w:t>
            </w:r>
          </w:p>
        </w:tc>
        <w:tc>
          <w:tcPr>
            <w:tcW w:w="741" w:type="dxa"/>
            <w:tcBorders>
              <w:top w:val="single" w:color="auto" w:sz="2" w:space="0"/>
              <w:left w:val="single" w:color="auto" w:sz="2" w:space="0"/>
              <w:bottom w:val="single" w:color="auto" w:sz="2" w:space="0"/>
              <w:right w:val="single" w:color="auto" w:sz="2" w:space="0"/>
            </w:tcBorders>
            <w:vAlign w:val="center"/>
          </w:tcPr>
          <w:p w14:paraId="298DD95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68,946,605.07</w:t>
            </w:r>
          </w:p>
        </w:tc>
        <w:tc>
          <w:tcPr>
            <w:tcW w:w="741" w:type="dxa"/>
            <w:tcBorders>
              <w:top w:val="single" w:color="auto" w:sz="2" w:space="0"/>
              <w:left w:val="single" w:color="auto" w:sz="2" w:space="0"/>
              <w:bottom w:val="single" w:color="auto" w:sz="2" w:space="0"/>
              <w:right w:val="single" w:color="auto" w:sz="2" w:space="0"/>
            </w:tcBorders>
            <w:vAlign w:val="center"/>
          </w:tcPr>
          <w:p w14:paraId="3F8CE1B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B8A9C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1,642,712.17</w:t>
            </w:r>
          </w:p>
        </w:tc>
        <w:tc>
          <w:tcPr>
            <w:tcW w:w="741" w:type="dxa"/>
            <w:tcBorders>
              <w:top w:val="single" w:color="auto" w:sz="2" w:space="0"/>
              <w:left w:val="single" w:color="auto" w:sz="2" w:space="0"/>
              <w:bottom w:val="single" w:color="auto" w:sz="2" w:space="0"/>
              <w:right w:val="single" w:color="auto" w:sz="2" w:space="0"/>
            </w:tcBorders>
            <w:vAlign w:val="center"/>
          </w:tcPr>
          <w:p w14:paraId="4B12FA6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1,785,804.55</w:t>
            </w:r>
          </w:p>
        </w:tc>
        <w:tc>
          <w:tcPr>
            <w:tcW w:w="741" w:type="dxa"/>
            <w:tcBorders>
              <w:top w:val="single" w:color="auto" w:sz="2" w:space="0"/>
              <w:left w:val="single" w:color="auto" w:sz="2" w:space="0"/>
              <w:bottom w:val="single" w:color="auto" w:sz="2" w:space="0"/>
              <w:right w:val="single" w:color="auto" w:sz="2" w:space="0"/>
            </w:tcBorders>
            <w:vAlign w:val="center"/>
          </w:tcPr>
          <w:p w14:paraId="5BB4BCE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C3DF3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615F1A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D8872F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D7B7A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9DA503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191,582.56</w:t>
            </w:r>
          </w:p>
        </w:tc>
        <w:tc>
          <w:tcPr>
            <w:tcW w:w="741" w:type="dxa"/>
            <w:tcBorders>
              <w:top w:val="single" w:color="auto" w:sz="2" w:space="0"/>
              <w:left w:val="single" w:color="auto" w:sz="2" w:space="0"/>
              <w:bottom w:val="single" w:color="auto" w:sz="2" w:space="0"/>
              <w:right w:val="single" w:color="auto" w:sz="2" w:space="0"/>
            </w:tcBorders>
            <w:vAlign w:val="center"/>
          </w:tcPr>
          <w:p w14:paraId="6CD54C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68,946,605.07</w:t>
            </w:r>
          </w:p>
        </w:tc>
      </w:tr>
      <w:tr w14:paraId="0C412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24DFF21">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14:paraId="3A7ACE9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4,489,812.53</w:t>
            </w:r>
          </w:p>
        </w:tc>
        <w:tc>
          <w:tcPr>
            <w:tcW w:w="741" w:type="dxa"/>
            <w:tcBorders>
              <w:top w:val="single" w:color="auto" w:sz="2" w:space="0"/>
              <w:left w:val="single" w:color="auto" w:sz="2" w:space="0"/>
              <w:bottom w:val="single" w:color="auto" w:sz="2" w:space="0"/>
              <w:right w:val="single" w:color="auto" w:sz="2" w:space="0"/>
            </w:tcBorders>
            <w:vAlign w:val="center"/>
          </w:tcPr>
          <w:p w14:paraId="1F5C670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79,786,992.42</w:t>
            </w:r>
          </w:p>
        </w:tc>
        <w:tc>
          <w:tcPr>
            <w:tcW w:w="741" w:type="dxa"/>
            <w:tcBorders>
              <w:top w:val="single" w:color="auto" w:sz="2" w:space="0"/>
              <w:left w:val="single" w:color="auto" w:sz="2" w:space="0"/>
              <w:bottom w:val="single" w:color="auto" w:sz="2" w:space="0"/>
              <w:right w:val="single" w:color="auto" w:sz="2" w:space="0"/>
            </w:tcBorders>
            <w:vAlign w:val="center"/>
          </w:tcPr>
          <w:p w14:paraId="43A2C29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A7651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1,642,712.17</w:t>
            </w:r>
          </w:p>
        </w:tc>
        <w:tc>
          <w:tcPr>
            <w:tcW w:w="741" w:type="dxa"/>
            <w:tcBorders>
              <w:top w:val="single" w:color="auto" w:sz="2" w:space="0"/>
              <w:left w:val="single" w:color="auto" w:sz="2" w:space="0"/>
              <w:bottom w:val="single" w:color="auto" w:sz="2" w:space="0"/>
              <w:right w:val="single" w:color="auto" w:sz="2" w:space="0"/>
            </w:tcBorders>
            <w:vAlign w:val="center"/>
          </w:tcPr>
          <w:p w14:paraId="26363C5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1,785,804.55</w:t>
            </w:r>
          </w:p>
        </w:tc>
        <w:tc>
          <w:tcPr>
            <w:tcW w:w="741" w:type="dxa"/>
            <w:tcBorders>
              <w:top w:val="single" w:color="auto" w:sz="2" w:space="0"/>
              <w:left w:val="single" w:color="auto" w:sz="2" w:space="0"/>
              <w:bottom w:val="single" w:color="auto" w:sz="2" w:space="0"/>
              <w:right w:val="single" w:color="auto" w:sz="2" w:space="0"/>
            </w:tcBorders>
            <w:vAlign w:val="center"/>
          </w:tcPr>
          <w:p w14:paraId="6E3495C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10442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F14800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8AEEE8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2EBFC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-4,441,322.35</w:t>
            </w:r>
          </w:p>
        </w:tc>
        <w:tc>
          <w:tcPr>
            <w:tcW w:w="741" w:type="dxa"/>
            <w:tcBorders>
              <w:top w:val="single" w:color="auto" w:sz="2" w:space="0"/>
              <w:left w:val="single" w:color="auto" w:sz="2" w:space="0"/>
              <w:bottom w:val="single" w:color="auto" w:sz="2" w:space="0"/>
              <w:right w:val="single" w:color="auto" w:sz="2" w:space="0"/>
            </w:tcBorders>
            <w:vAlign w:val="center"/>
          </w:tcPr>
          <w:p w14:paraId="4C76276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191,582.56</w:t>
            </w:r>
          </w:p>
        </w:tc>
        <w:tc>
          <w:tcPr>
            <w:tcW w:w="741" w:type="dxa"/>
            <w:tcBorders>
              <w:top w:val="single" w:color="auto" w:sz="2" w:space="0"/>
              <w:left w:val="single" w:color="auto" w:sz="2" w:space="0"/>
              <w:bottom w:val="single" w:color="auto" w:sz="2" w:space="0"/>
              <w:right w:val="single" w:color="auto" w:sz="2" w:space="0"/>
            </w:tcBorders>
            <w:vAlign w:val="center"/>
          </w:tcPr>
          <w:p w14:paraId="033F110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68,946,605.07</w:t>
            </w:r>
          </w:p>
        </w:tc>
      </w:tr>
    </w:tbl>
    <w:p w14:paraId="0FB8217C">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可收回金额按公允价值减去处置费用后的净额确定</w:t>
      </w:r>
    </w:p>
    <w:p w14:paraId="39B9F24E">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0442BEA">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可收回金额按预计未来现金流量的现值确定</w:t>
      </w:r>
    </w:p>
    <w:p w14:paraId="79004273">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F392332">
      <w:pPr>
        <w:spacing w:before="100" w:after="100" w:line="240" w:lineRule="exact"/>
        <w:jc w:val="left"/>
        <w:rPr>
          <w:rFonts w:ascii="宋体" w:hAnsi="宋体" w:eastAsia="宋体" w:cs="宋体"/>
          <w:sz w:val="18"/>
          <w:szCs w:val="18"/>
        </w:rPr>
      </w:pPr>
      <w:r>
        <w:rPr>
          <w:rFonts w:ascii="宋体" w:hAnsi="宋体" w:eastAsia="宋体" w:cs="宋体"/>
          <w:sz w:val="18"/>
          <w:szCs w:val="18"/>
        </w:rPr>
        <w:t>前述信息与以前年度减值测试采用的信息或外部信息明显不一致的差异原因</w:t>
      </w:r>
    </w:p>
    <w:p w14:paraId="51416E22">
      <w:pPr>
        <w:spacing w:before="100" w:after="100" w:line="240" w:lineRule="exact"/>
        <w:jc w:val="left"/>
        <w:rPr>
          <w:rFonts w:ascii="宋体" w:hAnsi="宋体" w:eastAsia="宋体" w:cs="宋体"/>
          <w:sz w:val="18"/>
          <w:szCs w:val="18"/>
        </w:rPr>
      </w:pPr>
      <w:r>
        <w:rPr>
          <w:rFonts w:ascii="宋体" w:hAnsi="宋体" w:eastAsia="宋体" w:cs="宋体"/>
          <w:sz w:val="18"/>
          <w:szCs w:val="18"/>
        </w:rPr>
        <w:t>公司以前年度减值测试采用信息与当年实际情况明显不一致的差异原因</w:t>
      </w:r>
    </w:p>
    <w:p w14:paraId="4C677E76">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339432FD">
      <w:pPr>
        <w:pStyle w:val="6"/>
        <w:keepNext w:val="0"/>
        <w:keepLines w:val="0"/>
        <w:widowControl/>
        <w:suppressLineNumbers w:val="0"/>
      </w:pPr>
      <w:r>
        <w:rPr>
          <w:rFonts w:hint="eastAsia" w:ascii="宋体" w:hAnsi="宋体" w:eastAsia="宋体" w:cs="宋体"/>
          <w:sz w:val="18"/>
          <w:szCs w:val="18"/>
        </w:rPr>
        <w:t>注:北京宏冠再生医学科技有限公司本期其他变动系公司于</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1</w:t>
      </w:r>
      <w:r>
        <w:rPr>
          <w:rFonts w:hint="eastAsia" w:ascii="宋体" w:hAnsi="宋体" w:eastAsia="宋体" w:cs="宋体"/>
          <w:sz w:val="18"/>
          <w:szCs w:val="18"/>
        </w:rPr>
        <w:t>月收购其股权，达到控制，由合营企业变为公司子公司，由权益法调整为成本法核算。</w:t>
      </w:r>
    </w:p>
    <w:p w14:paraId="555FA80B">
      <w:pPr>
        <w:pStyle w:val="3"/>
        <w:keepNext/>
        <w:keepLines/>
        <w:spacing w:before="300" w:after="300" w:line="280" w:lineRule="exact"/>
        <w:jc w:val="left"/>
        <w:outlineLvl w:val="2"/>
        <w:rPr>
          <w:rFonts w:ascii="宋体" w:hAnsi="宋体" w:eastAsia="宋体" w:cs="宋体"/>
          <w:b/>
          <w:bCs/>
          <w:sz w:val="21"/>
          <w:szCs w:val="21"/>
        </w:rPr>
      </w:pPr>
      <w:bookmarkStart w:id="303" w:name="_Toc989113"/>
      <w:r>
        <w:rPr>
          <w:rFonts w:hint="default" w:ascii="Times New Roman" w:hAnsi="Times New Roman" w:eastAsia="宋体" w:cs="Times New Roman"/>
          <w:b/>
          <w:bCs/>
          <w:sz w:val="21"/>
          <w:szCs w:val="21"/>
        </w:rPr>
        <w:t>8</w:t>
      </w:r>
      <w:r>
        <w:rPr>
          <w:rFonts w:ascii="宋体" w:hAnsi="宋体" w:eastAsia="宋体" w:cs="宋体"/>
          <w:b/>
          <w:bCs/>
          <w:sz w:val="21"/>
          <w:szCs w:val="21"/>
        </w:rPr>
        <w:t>、其他权益工具投资</w:t>
      </w:r>
      <w:bookmarkEnd w:id="303"/>
    </w:p>
    <w:tbl>
      <w:tblPr>
        <w:tblStyle w:val="7"/>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06"/>
        <w:gridCol w:w="1348"/>
        <w:gridCol w:w="979"/>
        <w:gridCol w:w="1161"/>
        <w:gridCol w:w="1241"/>
        <w:gridCol w:w="1249"/>
        <w:gridCol w:w="606"/>
        <w:gridCol w:w="1363"/>
      </w:tblGrid>
      <w:tr w14:paraId="69EB7B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988" w:type="pct"/>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155B68">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项目</w:t>
            </w:r>
          </w:p>
        </w:tc>
        <w:tc>
          <w:tcPr>
            <w:tcW w:w="704" w:type="pct"/>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4F1F8E">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期初余额</w:t>
            </w:r>
          </w:p>
        </w:tc>
        <w:tc>
          <w:tcPr>
            <w:tcW w:w="2595" w:type="pct"/>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6BEECC">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本期增减变动</w:t>
            </w:r>
          </w:p>
        </w:tc>
        <w:tc>
          <w:tcPr>
            <w:tcW w:w="712" w:type="pct"/>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19B4203">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期末余额</w:t>
            </w:r>
          </w:p>
        </w:tc>
      </w:tr>
      <w:tr w14:paraId="6DC9FB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95" w:hRule="atLeast"/>
          <w:jc w:val="center"/>
        </w:trPr>
        <w:tc>
          <w:tcPr>
            <w:tcW w:w="988" w:type="pct"/>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528EA3">
            <w:pPr>
              <w:rPr>
                <w:rFonts w:hint="default" w:ascii="Times New Roman" w:hAnsi="Times New Roman" w:cs="Times New Roman"/>
                <w:sz w:val="20"/>
                <w:szCs w:val="20"/>
              </w:rPr>
            </w:pPr>
          </w:p>
        </w:tc>
        <w:tc>
          <w:tcPr>
            <w:tcW w:w="704" w:type="pct"/>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B5BA08">
            <w:pPr>
              <w:rPr>
                <w:rFonts w:hint="default" w:ascii="Times New Roman" w:hAnsi="Times New Roman" w:cs="Times New Roman"/>
                <w:sz w:val="20"/>
                <w:szCs w:val="20"/>
              </w:rPr>
            </w:pPr>
          </w:p>
        </w:tc>
        <w:tc>
          <w:tcPr>
            <w:tcW w:w="51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4C4548">
            <w:pPr>
              <w:pStyle w:val="6"/>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18"/>
                <w:szCs w:val="18"/>
              </w:rPr>
              <w:t>追加投资</w:t>
            </w:r>
          </w:p>
        </w:tc>
        <w:tc>
          <w:tcPr>
            <w:tcW w:w="44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7101E1">
            <w:pPr>
              <w:pStyle w:val="6"/>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18"/>
                <w:szCs w:val="18"/>
              </w:rPr>
              <w:t>减少投资</w:t>
            </w:r>
          </w:p>
        </w:tc>
        <w:tc>
          <w:tcPr>
            <w:tcW w:w="65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A27366">
            <w:pPr>
              <w:pStyle w:val="6"/>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18"/>
                <w:szCs w:val="18"/>
              </w:rPr>
              <w:t>本期计入其他综合收益的利得</w:t>
            </w:r>
          </w:p>
        </w:tc>
        <w:tc>
          <w:tcPr>
            <w:tcW w:w="65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D9B6CE">
            <w:pPr>
              <w:pStyle w:val="6"/>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18"/>
                <w:szCs w:val="18"/>
              </w:rPr>
              <w:t>本期计入其他综合收益的损失</w:t>
            </w:r>
          </w:p>
        </w:tc>
        <w:tc>
          <w:tcPr>
            <w:tcW w:w="32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6968D5">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其他</w:t>
            </w:r>
          </w:p>
        </w:tc>
        <w:tc>
          <w:tcPr>
            <w:tcW w:w="712" w:type="pct"/>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C63A23">
            <w:pPr>
              <w:rPr>
                <w:rFonts w:hint="default" w:ascii="Times New Roman" w:hAnsi="Times New Roman" w:cs="Times New Roman"/>
                <w:sz w:val="20"/>
                <w:szCs w:val="20"/>
              </w:rPr>
            </w:pPr>
          </w:p>
        </w:tc>
      </w:tr>
      <w:tr w14:paraId="337F76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jc w:val="center"/>
        </w:trPr>
        <w:tc>
          <w:tcPr>
            <w:tcW w:w="9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30346D4">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深圳中融宝晟资产管理有限公司</w:t>
            </w:r>
          </w:p>
        </w:tc>
        <w:tc>
          <w:tcPr>
            <w:tcW w:w="70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E987FF">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ascii="Arial Narrow" w:hAnsi="Arial Narrow" w:eastAsia="Arial Narrow" w:cs="Arial Narrow"/>
                <w:sz w:val="18"/>
                <w:szCs w:val="18"/>
              </w:rPr>
              <w:t> </w:t>
            </w:r>
          </w:p>
        </w:tc>
        <w:tc>
          <w:tcPr>
            <w:tcW w:w="51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09393B2">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44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54190FF">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65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ACAFA7">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65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61FAEB">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32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BE1049D">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7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07F31A5">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r>
      <w:tr w14:paraId="0E1F57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9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426248">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上海昊爱生物科技有限公司</w:t>
            </w:r>
          </w:p>
        </w:tc>
        <w:tc>
          <w:tcPr>
            <w:tcW w:w="12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98EFB8">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51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747D34A">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44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9227888">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65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6629E82">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65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EBC670">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32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49B0C2">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7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8F2D65">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r>
      <w:tr w14:paraId="5B2A98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jc w:val="center"/>
        </w:trPr>
        <w:tc>
          <w:tcPr>
            <w:tcW w:w="9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1B1218">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深圳盛达同泽科技有限公司</w:t>
            </w:r>
          </w:p>
        </w:tc>
        <w:tc>
          <w:tcPr>
            <w:tcW w:w="12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09585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15,000,000.00</w:t>
            </w:r>
          </w:p>
        </w:tc>
        <w:tc>
          <w:tcPr>
            <w:tcW w:w="51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AEC54A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44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71C3C2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65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5ADA5D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65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640238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32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4574E2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7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2D6A3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15,000,000.00</w:t>
            </w:r>
          </w:p>
        </w:tc>
      </w:tr>
      <w:tr w14:paraId="739742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17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F4038F">
            <w:pPr>
              <w:pStyle w:val="6"/>
              <w:keepNext w:val="0"/>
              <w:keepLines w:val="0"/>
              <w:widowControl/>
              <w:suppressLineNumbers w:val="0"/>
              <w:spacing w:before="0" w:beforeAutospacing="0" w:after="0" w:afterAutospacing="0" w:line="240" w:lineRule="atLeast"/>
              <w:ind w:left="0" w:right="0"/>
              <w:jc w:val="left"/>
              <w:textAlignment w:val="center"/>
              <w:rPr>
                <w:rFonts w:hint="default" w:ascii="Times New Roman" w:hAnsi="Times New Roman" w:cs="Times New Roman"/>
                <w:sz w:val="21"/>
                <w:szCs w:val="21"/>
              </w:rPr>
            </w:pPr>
            <w:r>
              <w:rPr>
                <w:rFonts w:hint="eastAsia" w:ascii="宋体" w:hAnsi="宋体" w:eastAsia="宋体" w:cs="宋体"/>
                <w:sz w:val="18"/>
                <w:szCs w:val="18"/>
              </w:rPr>
              <w:t>膜尔新材料科技（深圳）有限公司</w:t>
            </w:r>
          </w:p>
        </w:tc>
        <w:tc>
          <w:tcPr>
            <w:tcW w:w="12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57AB6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3,000,000.00</w:t>
            </w:r>
          </w:p>
        </w:tc>
        <w:tc>
          <w:tcPr>
            <w:tcW w:w="51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3F04A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F4A87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3,000,000.00</w:t>
            </w:r>
          </w:p>
        </w:tc>
        <w:tc>
          <w:tcPr>
            <w:tcW w:w="65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7A127C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65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87C53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32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BA1845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7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C74CB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r>
      <w:tr w14:paraId="3A460E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jc w:val="center"/>
        </w:trPr>
        <w:tc>
          <w:tcPr>
            <w:tcW w:w="9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E0893D0">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合计</w:t>
            </w:r>
          </w:p>
        </w:tc>
        <w:tc>
          <w:tcPr>
            <w:tcW w:w="12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782B4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18,000,000.00</w:t>
            </w:r>
          </w:p>
        </w:tc>
        <w:tc>
          <w:tcPr>
            <w:tcW w:w="51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75FB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0D9A3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3,000,000.00</w:t>
            </w:r>
          </w:p>
        </w:tc>
        <w:tc>
          <w:tcPr>
            <w:tcW w:w="65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2C37A8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65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0AE707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6B2C5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2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80157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15,000,000.00</w:t>
            </w:r>
          </w:p>
        </w:tc>
      </w:tr>
    </w:tbl>
    <w:p w14:paraId="7E800D0C">
      <w:pPr>
        <w:pStyle w:val="6"/>
        <w:keepNext w:val="0"/>
        <w:keepLines w:val="0"/>
        <w:widowControl/>
        <w:suppressLineNumbers w:val="0"/>
        <w:spacing w:before="0" w:beforeAutospacing="0" w:after="0" w:afterAutospacing="0" w:line="460" w:lineRule="atLeast"/>
        <w:ind w:left="0" w:right="0" w:firstLine="420"/>
        <w:jc w:val="both"/>
        <w:textAlignment w:val="baseline"/>
        <w:rPr>
          <w:rFonts w:hint="default" w:ascii="Times New Roman" w:hAnsi="Times New Roman" w:cs="Times New Roman"/>
          <w:sz w:val="21"/>
          <w:szCs w:val="21"/>
        </w:rPr>
      </w:pPr>
      <w:r>
        <w:rPr>
          <w:rFonts w:hint="eastAsia" w:ascii="宋体" w:hAnsi="宋体" w:eastAsia="宋体" w:cs="宋体"/>
          <w:sz w:val="21"/>
          <w:szCs w:val="21"/>
          <w:vertAlign w:val="baseline"/>
        </w:rPr>
        <w:t>（续）</w:t>
      </w:r>
    </w:p>
    <w:tbl>
      <w:tblPr>
        <w:tblStyle w:val="7"/>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74"/>
        <w:gridCol w:w="1534"/>
        <w:gridCol w:w="1796"/>
        <w:gridCol w:w="1719"/>
        <w:gridCol w:w="2830"/>
      </w:tblGrid>
      <w:tr w14:paraId="5BB0E8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83" w:hRule="atLeast"/>
          <w:jc w:val="center"/>
        </w:trPr>
        <w:tc>
          <w:tcPr>
            <w:tcW w:w="100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E09220">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项目</w:t>
            </w:r>
          </w:p>
        </w:tc>
        <w:tc>
          <w:tcPr>
            <w:tcW w:w="778"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3BC22C">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本期确认的股利收入</w:t>
            </w:r>
          </w:p>
        </w:tc>
        <w:tc>
          <w:tcPr>
            <w:tcW w:w="911"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18DC56">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累计计入其他</w:t>
            </w:r>
          </w:p>
          <w:p w14:paraId="1CD94154">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综合收益的利得</w:t>
            </w:r>
          </w:p>
        </w:tc>
        <w:tc>
          <w:tcPr>
            <w:tcW w:w="87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5E2D70">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累计计入其他</w:t>
            </w:r>
          </w:p>
          <w:p w14:paraId="3FB92AC5">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综合收益的损失</w:t>
            </w:r>
          </w:p>
        </w:tc>
        <w:tc>
          <w:tcPr>
            <w:tcW w:w="143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55DAF1">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指定为以公允价值计量且</w:t>
            </w:r>
          </w:p>
          <w:p w14:paraId="45A787C4">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其变动计入其他综合收益</w:t>
            </w:r>
          </w:p>
          <w:p w14:paraId="564A557D">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的原因</w:t>
            </w:r>
          </w:p>
        </w:tc>
      </w:tr>
      <w:tr w14:paraId="261AD0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5" w:hRule="atLeast"/>
          <w:jc w:val="center"/>
        </w:trPr>
        <w:tc>
          <w:tcPr>
            <w:tcW w:w="10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73C3FC">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深圳中融宝晟资产管理有限公司</w:t>
            </w:r>
          </w:p>
        </w:tc>
        <w:tc>
          <w:tcPr>
            <w:tcW w:w="77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06F943">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9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8D5AA8">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8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F93DF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50,000,000.00</w:t>
            </w:r>
          </w:p>
        </w:tc>
        <w:tc>
          <w:tcPr>
            <w:tcW w:w="143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48B7E3">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通过长期持有获取潜在的战略价值</w:t>
            </w:r>
          </w:p>
        </w:tc>
      </w:tr>
      <w:tr w14:paraId="789AFF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10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4B3BCB">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上海昊爱生物科技有限公司</w:t>
            </w:r>
          </w:p>
        </w:tc>
        <w:tc>
          <w:tcPr>
            <w:tcW w:w="77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DEE24C">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9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45F15A">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8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8396C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500,000.00</w:t>
            </w:r>
          </w:p>
        </w:tc>
        <w:tc>
          <w:tcPr>
            <w:tcW w:w="143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0426E3">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通过长期持有获取潜在的战略价值</w:t>
            </w:r>
          </w:p>
        </w:tc>
      </w:tr>
      <w:tr w14:paraId="78894C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0" w:hRule="atLeast"/>
          <w:jc w:val="center"/>
        </w:trPr>
        <w:tc>
          <w:tcPr>
            <w:tcW w:w="10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250ACD">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深圳盛达同泽科技有限公司</w:t>
            </w:r>
          </w:p>
        </w:tc>
        <w:tc>
          <w:tcPr>
            <w:tcW w:w="77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FD2B0B">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9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4F8E71">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8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E4409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43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CEDD6B">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通过长期持有获取潜在的战略价值</w:t>
            </w:r>
          </w:p>
        </w:tc>
      </w:tr>
      <w:tr w14:paraId="0D0E60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0" w:hRule="atLeast"/>
          <w:jc w:val="center"/>
        </w:trPr>
        <w:tc>
          <w:tcPr>
            <w:tcW w:w="10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092715">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膜尔新材料科技（深圳）有限公司</w:t>
            </w:r>
          </w:p>
        </w:tc>
        <w:tc>
          <w:tcPr>
            <w:tcW w:w="77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615DE2">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9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E2C4F1">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8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753EA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43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831DF0">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通过长期持有获取潜在的战略价值</w:t>
            </w:r>
          </w:p>
        </w:tc>
      </w:tr>
      <w:tr w14:paraId="2A095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10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0EC8BE">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合计</w:t>
            </w:r>
          </w:p>
        </w:tc>
        <w:tc>
          <w:tcPr>
            <w:tcW w:w="77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D6D201">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9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CF5C99">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Arial Narrow" w:hAnsi="Arial Narrow" w:eastAsia="Arial Narrow" w:cs="Arial Narrow"/>
                <w:sz w:val="18"/>
                <w:szCs w:val="18"/>
              </w:rPr>
              <w:t> </w:t>
            </w:r>
          </w:p>
        </w:tc>
        <w:tc>
          <w:tcPr>
            <w:tcW w:w="87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40338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50,500,000.00</w:t>
            </w:r>
          </w:p>
        </w:tc>
        <w:tc>
          <w:tcPr>
            <w:tcW w:w="143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C30633">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w:t>
            </w:r>
          </w:p>
        </w:tc>
      </w:tr>
    </w:tbl>
    <w:p w14:paraId="1C6D8B40">
      <w:pPr>
        <w:pStyle w:val="3"/>
        <w:keepNext/>
        <w:keepLines/>
        <w:spacing w:before="300" w:after="300" w:line="280" w:lineRule="exact"/>
        <w:jc w:val="left"/>
        <w:outlineLvl w:val="2"/>
        <w:rPr>
          <w:rFonts w:ascii="宋体" w:hAnsi="宋体" w:eastAsia="宋体" w:cs="宋体"/>
          <w:b/>
          <w:bCs/>
          <w:sz w:val="21"/>
          <w:szCs w:val="21"/>
        </w:rPr>
      </w:pPr>
      <w:bookmarkStart w:id="304" w:name="_Toc989114"/>
      <w:r>
        <w:rPr>
          <w:rFonts w:hint="default" w:ascii="Times New Roman" w:hAnsi="Times New Roman" w:eastAsia="宋体" w:cs="Times New Roman"/>
          <w:b/>
          <w:bCs/>
          <w:sz w:val="21"/>
          <w:szCs w:val="21"/>
        </w:rPr>
        <w:t>9</w:t>
      </w:r>
      <w:r>
        <w:rPr>
          <w:rFonts w:ascii="宋体" w:hAnsi="宋体" w:eastAsia="宋体" w:cs="宋体"/>
          <w:b/>
          <w:bCs/>
          <w:sz w:val="21"/>
          <w:szCs w:val="21"/>
        </w:rPr>
        <w:t>、投资性房地产</w:t>
      </w:r>
      <w:bookmarkEnd w:id="304"/>
    </w:p>
    <w:p w14:paraId="04D20262">
      <w:pPr>
        <w:keepNext/>
        <w:keepLines/>
        <w:spacing w:before="300" w:after="300" w:line="280" w:lineRule="exact"/>
        <w:jc w:val="left"/>
        <w:outlineLvl w:val="3"/>
        <w:rPr>
          <w:rFonts w:ascii="宋体" w:hAnsi="宋体" w:eastAsia="宋体" w:cs="宋体"/>
          <w:b/>
          <w:bCs/>
          <w:sz w:val="18"/>
          <w:szCs w:val="18"/>
        </w:rPr>
      </w:pPr>
      <w:bookmarkStart w:id="305" w:name="_Toc989115"/>
      <w:r>
        <w:rPr>
          <w:rFonts w:ascii="宋体" w:hAnsi="宋体" w:eastAsia="宋体" w:cs="宋体"/>
          <w:b/>
          <w:bCs/>
          <w:sz w:val="18"/>
          <w:szCs w:val="18"/>
        </w:rPr>
        <w:t>（</w:t>
      </w:r>
      <w:r>
        <w:rPr>
          <w:rFonts w:hint="default" w:ascii="Times New Roman" w:hAnsi="Times New Roman" w:eastAsia="宋体" w:cs="Times New Roman"/>
          <w:b/>
          <w:bCs/>
          <w:sz w:val="18"/>
          <w:szCs w:val="18"/>
        </w:rPr>
        <w:t>1</w:t>
      </w:r>
      <w:r>
        <w:rPr>
          <w:rFonts w:ascii="宋体" w:hAnsi="宋体" w:eastAsia="宋体" w:cs="宋体"/>
          <w:b/>
          <w:bCs/>
          <w:sz w:val="18"/>
          <w:szCs w:val="18"/>
        </w:rPr>
        <w:t>） 采用成本计量模式的投资性房地产</w:t>
      </w:r>
      <w:bookmarkEnd w:id="305"/>
    </w:p>
    <w:p w14:paraId="4B4A25A0">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79F1C865">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67901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AF85645">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6477733">
            <w:pPr>
              <w:spacing w:before="40" w:after="40" w:line="240" w:lineRule="exact"/>
              <w:jc w:val="center"/>
              <w:rPr>
                <w:rFonts w:ascii="宋体" w:hAnsi="宋体" w:eastAsia="宋体" w:cs="宋体"/>
                <w:sz w:val="18"/>
                <w:szCs w:val="18"/>
              </w:rPr>
            </w:pPr>
            <w:r>
              <w:rPr>
                <w:rFonts w:ascii="宋体" w:hAnsi="宋体" w:eastAsia="宋体" w:cs="宋体"/>
                <w:sz w:val="18"/>
                <w:szCs w:val="18"/>
              </w:rPr>
              <w:t>房屋、建筑物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B29194B">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AF60177">
            <w:pPr>
              <w:spacing w:before="40" w:after="40" w:line="240" w:lineRule="exact"/>
              <w:jc w:val="center"/>
              <w:rPr>
                <w:rFonts w:ascii="宋体" w:hAnsi="宋体" w:eastAsia="宋体" w:cs="宋体"/>
                <w:sz w:val="18"/>
                <w:szCs w:val="18"/>
              </w:rPr>
            </w:pPr>
            <w:r>
              <w:rPr>
                <w:rFonts w:ascii="宋体" w:hAnsi="宋体" w:eastAsia="宋体" w:cs="宋体"/>
                <w:sz w:val="18"/>
                <w:szCs w:val="18"/>
              </w:rPr>
              <w:t>在建工程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EA4900E">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46C6B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927D484">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928" w:type="dxa"/>
            <w:tcBorders>
              <w:top w:val="single" w:color="auto" w:sz="2" w:space="0"/>
              <w:left w:val="single" w:color="auto" w:sz="2" w:space="0"/>
              <w:bottom w:val="single" w:color="auto" w:sz="2" w:space="0"/>
              <w:right w:val="single" w:color="auto" w:sz="2" w:space="0"/>
            </w:tcBorders>
            <w:vAlign w:val="center"/>
          </w:tcPr>
          <w:p w14:paraId="4344E70D">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98E631D">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CBB9A03">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3A3CC56">
            <w:pPr>
              <w:spacing w:before="0" w:after="0" w:line="240" w:lineRule="exact"/>
              <w:jc w:val="right"/>
              <w:rPr>
                <w:rFonts w:hint="default" w:ascii="Times New Roman" w:hAnsi="Times New Roman" w:eastAsia="宋体" w:cs="Times New Roman"/>
                <w:sz w:val="18"/>
                <w:szCs w:val="18"/>
              </w:rPr>
            </w:pPr>
          </w:p>
        </w:tc>
      </w:tr>
      <w:tr w14:paraId="78F0E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CB5C649">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vAlign w:val="center"/>
          </w:tcPr>
          <w:p w14:paraId="199D412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14,056,933.23</w:t>
            </w:r>
          </w:p>
        </w:tc>
        <w:tc>
          <w:tcPr>
            <w:tcW w:w="1928" w:type="dxa"/>
            <w:tcBorders>
              <w:top w:val="single" w:color="auto" w:sz="2" w:space="0"/>
              <w:left w:val="single" w:color="auto" w:sz="2" w:space="0"/>
              <w:bottom w:val="single" w:color="auto" w:sz="2" w:space="0"/>
              <w:right w:val="single" w:color="auto" w:sz="2" w:space="0"/>
            </w:tcBorders>
            <w:vAlign w:val="center"/>
          </w:tcPr>
          <w:p w14:paraId="4F8C187F">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35A2504">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05B314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14,056,933.23</w:t>
            </w:r>
          </w:p>
        </w:tc>
      </w:tr>
      <w:tr w14:paraId="53822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8BD69EF">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.本期增加金额</w:t>
            </w:r>
          </w:p>
        </w:tc>
        <w:tc>
          <w:tcPr>
            <w:tcW w:w="1928" w:type="dxa"/>
            <w:tcBorders>
              <w:top w:val="single" w:color="auto" w:sz="2" w:space="0"/>
              <w:left w:val="single" w:color="auto" w:sz="2" w:space="0"/>
              <w:bottom w:val="single" w:color="auto" w:sz="2" w:space="0"/>
              <w:right w:val="single" w:color="auto" w:sz="2" w:space="0"/>
            </w:tcBorders>
            <w:vAlign w:val="center"/>
          </w:tcPr>
          <w:p w14:paraId="577E43F1">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D681A81">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6E0CFEB">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84353CE">
            <w:pPr>
              <w:spacing w:before="0" w:after="0" w:line="240" w:lineRule="exact"/>
              <w:jc w:val="right"/>
              <w:rPr>
                <w:rFonts w:hint="default" w:ascii="Times New Roman" w:hAnsi="Times New Roman" w:eastAsia="宋体" w:cs="Times New Roman"/>
                <w:sz w:val="18"/>
                <w:szCs w:val="18"/>
              </w:rPr>
            </w:pPr>
          </w:p>
        </w:tc>
      </w:tr>
      <w:tr w14:paraId="48861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82FF8CF">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）外购</w:t>
            </w:r>
          </w:p>
        </w:tc>
        <w:tc>
          <w:tcPr>
            <w:tcW w:w="1928" w:type="dxa"/>
            <w:tcBorders>
              <w:top w:val="single" w:color="auto" w:sz="2" w:space="0"/>
              <w:left w:val="single" w:color="auto" w:sz="2" w:space="0"/>
              <w:bottom w:val="single" w:color="auto" w:sz="2" w:space="0"/>
              <w:right w:val="single" w:color="auto" w:sz="2" w:space="0"/>
            </w:tcBorders>
            <w:vAlign w:val="center"/>
          </w:tcPr>
          <w:p w14:paraId="1ED9D61E">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33263B8">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BC687E9">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0C5F895">
            <w:pPr>
              <w:spacing w:before="0" w:after="0" w:line="240" w:lineRule="exact"/>
              <w:jc w:val="right"/>
              <w:rPr>
                <w:rFonts w:hint="default" w:ascii="Times New Roman" w:hAnsi="Times New Roman" w:eastAsia="宋体" w:cs="Times New Roman"/>
                <w:sz w:val="18"/>
                <w:szCs w:val="18"/>
              </w:rPr>
            </w:pPr>
          </w:p>
        </w:tc>
      </w:tr>
      <w:tr w14:paraId="0E6F2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A6E7593">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2</w:t>
            </w:r>
            <w:r>
              <w:rPr>
                <w:rFonts w:ascii="宋体" w:hAnsi="宋体" w:eastAsia="宋体" w:cs="宋体"/>
                <w:sz w:val="18"/>
                <w:szCs w:val="18"/>
              </w:rPr>
              <w:t>）存货\固定资产\在建工程转入</w:t>
            </w:r>
          </w:p>
        </w:tc>
        <w:tc>
          <w:tcPr>
            <w:tcW w:w="1928" w:type="dxa"/>
            <w:tcBorders>
              <w:top w:val="single" w:color="auto" w:sz="2" w:space="0"/>
              <w:left w:val="single" w:color="auto" w:sz="2" w:space="0"/>
              <w:bottom w:val="single" w:color="auto" w:sz="2" w:space="0"/>
              <w:right w:val="single" w:color="auto" w:sz="2" w:space="0"/>
            </w:tcBorders>
            <w:vAlign w:val="center"/>
          </w:tcPr>
          <w:p w14:paraId="70612AB3">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5940EB4">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518C90F">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30CD2BA">
            <w:pPr>
              <w:spacing w:before="0" w:after="0" w:line="240" w:lineRule="exact"/>
              <w:jc w:val="right"/>
              <w:rPr>
                <w:rFonts w:hint="default" w:ascii="Times New Roman" w:hAnsi="Times New Roman" w:eastAsia="宋体" w:cs="Times New Roman"/>
                <w:sz w:val="18"/>
                <w:szCs w:val="18"/>
              </w:rPr>
            </w:pPr>
          </w:p>
        </w:tc>
      </w:tr>
      <w:tr w14:paraId="7F82A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0EAF14E">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3</w:t>
            </w:r>
            <w:r>
              <w:rPr>
                <w:rFonts w:ascii="宋体" w:hAnsi="宋体" w:eastAsia="宋体" w:cs="宋体"/>
                <w:sz w:val="18"/>
                <w:szCs w:val="18"/>
              </w:rPr>
              <w:t>）企业合并增加</w:t>
            </w:r>
          </w:p>
        </w:tc>
        <w:tc>
          <w:tcPr>
            <w:tcW w:w="1928" w:type="dxa"/>
            <w:tcBorders>
              <w:top w:val="single" w:color="auto" w:sz="2" w:space="0"/>
              <w:left w:val="single" w:color="auto" w:sz="2" w:space="0"/>
              <w:bottom w:val="single" w:color="auto" w:sz="2" w:space="0"/>
              <w:right w:val="single" w:color="auto" w:sz="2" w:space="0"/>
            </w:tcBorders>
            <w:vAlign w:val="center"/>
          </w:tcPr>
          <w:p w14:paraId="1B8348BE">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F5074CB">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47BE9FA">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6649CA8">
            <w:pPr>
              <w:spacing w:before="0" w:after="0" w:line="240" w:lineRule="exact"/>
              <w:jc w:val="right"/>
              <w:rPr>
                <w:rFonts w:hint="default" w:ascii="Times New Roman" w:hAnsi="Times New Roman" w:eastAsia="宋体" w:cs="Times New Roman"/>
                <w:sz w:val="18"/>
                <w:szCs w:val="18"/>
              </w:rPr>
            </w:pPr>
          </w:p>
        </w:tc>
      </w:tr>
      <w:tr w14:paraId="2C9E7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89D7620">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DBC0528">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515303E">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E9AE37B">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A4A5483">
            <w:pPr>
              <w:spacing w:before="0" w:after="0" w:line="240" w:lineRule="exact"/>
              <w:jc w:val="right"/>
              <w:rPr>
                <w:rFonts w:hint="default" w:ascii="Times New Roman" w:hAnsi="Times New Roman" w:eastAsia="宋体" w:cs="Times New Roman"/>
                <w:sz w:val="18"/>
                <w:szCs w:val="18"/>
              </w:rPr>
            </w:pPr>
          </w:p>
        </w:tc>
      </w:tr>
      <w:tr w14:paraId="41077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CE67A87">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.本期减少金额</w:t>
            </w:r>
          </w:p>
        </w:tc>
        <w:tc>
          <w:tcPr>
            <w:tcW w:w="1928" w:type="dxa"/>
            <w:tcBorders>
              <w:top w:val="single" w:color="auto" w:sz="2" w:space="0"/>
              <w:left w:val="single" w:color="auto" w:sz="2" w:space="0"/>
              <w:bottom w:val="single" w:color="auto" w:sz="2" w:space="0"/>
              <w:right w:val="single" w:color="auto" w:sz="2" w:space="0"/>
            </w:tcBorders>
            <w:vAlign w:val="center"/>
          </w:tcPr>
          <w:p w14:paraId="1846A29E">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7F4F0DB">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EC63DCF">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204DE92">
            <w:pPr>
              <w:spacing w:before="0" w:after="0" w:line="240" w:lineRule="exact"/>
              <w:jc w:val="right"/>
              <w:rPr>
                <w:rFonts w:hint="default" w:ascii="Times New Roman" w:hAnsi="Times New Roman" w:eastAsia="宋体" w:cs="Times New Roman"/>
                <w:sz w:val="18"/>
                <w:szCs w:val="18"/>
              </w:rPr>
            </w:pPr>
          </w:p>
        </w:tc>
      </w:tr>
      <w:tr w14:paraId="637D4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D64BBE5">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）处置</w:t>
            </w:r>
          </w:p>
        </w:tc>
        <w:tc>
          <w:tcPr>
            <w:tcW w:w="1928" w:type="dxa"/>
            <w:tcBorders>
              <w:top w:val="single" w:color="auto" w:sz="2" w:space="0"/>
              <w:left w:val="single" w:color="auto" w:sz="2" w:space="0"/>
              <w:bottom w:val="single" w:color="auto" w:sz="2" w:space="0"/>
              <w:right w:val="single" w:color="auto" w:sz="2" w:space="0"/>
            </w:tcBorders>
            <w:vAlign w:val="center"/>
          </w:tcPr>
          <w:p w14:paraId="49163B1B">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84CE0F2">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8B91BDE">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ACB10C2">
            <w:pPr>
              <w:spacing w:before="0" w:after="0" w:line="240" w:lineRule="exact"/>
              <w:jc w:val="right"/>
              <w:rPr>
                <w:rFonts w:hint="default" w:ascii="Times New Roman" w:hAnsi="Times New Roman" w:eastAsia="宋体" w:cs="Times New Roman"/>
                <w:sz w:val="18"/>
                <w:szCs w:val="18"/>
              </w:rPr>
            </w:pPr>
          </w:p>
        </w:tc>
      </w:tr>
      <w:tr w14:paraId="359B9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EA7C390">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2</w:t>
            </w:r>
            <w:r>
              <w:rPr>
                <w:rFonts w:ascii="宋体" w:hAnsi="宋体" w:eastAsia="宋体" w:cs="宋体"/>
                <w:sz w:val="18"/>
                <w:szCs w:val="18"/>
              </w:rPr>
              <w:t>）其他转出</w:t>
            </w:r>
          </w:p>
        </w:tc>
        <w:tc>
          <w:tcPr>
            <w:tcW w:w="1928" w:type="dxa"/>
            <w:tcBorders>
              <w:top w:val="single" w:color="auto" w:sz="2" w:space="0"/>
              <w:left w:val="single" w:color="auto" w:sz="2" w:space="0"/>
              <w:bottom w:val="single" w:color="auto" w:sz="2" w:space="0"/>
              <w:right w:val="single" w:color="auto" w:sz="2" w:space="0"/>
            </w:tcBorders>
            <w:vAlign w:val="center"/>
          </w:tcPr>
          <w:p w14:paraId="28CCC7A8">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DDA388E">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9E69F38">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AD72390">
            <w:pPr>
              <w:spacing w:before="0" w:after="0" w:line="240" w:lineRule="exact"/>
              <w:jc w:val="right"/>
              <w:rPr>
                <w:rFonts w:hint="default" w:ascii="Times New Roman" w:hAnsi="Times New Roman" w:eastAsia="宋体" w:cs="Times New Roman"/>
                <w:sz w:val="18"/>
                <w:szCs w:val="18"/>
              </w:rPr>
            </w:pPr>
          </w:p>
        </w:tc>
      </w:tr>
      <w:tr w14:paraId="0E7DB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3E8062E8">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05189C9">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DD61A3D">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868BE0A">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6409722">
            <w:pPr>
              <w:spacing w:before="0" w:after="0" w:line="240" w:lineRule="exact"/>
              <w:jc w:val="right"/>
              <w:rPr>
                <w:rFonts w:hint="default" w:ascii="Times New Roman" w:hAnsi="Times New Roman" w:eastAsia="宋体" w:cs="Times New Roman"/>
                <w:sz w:val="18"/>
                <w:szCs w:val="18"/>
              </w:rPr>
            </w:pPr>
          </w:p>
        </w:tc>
      </w:tr>
      <w:tr w14:paraId="38F9C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F26D14A">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vAlign w:val="center"/>
          </w:tcPr>
          <w:p w14:paraId="23307BC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14,056,933.23</w:t>
            </w:r>
          </w:p>
        </w:tc>
        <w:tc>
          <w:tcPr>
            <w:tcW w:w="1928" w:type="dxa"/>
            <w:tcBorders>
              <w:top w:val="single" w:color="auto" w:sz="2" w:space="0"/>
              <w:left w:val="single" w:color="auto" w:sz="2" w:space="0"/>
              <w:bottom w:val="single" w:color="auto" w:sz="2" w:space="0"/>
              <w:right w:val="single" w:color="auto" w:sz="2" w:space="0"/>
            </w:tcBorders>
            <w:vAlign w:val="center"/>
          </w:tcPr>
          <w:p w14:paraId="4DCA88C4">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3F0004D">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7E113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14,056,933.23</w:t>
            </w:r>
          </w:p>
        </w:tc>
      </w:tr>
      <w:tr w14:paraId="53BC6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E1CE250">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二、累计折旧和累计摊销</w:t>
            </w:r>
          </w:p>
        </w:tc>
        <w:tc>
          <w:tcPr>
            <w:tcW w:w="1928" w:type="dxa"/>
            <w:tcBorders>
              <w:top w:val="single" w:color="auto" w:sz="2" w:space="0"/>
              <w:left w:val="single" w:color="auto" w:sz="2" w:space="0"/>
              <w:bottom w:val="single" w:color="auto" w:sz="2" w:space="0"/>
              <w:right w:val="single" w:color="auto" w:sz="2" w:space="0"/>
            </w:tcBorders>
            <w:vAlign w:val="center"/>
          </w:tcPr>
          <w:p w14:paraId="77C1B0F6">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92350D7">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CBB05A1">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F87E1E2">
            <w:pPr>
              <w:spacing w:before="0" w:after="0" w:line="240" w:lineRule="exact"/>
              <w:jc w:val="right"/>
              <w:rPr>
                <w:rFonts w:hint="default" w:ascii="Times New Roman" w:hAnsi="Times New Roman" w:eastAsia="宋体" w:cs="Times New Roman"/>
                <w:sz w:val="18"/>
                <w:szCs w:val="18"/>
              </w:rPr>
            </w:pPr>
          </w:p>
        </w:tc>
      </w:tr>
      <w:tr w14:paraId="7A8F7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E8866EC">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vAlign w:val="center"/>
          </w:tcPr>
          <w:p w14:paraId="5176906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5,487,702.98</w:t>
            </w:r>
          </w:p>
        </w:tc>
        <w:tc>
          <w:tcPr>
            <w:tcW w:w="1928" w:type="dxa"/>
            <w:tcBorders>
              <w:top w:val="single" w:color="auto" w:sz="2" w:space="0"/>
              <w:left w:val="single" w:color="auto" w:sz="2" w:space="0"/>
              <w:bottom w:val="single" w:color="auto" w:sz="2" w:space="0"/>
              <w:right w:val="single" w:color="auto" w:sz="2" w:space="0"/>
            </w:tcBorders>
            <w:vAlign w:val="center"/>
          </w:tcPr>
          <w:p w14:paraId="64BE4920">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74BC7F7">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EA1B9D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5,487,702.98</w:t>
            </w:r>
          </w:p>
        </w:tc>
      </w:tr>
      <w:tr w14:paraId="658D3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F0EA577">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.本期增加金额</w:t>
            </w:r>
          </w:p>
        </w:tc>
        <w:tc>
          <w:tcPr>
            <w:tcW w:w="1928" w:type="dxa"/>
            <w:tcBorders>
              <w:top w:val="single" w:color="auto" w:sz="2" w:space="0"/>
              <w:left w:val="single" w:color="auto" w:sz="2" w:space="0"/>
              <w:bottom w:val="single" w:color="auto" w:sz="2" w:space="0"/>
              <w:right w:val="single" w:color="auto" w:sz="2" w:space="0"/>
            </w:tcBorders>
            <w:vAlign w:val="center"/>
          </w:tcPr>
          <w:p w14:paraId="01360D9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445,136.16</w:t>
            </w:r>
          </w:p>
        </w:tc>
        <w:tc>
          <w:tcPr>
            <w:tcW w:w="1928" w:type="dxa"/>
            <w:tcBorders>
              <w:top w:val="single" w:color="auto" w:sz="2" w:space="0"/>
              <w:left w:val="single" w:color="auto" w:sz="2" w:space="0"/>
              <w:bottom w:val="single" w:color="auto" w:sz="2" w:space="0"/>
              <w:right w:val="single" w:color="auto" w:sz="2" w:space="0"/>
            </w:tcBorders>
            <w:vAlign w:val="center"/>
          </w:tcPr>
          <w:p w14:paraId="54AD701D">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57499C7">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E00139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445,136.16</w:t>
            </w:r>
          </w:p>
        </w:tc>
      </w:tr>
      <w:tr w14:paraId="4F9F5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BFD72D1">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）计提或摊销</w:t>
            </w:r>
          </w:p>
        </w:tc>
        <w:tc>
          <w:tcPr>
            <w:tcW w:w="1928" w:type="dxa"/>
            <w:tcBorders>
              <w:top w:val="single" w:color="auto" w:sz="2" w:space="0"/>
              <w:left w:val="single" w:color="auto" w:sz="2" w:space="0"/>
              <w:bottom w:val="single" w:color="auto" w:sz="2" w:space="0"/>
              <w:right w:val="single" w:color="auto" w:sz="2" w:space="0"/>
            </w:tcBorders>
            <w:vAlign w:val="center"/>
          </w:tcPr>
          <w:p w14:paraId="38FBF3F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445,136.16</w:t>
            </w:r>
          </w:p>
        </w:tc>
        <w:tc>
          <w:tcPr>
            <w:tcW w:w="1928" w:type="dxa"/>
            <w:tcBorders>
              <w:top w:val="single" w:color="auto" w:sz="2" w:space="0"/>
              <w:left w:val="single" w:color="auto" w:sz="2" w:space="0"/>
              <w:bottom w:val="single" w:color="auto" w:sz="2" w:space="0"/>
              <w:right w:val="single" w:color="auto" w:sz="2" w:space="0"/>
            </w:tcBorders>
            <w:vAlign w:val="center"/>
          </w:tcPr>
          <w:p w14:paraId="488F228D">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AAEC249">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5AC529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445,136.16</w:t>
            </w:r>
          </w:p>
        </w:tc>
      </w:tr>
      <w:tr w14:paraId="4F8CE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333CC76">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6B0A507">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9685022">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B9090E3">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DFDECE5">
            <w:pPr>
              <w:spacing w:before="0" w:after="0" w:line="240" w:lineRule="exact"/>
              <w:jc w:val="right"/>
              <w:rPr>
                <w:rFonts w:hint="default" w:ascii="Times New Roman" w:hAnsi="Times New Roman" w:eastAsia="宋体" w:cs="Times New Roman"/>
                <w:sz w:val="18"/>
                <w:szCs w:val="18"/>
              </w:rPr>
            </w:pPr>
          </w:p>
        </w:tc>
      </w:tr>
      <w:tr w14:paraId="1AABA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E2EC017">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.本期减少金额</w:t>
            </w:r>
          </w:p>
        </w:tc>
        <w:tc>
          <w:tcPr>
            <w:tcW w:w="1928" w:type="dxa"/>
            <w:tcBorders>
              <w:top w:val="single" w:color="auto" w:sz="2" w:space="0"/>
              <w:left w:val="single" w:color="auto" w:sz="2" w:space="0"/>
              <w:bottom w:val="single" w:color="auto" w:sz="2" w:space="0"/>
              <w:right w:val="single" w:color="auto" w:sz="2" w:space="0"/>
            </w:tcBorders>
            <w:vAlign w:val="center"/>
          </w:tcPr>
          <w:p w14:paraId="32E34494">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738F534">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C7A6751">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75C7460">
            <w:pPr>
              <w:spacing w:before="0" w:after="0" w:line="240" w:lineRule="exact"/>
              <w:jc w:val="right"/>
              <w:rPr>
                <w:rFonts w:hint="default" w:ascii="Times New Roman" w:hAnsi="Times New Roman" w:eastAsia="宋体" w:cs="Times New Roman"/>
                <w:sz w:val="18"/>
                <w:szCs w:val="18"/>
              </w:rPr>
            </w:pPr>
          </w:p>
        </w:tc>
      </w:tr>
      <w:tr w14:paraId="008E9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EB0063B">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）处置</w:t>
            </w:r>
          </w:p>
        </w:tc>
        <w:tc>
          <w:tcPr>
            <w:tcW w:w="1928" w:type="dxa"/>
            <w:tcBorders>
              <w:top w:val="single" w:color="auto" w:sz="2" w:space="0"/>
              <w:left w:val="single" w:color="auto" w:sz="2" w:space="0"/>
              <w:bottom w:val="single" w:color="auto" w:sz="2" w:space="0"/>
              <w:right w:val="single" w:color="auto" w:sz="2" w:space="0"/>
            </w:tcBorders>
            <w:vAlign w:val="center"/>
          </w:tcPr>
          <w:p w14:paraId="259B90F8">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9B04AE7">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30ED962">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5DF139B">
            <w:pPr>
              <w:spacing w:before="0" w:after="0" w:line="240" w:lineRule="exact"/>
              <w:jc w:val="right"/>
              <w:rPr>
                <w:rFonts w:hint="default" w:ascii="Times New Roman" w:hAnsi="Times New Roman" w:eastAsia="宋体" w:cs="Times New Roman"/>
                <w:sz w:val="18"/>
                <w:szCs w:val="18"/>
              </w:rPr>
            </w:pPr>
          </w:p>
        </w:tc>
      </w:tr>
      <w:tr w14:paraId="72ED5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ABAEE2C">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2</w:t>
            </w:r>
            <w:r>
              <w:rPr>
                <w:rFonts w:ascii="宋体" w:hAnsi="宋体" w:eastAsia="宋体" w:cs="宋体"/>
                <w:sz w:val="18"/>
                <w:szCs w:val="18"/>
              </w:rPr>
              <w:t>）其他转出</w:t>
            </w:r>
          </w:p>
        </w:tc>
        <w:tc>
          <w:tcPr>
            <w:tcW w:w="1928" w:type="dxa"/>
            <w:tcBorders>
              <w:top w:val="single" w:color="auto" w:sz="2" w:space="0"/>
              <w:left w:val="single" w:color="auto" w:sz="2" w:space="0"/>
              <w:bottom w:val="single" w:color="auto" w:sz="2" w:space="0"/>
              <w:right w:val="single" w:color="auto" w:sz="2" w:space="0"/>
            </w:tcBorders>
            <w:vAlign w:val="center"/>
          </w:tcPr>
          <w:p w14:paraId="2F8744E1">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0FC1EA5">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53DA780">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35E1813">
            <w:pPr>
              <w:spacing w:before="0" w:after="0" w:line="240" w:lineRule="exact"/>
              <w:jc w:val="right"/>
              <w:rPr>
                <w:rFonts w:hint="default" w:ascii="Times New Roman" w:hAnsi="Times New Roman" w:eastAsia="宋体" w:cs="Times New Roman"/>
                <w:sz w:val="18"/>
                <w:szCs w:val="18"/>
              </w:rPr>
            </w:pPr>
          </w:p>
        </w:tc>
      </w:tr>
      <w:tr w14:paraId="03B60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DE6A3FF">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C7DD644">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6012044">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2780F55">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0C3D2B4">
            <w:pPr>
              <w:spacing w:before="0" w:after="0" w:line="240" w:lineRule="exact"/>
              <w:jc w:val="right"/>
              <w:rPr>
                <w:rFonts w:hint="default" w:ascii="Times New Roman" w:hAnsi="Times New Roman" w:eastAsia="宋体" w:cs="Times New Roman"/>
                <w:sz w:val="18"/>
                <w:szCs w:val="18"/>
              </w:rPr>
            </w:pPr>
          </w:p>
        </w:tc>
      </w:tr>
      <w:tr w14:paraId="08280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D9E4558">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vAlign w:val="center"/>
          </w:tcPr>
          <w:p w14:paraId="0EE9393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5,932,839.14</w:t>
            </w:r>
          </w:p>
        </w:tc>
        <w:tc>
          <w:tcPr>
            <w:tcW w:w="1928" w:type="dxa"/>
            <w:tcBorders>
              <w:top w:val="single" w:color="auto" w:sz="2" w:space="0"/>
              <w:left w:val="single" w:color="auto" w:sz="2" w:space="0"/>
              <w:bottom w:val="single" w:color="auto" w:sz="2" w:space="0"/>
              <w:right w:val="single" w:color="auto" w:sz="2" w:space="0"/>
            </w:tcBorders>
            <w:vAlign w:val="center"/>
          </w:tcPr>
          <w:p w14:paraId="3747231B">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DBCE7FD">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8BD9DE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5,932,839.14</w:t>
            </w:r>
          </w:p>
        </w:tc>
      </w:tr>
      <w:tr w14:paraId="40214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3959684">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928" w:type="dxa"/>
            <w:tcBorders>
              <w:top w:val="single" w:color="auto" w:sz="2" w:space="0"/>
              <w:left w:val="single" w:color="auto" w:sz="2" w:space="0"/>
              <w:bottom w:val="single" w:color="auto" w:sz="2" w:space="0"/>
              <w:right w:val="single" w:color="auto" w:sz="2" w:space="0"/>
            </w:tcBorders>
            <w:vAlign w:val="center"/>
          </w:tcPr>
          <w:p w14:paraId="1B18933F">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D7F3DCE">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B3F665B">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7B1E9BD">
            <w:pPr>
              <w:spacing w:before="0" w:after="0" w:line="240" w:lineRule="exact"/>
              <w:jc w:val="right"/>
              <w:rPr>
                <w:rFonts w:hint="default" w:ascii="Times New Roman" w:hAnsi="Times New Roman" w:eastAsia="宋体" w:cs="Times New Roman"/>
                <w:sz w:val="18"/>
                <w:szCs w:val="18"/>
              </w:rPr>
            </w:pPr>
          </w:p>
        </w:tc>
      </w:tr>
      <w:tr w14:paraId="13157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A1B8130">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vAlign w:val="center"/>
          </w:tcPr>
          <w:p w14:paraId="4D7D94B9">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1EC40F4">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A42D2B8">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C8467E0">
            <w:pPr>
              <w:spacing w:before="0" w:after="0" w:line="240" w:lineRule="exact"/>
              <w:jc w:val="right"/>
              <w:rPr>
                <w:rFonts w:hint="default" w:ascii="Times New Roman" w:hAnsi="Times New Roman" w:eastAsia="宋体" w:cs="Times New Roman"/>
                <w:sz w:val="18"/>
                <w:szCs w:val="18"/>
              </w:rPr>
            </w:pPr>
          </w:p>
        </w:tc>
      </w:tr>
      <w:tr w14:paraId="65223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D403C3E">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.本期增加金额</w:t>
            </w:r>
          </w:p>
        </w:tc>
        <w:tc>
          <w:tcPr>
            <w:tcW w:w="1928" w:type="dxa"/>
            <w:tcBorders>
              <w:top w:val="single" w:color="auto" w:sz="2" w:space="0"/>
              <w:left w:val="single" w:color="auto" w:sz="2" w:space="0"/>
              <w:bottom w:val="single" w:color="auto" w:sz="2" w:space="0"/>
              <w:right w:val="single" w:color="auto" w:sz="2" w:space="0"/>
            </w:tcBorders>
            <w:vAlign w:val="center"/>
          </w:tcPr>
          <w:p w14:paraId="1A80B6A5">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08665E4">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A8F48C3">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9F6D39B">
            <w:pPr>
              <w:spacing w:before="0" w:after="0" w:line="240" w:lineRule="exact"/>
              <w:jc w:val="right"/>
              <w:rPr>
                <w:rFonts w:hint="default" w:ascii="Times New Roman" w:hAnsi="Times New Roman" w:eastAsia="宋体" w:cs="Times New Roman"/>
                <w:sz w:val="18"/>
                <w:szCs w:val="18"/>
              </w:rPr>
            </w:pPr>
          </w:p>
        </w:tc>
      </w:tr>
      <w:tr w14:paraId="6B453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C464CD4">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）计提</w:t>
            </w:r>
          </w:p>
        </w:tc>
        <w:tc>
          <w:tcPr>
            <w:tcW w:w="1928" w:type="dxa"/>
            <w:tcBorders>
              <w:top w:val="single" w:color="auto" w:sz="2" w:space="0"/>
              <w:left w:val="single" w:color="auto" w:sz="2" w:space="0"/>
              <w:bottom w:val="single" w:color="auto" w:sz="2" w:space="0"/>
              <w:right w:val="single" w:color="auto" w:sz="2" w:space="0"/>
            </w:tcBorders>
            <w:vAlign w:val="center"/>
          </w:tcPr>
          <w:p w14:paraId="0603A806">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DD168A9">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5CBFF2D">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F584E2B">
            <w:pPr>
              <w:spacing w:before="0" w:after="0" w:line="240" w:lineRule="exact"/>
              <w:jc w:val="right"/>
              <w:rPr>
                <w:rFonts w:hint="default" w:ascii="Times New Roman" w:hAnsi="Times New Roman" w:eastAsia="宋体" w:cs="Times New Roman"/>
                <w:sz w:val="18"/>
                <w:szCs w:val="18"/>
              </w:rPr>
            </w:pPr>
          </w:p>
        </w:tc>
      </w:tr>
      <w:tr w14:paraId="36CE6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6B6CD83F">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258384C">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2DA00B5">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C1CFF3F">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D60FCF0">
            <w:pPr>
              <w:spacing w:before="0" w:after="0" w:line="240" w:lineRule="exact"/>
              <w:jc w:val="right"/>
              <w:rPr>
                <w:rFonts w:hint="default" w:ascii="Times New Roman" w:hAnsi="Times New Roman" w:eastAsia="宋体" w:cs="Times New Roman"/>
                <w:sz w:val="18"/>
                <w:szCs w:val="18"/>
              </w:rPr>
            </w:pPr>
          </w:p>
        </w:tc>
      </w:tr>
      <w:tr w14:paraId="125EF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A7564F1">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.本期减少金额</w:t>
            </w:r>
          </w:p>
        </w:tc>
        <w:tc>
          <w:tcPr>
            <w:tcW w:w="1928" w:type="dxa"/>
            <w:tcBorders>
              <w:top w:val="single" w:color="auto" w:sz="2" w:space="0"/>
              <w:left w:val="single" w:color="auto" w:sz="2" w:space="0"/>
              <w:bottom w:val="single" w:color="auto" w:sz="2" w:space="0"/>
              <w:right w:val="single" w:color="auto" w:sz="2" w:space="0"/>
            </w:tcBorders>
            <w:vAlign w:val="center"/>
          </w:tcPr>
          <w:p w14:paraId="64997038">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6AE1840">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631282B">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A5D2E3F">
            <w:pPr>
              <w:spacing w:before="0" w:after="0" w:line="240" w:lineRule="exact"/>
              <w:jc w:val="right"/>
              <w:rPr>
                <w:rFonts w:hint="default" w:ascii="Times New Roman" w:hAnsi="Times New Roman" w:eastAsia="宋体" w:cs="Times New Roman"/>
                <w:sz w:val="18"/>
                <w:szCs w:val="18"/>
              </w:rPr>
            </w:pPr>
          </w:p>
        </w:tc>
      </w:tr>
      <w:tr w14:paraId="7315B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21572E4">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）处置</w:t>
            </w:r>
          </w:p>
        </w:tc>
        <w:tc>
          <w:tcPr>
            <w:tcW w:w="1928" w:type="dxa"/>
            <w:tcBorders>
              <w:top w:val="single" w:color="auto" w:sz="2" w:space="0"/>
              <w:left w:val="single" w:color="auto" w:sz="2" w:space="0"/>
              <w:bottom w:val="single" w:color="auto" w:sz="2" w:space="0"/>
              <w:right w:val="single" w:color="auto" w:sz="2" w:space="0"/>
            </w:tcBorders>
            <w:vAlign w:val="center"/>
          </w:tcPr>
          <w:p w14:paraId="350D29A4">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90DEA33">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503C86B">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3C33A1C">
            <w:pPr>
              <w:spacing w:before="0" w:after="0" w:line="240" w:lineRule="exact"/>
              <w:jc w:val="right"/>
              <w:rPr>
                <w:rFonts w:hint="default" w:ascii="Times New Roman" w:hAnsi="Times New Roman" w:eastAsia="宋体" w:cs="Times New Roman"/>
                <w:sz w:val="18"/>
                <w:szCs w:val="18"/>
              </w:rPr>
            </w:pPr>
          </w:p>
        </w:tc>
      </w:tr>
      <w:tr w14:paraId="0A692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A09B232">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2</w:t>
            </w:r>
            <w:r>
              <w:rPr>
                <w:rFonts w:ascii="宋体" w:hAnsi="宋体" w:eastAsia="宋体" w:cs="宋体"/>
                <w:sz w:val="18"/>
                <w:szCs w:val="18"/>
              </w:rPr>
              <w:t>）其他转出</w:t>
            </w:r>
          </w:p>
        </w:tc>
        <w:tc>
          <w:tcPr>
            <w:tcW w:w="1928" w:type="dxa"/>
            <w:tcBorders>
              <w:top w:val="single" w:color="auto" w:sz="2" w:space="0"/>
              <w:left w:val="single" w:color="auto" w:sz="2" w:space="0"/>
              <w:bottom w:val="single" w:color="auto" w:sz="2" w:space="0"/>
              <w:right w:val="single" w:color="auto" w:sz="2" w:space="0"/>
            </w:tcBorders>
            <w:vAlign w:val="center"/>
          </w:tcPr>
          <w:p w14:paraId="1D7E9619">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73B4C29">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9C6F128">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8FDE0EE">
            <w:pPr>
              <w:spacing w:before="0" w:after="0" w:line="240" w:lineRule="exact"/>
              <w:jc w:val="right"/>
              <w:rPr>
                <w:rFonts w:hint="default" w:ascii="Times New Roman" w:hAnsi="Times New Roman" w:eastAsia="宋体" w:cs="Times New Roman"/>
                <w:sz w:val="18"/>
                <w:szCs w:val="18"/>
              </w:rPr>
            </w:pPr>
          </w:p>
        </w:tc>
      </w:tr>
      <w:tr w14:paraId="75CE8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C53273C">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33FA22B">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B4A86A2">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FAFFF6E">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9816380">
            <w:pPr>
              <w:spacing w:before="0" w:after="0" w:line="240" w:lineRule="exact"/>
              <w:jc w:val="right"/>
              <w:rPr>
                <w:rFonts w:hint="default" w:ascii="Times New Roman" w:hAnsi="Times New Roman" w:eastAsia="宋体" w:cs="Times New Roman"/>
                <w:sz w:val="18"/>
                <w:szCs w:val="18"/>
              </w:rPr>
            </w:pPr>
          </w:p>
        </w:tc>
      </w:tr>
      <w:tr w14:paraId="421F8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C797B2A">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vAlign w:val="center"/>
          </w:tcPr>
          <w:p w14:paraId="003B7D0C">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47A3BF1">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882C689">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BFDDFA0">
            <w:pPr>
              <w:spacing w:before="0" w:after="0" w:line="240" w:lineRule="exact"/>
              <w:jc w:val="right"/>
              <w:rPr>
                <w:rFonts w:hint="default" w:ascii="Times New Roman" w:hAnsi="Times New Roman" w:eastAsia="宋体" w:cs="Times New Roman"/>
                <w:sz w:val="18"/>
                <w:szCs w:val="18"/>
              </w:rPr>
            </w:pPr>
          </w:p>
        </w:tc>
      </w:tr>
      <w:tr w14:paraId="26CF9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6225843">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928" w:type="dxa"/>
            <w:tcBorders>
              <w:top w:val="single" w:color="auto" w:sz="2" w:space="0"/>
              <w:left w:val="single" w:color="auto" w:sz="2" w:space="0"/>
              <w:bottom w:val="single" w:color="auto" w:sz="2" w:space="0"/>
              <w:right w:val="single" w:color="auto" w:sz="2" w:space="0"/>
            </w:tcBorders>
            <w:vAlign w:val="center"/>
          </w:tcPr>
          <w:p w14:paraId="46F53FFF">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5C3D2A8">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5EF70EA">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4F6C3C5">
            <w:pPr>
              <w:spacing w:before="0" w:after="0" w:line="240" w:lineRule="exact"/>
              <w:jc w:val="right"/>
              <w:rPr>
                <w:rFonts w:hint="default" w:ascii="Times New Roman" w:hAnsi="Times New Roman" w:eastAsia="宋体" w:cs="Times New Roman"/>
                <w:sz w:val="18"/>
                <w:szCs w:val="18"/>
              </w:rPr>
            </w:pPr>
          </w:p>
        </w:tc>
      </w:tr>
      <w:tr w14:paraId="4EBD0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7AABF76">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.期末账面价值</w:t>
            </w:r>
          </w:p>
        </w:tc>
        <w:tc>
          <w:tcPr>
            <w:tcW w:w="1928" w:type="dxa"/>
            <w:tcBorders>
              <w:top w:val="single" w:color="auto" w:sz="2" w:space="0"/>
              <w:left w:val="single" w:color="auto" w:sz="2" w:space="0"/>
              <w:bottom w:val="single" w:color="auto" w:sz="2" w:space="0"/>
              <w:right w:val="single" w:color="auto" w:sz="2" w:space="0"/>
            </w:tcBorders>
            <w:vAlign w:val="center"/>
          </w:tcPr>
          <w:p w14:paraId="72AD8D6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8,124,094.09</w:t>
            </w:r>
          </w:p>
        </w:tc>
        <w:tc>
          <w:tcPr>
            <w:tcW w:w="1928" w:type="dxa"/>
            <w:tcBorders>
              <w:top w:val="single" w:color="auto" w:sz="2" w:space="0"/>
              <w:left w:val="single" w:color="auto" w:sz="2" w:space="0"/>
              <w:bottom w:val="single" w:color="auto" w:sz="2" w:space="0"/>
              <w:right w:val="single" w:color="auto" w:sz="2" w:space="0"/>
            </w:tcBorders>
            <w:vAlign w:val="center"/>
          </w:tcPr>
          <w:p w14:paraId="34CFC3A1">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E8FAFA0">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738D28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8,124,094.09</w:t>
            </w:r>
          </w:p>
        </w:tc>
      </w:tr>
      <w:tr w14:paraId="6DB17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EF9C190">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.期初账面价值</w:t>
            </w:r>
          </w:p>
        </w:tc>
        <w:tc>
          <w:tcPr>
            <w:tcW w:w="1928" w:type="dxa"/>
            <w:tcBorders>
              <w:top w:val="single" w:color="auto" w:sz="2" w:space="0"/>
              <w:left w:val="single" w:color="auto" w:sz="2" w:space="0"/>
              <w:bottom w:val="single" w:color="auto" w:sz="2" w:space="0"/>
              <w:right w:val="single" w:color="auto" w:sz="2" w:space="0"/>
            </w:tcBorders>
            <w:vAlign w:val="center"/>
          </w:tcPr>
          <w:p w14:paraId="7551F2F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8,569,230.25</w:t>
            </w:r>
          </w:p>
        </w:tc>
        <w:tc>
          <w:tcPr>
            <w:tcW w:w="1928" w:type="dxa"/>
            <w:tcBorders>
              <w:top w:val="single" w:color="auto" w:sz="2" w:space="0"/>
              <w:left w:val="single" w:color="auto" w:sz="2" w:space="0"/>
              <w:bottom w:val="single" w:color="auto" w:sz="2" w:space="0"/>
              <w:right w:val="single" w:color="auto" w:sz="2" w:space="0"/>
            </w:tcBorders>
            <w:vAlign w:val="center"/>
          </w:tcPr>
          <w:p w14:paraId="0FC600A4">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4728831">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F45028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8,569,230.25</w:t>
            </w:r>
          </w:p>
        </w:tc>
      </w:tr>
    </w:tbl>
    <w:p w14:paraId="76569F38">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可收回金额按公允价值减去处置费用后的净额确定</w:t>
      </w:r>
    </w:p>
    <w:p w14:paraId="42BA65CB">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BEE35CE">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可收回金额按预计未来现金流量的现值确定</w:t>
      </w:r>
    </w:p>
    <w:p w14:paraId="32B99EA7">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69DC128">
      <w:pPr>
        <w:spacing w:before="100" w:after="100" w:line="240" w:lineRule="exact"/>
        <w:jc w:val="left"/>
        <w:rPr>
          <w:rFonts w:ascii="宋体" w:hAnsi="宋体" w:eastAsia="宋体" w:cs="宋体"/>
          <w:sz w:val="18"/>
          <w:szCs w:val="18"/>
        </w:rPr>
      </w:pPr>
      <w:r>
        <w:rPr>
          <w:rFonts w:ascii="宋体" w:hAnsi="宋体" w:eastAsia="宋体" w:cs="宋体"/>
          <w:sz w:val="18"/>
          <w:szCs w:val="18"/>
        </w:rPr>
        <w:t>前述信息与以前年度减值测试采用的信息或外部信息明显不一致的差异原因</w:t>
      </w:r>
    </w:p>
    <w:p w14:paraId="7EA4157F">
      <w:pPr>
        <w:spacing w:before="100" w:after="100" w:line="240" w:lineRule="exact"/>
        <w:jc w:val="left"/>
        <w:rPr>
          <w:rFonts w:ascii="宋体" w:hAnsi="宋体" w:eastAsia="宋体" w:cs="宋体"/>
          <w:sz w:val="18"/>
          <w:szCs w:val="18"/>
        </w:rPr>
      </w:pPr>
      <w:r>
        <w:rPr>
          <w:rFonts w:ascii="宋体" w:hAnsi="宋体" w:eastAsia="宋体" w:cs="宋体"/>
          <w:sz w:val="18"/>
          <w:szCs w:val="18"/>
        </w:rPr>
        <w:t>公司以前年度减值测试采用信息与当年实际情况明显不一致的差异原因</w:t>
      </w:r>
    </w:p>
    <w:p w14:paraId="3EB0081D">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7612ADB5">
      <w:pPr>
        <w:keepNext/>
        <w:keepLines/>
        <w:spacing w:before="300" w:after="300" w:line="280" w:lineRule="exact"/>
        <w:jc w:val="left"/>
        <w:outlineLvl w:val="3"/>
        <w:rPr>
          <w:rFonts w:ascii="宋体" w:hAnsi="宋体" w:eastAsia="宋体" w:cs="宋体"/>
          <w:b/>
          <w:bCs/>
          <w:sz w:val="18"/>
          <w:szCs w:val="18"/>
        </w:rPr>
      </w:pPr>
      <w:bookmarkStart w:id="306" w:name="_Toc989116"/>
      <w:r>
        <w:rPr>
          <w:rFonts w:ascii="宋体" w:hAnsi="宋体" w:eastAsia="宋体" w:cs="宋体"/>
          <w:b/>
          <w:bCs/>
          <w:sz w:val="18"/>
          <w:szCs w:val="18"/>
        </w:rPr>
        <w:t>（</w:t>
      </w:r>
      <w:r>
        <w:rPr>
          <w:rFonts w:hint="default" w:ascii="Times New Roman" w:hAnsi="Times New Roman" w:eastAsia="宋体" w:cs="Times New Roman"/>
          <w:b/>
          <w:bCs/>
          <w:sz w:val="18"/>
          <w:szCs w:val="18"/>
        </w:rPr>
        <w:t>2</w:t>
      </w:r>
      <w:r>
        <w:rPr>
          <w:rFonts w:ascii="宋体" w:hAnsi="宋体" w:eastAsia="宋体" w:cs="宋体"/>
          <w:b/>
          <w:bCs/>
          <w:sz w:val="18"/>
          <w:szCs w:val="18"/>
        </w:rPr>
        <w:t>） 采用公允价值计量模式的投资性房地产</w:t>
      </w:r>
      <w:bookmarkEnd w:id="306"/>
    </w:p>
    <w:p w14:paraId="1350A422">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907A591">
      <w:pPr>
        <w:pStyle w:val="3"/>
        <w:keepNext/>
        <w:keepLines/>
        <w:spacing w:before="300" w:after="300" w:line="280" w:lineRule="exact"/>
        <w:jc w:val="left"/>
        <w:outlineLvl w:val="2"/>
        <w:rPr>
          <w:rFonts w:ascii="宋体" w:hAnsi="宋体" w:eastAsia="宋体" w:cs="宋体"/>
          <w:b/>
          <w:bCs/>
          <w:sz w:val="21"/>
          <w:szCs w:val="21"/>
        </w:rPr>
      </w:pPr>
      <w:bookmarkStart w:id="307" w:name="_Toc989117"/>
      <w:r>
        <w:rPr>
          <w:rFonts w:hint="default" w:ascii="Times New Roman" w:hAnsi="Times New Roman" w:eastAsia="宋体" w:cs="Times New Roman"/>
          <w:b/>
          <w:bCs/>
          <w:sz w:val="21"/>
          <w:szCs w:val="21"/>
        </w:rPr>
        <w:t>10</w:t>
      </w:r>
      <w:r>
        <w:rPr>
          <w:rFonts w:ascii="宋体" w:hAnsi="宋体" w:eastAsia="宋体" w:cs="宋体"/>
          <w:b/>
          <w:bCs/>
          <w:sz w:val="21"/>
          <w:szCs w:val="21"/>
        </w:rPr>
        <w:t>、固定资产</w:t>
      </w:r>
      <w:bookmarkEnd w:id="307"/>
    </w:p>
    <w:p w14:paraId="3709E7D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9405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7D408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A56D0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77D9C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2F13A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7D4996">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17D867C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309,795,825.82</w:t>
            </w:r>
          </w:p>
        </w:tc>
        <w:tc>
          <w:tcPr>
            <w:tcW w:w="3213" w:type="dxa"/>
            <w:tcBorders>
              <w:top w:val="single" w:color="auto" w:sz="2" w:space="0"/>
              <w:left w:val="single" w:color="auto" w:sz="2" w:space="0"/>
              <w:bottom w:val="single" w:color="auto" w:sz="2" w:space="0"/>
              <w:right w:val="single" w:color="auto" w:sz="2" w:space="0"/>
            </w:tcBorders>
            <w:vAlign w:val="center"/>
          </w:tcPr>
          <w:p w14:paraId="2004595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319,541,816.39</w:t>
            </w:r>
          </w:p>
        </w:tc>
      </w:tr>
      <w:tr w14:paraId="26DAA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7C8C31">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06634FE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309,795,825.82</w:t>
            </w:r>
          </w:p>
        </w:tc>
        <w:tc>
          <w:tcPr>
            <w:tcW w:w="3213" w:type="dxa"/>
            <w:tcBorders>
              <w:top w:val="single" w:color="auto" w:sz="2" w:space="0"/>
              <w:left w:val="single" w:color="auto" w:sz="2" w:space="0"/>
              <w:bottom w:val="single" w:color="auto" w:sz="2" w:space="0"/>
              <w:right w:val="single" w:color="auto" w:sz="2" w:space="0"/>
            </w:tcBorders>
            <w:vAlign w:val="center"/>
          </w:tcPr>
          <w:p w14:paraId="3DE93E0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319,541,816.39</w:t>
            </w:r>
          </w:p>
        </w:tc>
      </w:tr>
    </w:tbl>
    <w:p w14:paraId="292364D5">
      <w:pPr>
        <w:keepNext/>
        <w:keepLines/>
        <w:spacing w:before="300" w:after="300" w:line="280" w:lineRule="exact"/>
        <w:jc w:val="left"/>
        <w:outlineLvl w:val="3"/>
        <w:rPr>
          <w:rFonts w:ascii="宋体" w:hAnsi="宋体" w:eastAsia="宋体" w:cs="宋体"/>
          <w:b/>
          <w:bCs/>
          <w:sz w:val="21"/>
          <w:szCs w:val="21"/>
        </w:rPr>
      </w:pPr>
      <w:bookmarkStart w:id="308" w:name="_Toc989118"/>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固定资产情况</w:t>
      </w:r>
      <w:bookmarkEnd w:id="308"/>
    </w:p>
    <w:p w14:paraId="12BA535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78DBC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401A17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vAlign w:val="center"/>
          </w:tcPr>
          <w:p w14:paraId="4FFC35BB">
            <w:pPr>
              <w:spacing w:before="0" w:after="0" w:line="240" w:lineRule="exact"/>
              <w:jc w:val="center"/>
              <w:rPr>
                <w:rFonts w:ascii="宋体" w:hAnsi="宋体" w:eastAsia="宋体" w:cs="宋体"/>
                <w:sz w:val="18"/>
                <w:szCs w:val="18"/>
              </w:rPr>
            </w:pPr>
            <w:r>
              <w:rPr>
                <w:rFonts w:ascii="宋体" w:hAnsi="宋体" w:eastAsia="宋体" w:cs="宋体"/>
                <w:sz w:val="18"/>
                <w:szCs w:val="18"/>
              </w:rPr>
              <w:t>房屋及建筑物</w:t>
            </w:r>
          </w:p>
        </w:tc>
        <w:tc>
          <w:tcPr>
            <w:tcW w:w="1377" w:type="dxa"/>
            <w:tcBorders>
              <w:top w:val="single" w:color="auto" w:sz="2" w:space="0"/>
              <w:left w:val="single" w:color="auto" w:sz="2" w:space="0"/>
              <w:bottom w:val="single" w:color="auto" w:sz="2" w:space="0"/>
              <w:right w:val="single" w:color="auto" w:sz="2" w:space="0"/>
            </w:tcBorders>
            <w:vAlign w:val="center"/>
          </w:tcPr>
          <w:p w14:paraId="26C71064">
            <w:pPr>
              <w:spacing w:before="0" w:after="0" w:line="240" w:lineRule="exact"/>
              <w:jc w:val="center"/>
              <w:rPr>
                <w:rFonts w:ascii="宋体" w:hAnsi="宋体" w:eastAsia="宋体" w:cs="宋体"/>
                <w:sz w:val="18"/>
                <w:szCs w:val="18"/>
              </w:rPr>
            </w:pPr>
            <w:r>
              <w:rPr>
                <w:rFonts w:ascii="宋体" w:hAnsi="宋体" w:eastAsia="宋体" w:cs="宋体"/>
                <w:sz w:val="18"/>
                <w:szCs w:val="18"/>
              </w:rPr>
              <w:t>机器设备</w:t>
            </w:r>
          </w:p>
        </w:tc>
        <w:tc>
          <w:tcPr>
            <w:tcW w:w="1377" w:type="dxa"/>
            <w:tcBorders>
              <w:top w:val="single" w:color="auto" w:sz="2" w:space="0"/>
              <w:left w:val="single" w:color="auto" w:sz="2" w:space="0"/>
              <w:bottom w:val="single" w:color="auto" w:sz="2" w:space="0"/>
              <w:right w:val="single" w:color="auto" w:sz="2" w:space="0"/>
            </w:tcBorders>
            <w:vAlign w:val="center"/>
          </w:tcPr>
          <w:p w14:paraId="632B6EEA">
            <w:pPr>
              <w:spacing w:before="0" w:after="0" w:line="240" w:lineRule="exact"/>
              <w:jc w:val="center"/>
              <w:rPr>
                <w:rFonts w:ascii="宋体" w:hAnsi="宋体" w:eastAsia="宋体" w:cs="宋体"/>
                <w:sz w:val="18"/>
                <w:szCs w:val="18"/>
              </w:rPr>
            </w:pPr>
            <w:r>
              <w:rPr>
                <w:rFonts w:ascii="宋体" w:hAnsi="宋体" w:eastAsia="宋体" w:cs="宋体"/>
                <w:sz w:val="18"/>
                <w:szCs w:val="18"/>
              </w:rPr>
              <w:t>运输设备</w:t>
            </w:r>
          </w:p>
        </w:tc>
        <w:tc>
          <w:tcPr>
            <w:tcW w:w="1377" w:type="dxa"/>
            <w:tcBorders>
              <w:top w:val="single" w:color="auto" w:sz="2" w:space="0"/>
              <w:left w:val="single" w:color="auto" w:sz="2" w:space="0"/>
              <w:bottom w:val="single" w:color="auto" w:sz="2" w:space="0"/>
              <w:right w:val="single" w:color="auto" w:sz="2" w:space="0"/>
            </w:tcBorders>
            <w:vAlign w:val="center"/>
          </w:tcPr>
          <w:p w14:paraId="6ED8AED0">
            <w:pPr>
              <w:spacing w:before="0" w:after="0" w:line="240" w:lineRule="exact"/>
              <w:jc w:val="center"/>
              <w:rPr>
                <w:rFonts w:ascii="宋体" w:hAnsi="宋体" w:eastAsia="宋体" w:cs="宋体"/>
                <w:sz w:val="18"/>
                <w:szCs w:val="18"/>
              </w:rPr>
            </w:pPr>
            <w:r>
              <w:rPr>
                <w:rFonts w:ascii="宋体" w:hAnsi="宋体" w:eastAsia="宋体" w:cs="宋体"/>
                <w:sz w:val="18"/>
                <w:szCs w:val="18"/>
              </w:rPr>
              <w:t>电子设备</w:t>
            </w:r>
          </w:p>
        </w:tc>
        <w:tc>
          <w:tcPr>
            <w:tcW w:w="1377" w:type="dxa"/>
            <w:tcBorders>
              <w:top w:val="single" w:color="auto" w:sz="2" w:space="0"/>
              <w:left w:val="single" w:color="auto" w:sz="2" w:space="0"/>
              <w:bottom w:val="single" w:color="auto" w:sz="2" w:space="0"/>
              <w:right w:val="single" w:color="auto" w:sz="2" w:space="0"/>
            </w:tcBorders>
            <w:vAlign w:val="center"/>
          </w:tcPr>
          <w:p w14:paraId="2FB5D8F5">
            <w:pPr>
              <w:spacing w:before="0" w:after="0" w:line="240" w:lineRule="exact"/>
              <w:jc w:val="center"/>
              <w:rPr>
                <w:rFonts w:ascii="宋体" w:hAnsi="宋体" w:eastAsia="宋体" w:cs="宋体"/>
                <w:sz w:val="18"/>
                <w:szCs w:val="18"/>
              </w:rPr>
            </w:pPr>
            <w:r>
              <w:rPr>
                <w:rFonts w:ascii="宋体" w:hAnsi="宋体" w:eastAsia="宋体" w:cs="宋体"/>
                <w:sz w:val="18"/>
                <w:szCs w:val="18"/>
              </w:rPr>
              <w:t>其他设备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32574E6">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17E17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4A47480">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377" w:type="dxa"/>
            <w:tcBorders>
              <w:top w:val="single" w:color="auto" w:sz="2" w:space="0"/>
              <w:left w:val="single" w:color="auto" w:sz="2" w:space="0"/>
              <w:bottom w:val="single" w:color="auto" w:sz="2" w:space="0"/>
              <w:right w:val="single" w:color="auto" w:sz="2" w:space="0"/>
            </w:tcBorders>
            <w:vAlign w:val="center"/>
          </w:tcPr>
          <w:p w14:paraId="08E64E25">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8710921">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F91F6BC">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9A7007E">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1FAC68F">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9DF8F83">
            <w:pPr>
              <w:spacing w:before="0" w:after="0" w:line="240" w:lineRule="exact"/>
              <w:jc w:val="right"/>
              <w:rPr>
                <w:rFonts w:hint="default" w:ascii="Times New Roman" w:hAnsi="Times New Roman" w:eastAsia="宋体" w:cs="Times New Roman"/>
                <w:sz w:val="18"/>
                <w:szCs w:val="18"/>
              </w:rPr>
            </w:pPr>
          </w:p>
        </w:tc>
      </w:tr>
      <w:tr w14:paraId="1770B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25E81F7">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.期初余额</w:t>
            </w:r>
          </w:p>
        </w:tc>
        <w:tc>
          <w:tcPr>
            <w:tcW w:w="1377" w:type="dxa"/>
            <w:tcBorders>
              <w:top w:val="single" w:color="auto" w:sz="2" w:space="0"/>
              <w:left w:val="single" w:color="auto" w:sz="2" w:space="0"/>
              <w:bottom w:val="single" w:color="auto" w:sz="2" w:space="0"/>
              <w:right w:val="single" w:color="auto" w:sz="2" w:space="0"/>
            </w:tcBorders>
            <w:vAlign w:val="center"/>
          </w:tcPr>
          <w:p w14:paraId="2CECF86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392,831,735.38</w:t>
            </w:r>
          </w:p>
        </w:tc>
        <w:tc>
          <w:tcPr>
            <w:tcW w:w="1377" w:type="dxa"/>
            <w:tcBorders>
              <w:top w:val="single" w:color="auto" w:sz="2" w:space="0"/>
              <w:left w:val="single" w:color="auto" w:sz="2" w:space="0"/>
              <w:bottom w:val="single" w:color="auto" w:sz="2" w:space="0"/>
              <w:right w:val="single" w:color="auto" w:sz="2" w:space="0"/>
            </w:tcBorders>
            <w:vAlign w:val="center"/>
          </w:tcPr>
          <w:p w14:paraId="7769109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69,622,920.97</w:t>
            </w:r>
          </w:p>
        </w:tc>
        <w:tc>
          <w:tcPr>
            <w:tcW w:w="1377" w:type="dxa"/>
            <w:tcBorders>
              <w:top w:val="single" w:color="auto" w:sz="2" w:space="0"/>
              <w:left w:val="single" w:color="auto" w:sz="2" w:space="0"/>
              <w:bottom w:val="single" w:color="auto" w:sz="2" w:space="0"/>
              <w:right w:val="single" w:color="auto" w:sz="2" w:space="0"/>
            </w:tcBorders>
            <w:vAlign w:val="center"/>
          </w:tcPr>
          <w:p w14:paraId="4E3A6F0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5,855,039.69</w:t>
            </w:r>
          </w:p>
        </w:tc>
        <w:tc>
          <w:tcPr>
            <w:tcW w:w="1377" w:type="dxa"/>
            <w:tcBorders>
              <w:top w:val="single" w:color="auto" w:sz="2" w:space="0"/>
              <w:left w:val="single" w:color="auto" w:sz="2" w:space="0"/>
              <w:bottom w:val="single" w:color="auto" w:sz="2" w:space="0"/>
              <w:right w:val="single" w:color="auto" w:sz="2" w:space="0"/>
            </w:tcBorders>
            <w:vAlign w:val="center"/>
          </w:tcPr>
          <w:p w14:paraId="2557615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8,851,865.42</w:t>
            </w:r>
          </w:p>
        </w:tc>
        <w:tc>
          <w:tcPr>
            <w:tcW w:w="1377" w:type="dxa"/>
            <w:tcBorders>
              <w:top w:val="single" w:color="auto" w:sz="2" w:space="0"/>
              <w:left w:val="single" w:color="auto" w:sz="2" w:space="0"/>
              <w:bottom w:val="single" w:color="auto" w:sz="2" w:space="0"/>
              <w:right w:val="single" w:color="auto" w:sz="2" w:space="0"/>
            </w:tcBorders>
            <w:vAlign w:val="center"/>
          </w:tcPr>
          <w:p w14:paraId="3EE065D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18,674,218.12</w:t>
            </w:r>
          </w:p>
        </w:tc>
        <w:tc>
          <w:tcPr>
            <w:tcW w:w="1377" w:type="dxa"/>
            <w:tcBorders>
              <w:top w:val="single" w:color="auto" w:sz="2" w:space="0"/>
              <w:left w:val="single" w:color="auto" w:sz="2" w:space="0"/>
              <w:bottom w:val="single" w:color="auto" w:sz="2" w:space="0"/>
              <w:right w:val="single" w:color="auto" w:sz="2" w:space="0"/>
            </w:tcBorders>
            <w:vAlign w:val="center"/>
          </w:tcPr>
          <w:p w14:paraId="3CE5B07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495,835,779.58</w:t>
            </w:r>
          </w:p>
        </w:tc>
      </w:tr>
      <w:tr w14:paraId="54832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6C45BAB">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.本期增加金额</w:t>
            </w:r>
          </w:p>
        </w:tc>
        <w:tc>
          <w:tcPr>
            <w:tcW w:w="1377" w:type="dxa"/>
            <w:tcBorders>
              <w:top w:val="single" w:color="auto" w:sz="2" w:space="0"/>
              <w:left w:val="single" w:color="auto" w:sz="2" w:space="0"/>
              <w:bottom w:val="single" w:color="auto" w:sz="2" w:space="0"/>
              <w:right w:val="single" w:color="auto" w:sz="2" w:space="0"/>
            </w:tcBorders>
            <w:vAlign w:val="center"/>
          </w:tcPr>
          <w:p w14:paraId="4504BCC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110,398.71</w:t>
            </w:r>
          </w:p>
        </w:tc>
        <w:tc>
          <w:tcPr>
            <w:tcW w:w="1377" w:type="dxa"/>
            <w:tcBorders>
              <w:top w:val="single" w:color="auto" w:sz="2" w:space="0"/>
              <w:left w:val="single" w:color="auto" w:sz="2" w:space="0"/>
              <w:bottom w:val="single" w:color="auto" w:sz="2" w:space="0"/>
              <w:right w:val="single" w:color="auto" w:sz="2" w:space="0"/>
            </w:tcBorders>
            <w:vAlign w:val="center"/>
          </w:tcPr>
          <w:p w14:paraId="0D64FEC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2,015,444.32</w:t>
            </w:r>
          </w:p>
        </w:tc>
        <w:tc>
          <w:tcPr>
            <w:tcW w:w="1377" w:type="dxa"/>
            <w:tcBorders>
              <w:top w:val="single" w:color="auto" w:sz="2" w:space="0"/>
              <w:left w:val="single" w:color="auto" w:sz="2" w:space="0"/>
              <w:bottom w:val="single" w:color="auto" w:sz="2" w:space="0"/>
              <w:right w:val="single" w:color="auto" w:sz="2" w:space="0"/>
            </w:tcBorders>
            <w:vAlign w:val="center"/>
          </w:tcPr>
          <w:p w14:paraId="14E9364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72,376.62</w:t>
            </w:r>
          </w:p>
        </w:tc>
        <w:tc>
          <w:tcPr>
            <w:tcW w:w="1377" w:type="dxa"/>
            <w:tcBorders>
              <w:top w:val="single" w:color="auto" w:sz="2" w:space="0"/>
              <w:left w:val="single" w:color="auto" w:sz="2" w:space="0"/>
              <w:bottom w:val="single" w:color="auto" w:sz="2" w:space="0"/>
              <w:right w:val="single" w:color="auto" w:sz="2" w:space="0"/>
            </w:tcBorders>
            <w:vAlign w:val="center"/>
          </w:tcPr>
          <w:p w14:paraId="1F03278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96,071.48</w:t>
            </w:r>
          </w:p>
        </w:tc>
        <w:tc>
          <w:tcPr>
            <w:tcW w:w="1377" w:type="dxa"/>
            <w:tcBorders>
              <w:top w:val="single" w:color="auto" w:sz="2" w:space="0"/>
              <w:left w:val="single" w:color="auto" w:sz="2" w:space="0"/>
              <w:bottom w:val="single" w:color="auto" w:sz="2" w:space="0"/>
              <w:right w:val="single" w:color="auto" w:sz="2" w:space="0"/>
            </w:tcBorders>
            <w:vAlign w:val="center"/>
          </w:tcPr>
          <w:p w14:paraId="68D149A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153,683.64</w:t>
            </w:r>
          </w:p>
        </w:tc>
        <w:tc>
          <w:tcPr>
            <w:tcW w:w="1377" w:type="dxa"/>
            <w:tcBorders>
              <w:top w:val="single" w:color="auto" w:sz="2" w:space="0"/>
              <w:left w:val="single" w:color="auto" w:sz="2" w:space="0"/>
              <w:bottom w:val="single" w:color="auto" w:sz="2" w:space="0"/>
              <w:right w:val="single" w:color="auto" w:sz="2" w:space="0"/>
            </w:tcBorders>
            <w:vAlign w:val="center"/>
          </w:tcPr>
          <w:p w14:paraId="1BF0B49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2,447,974.77</w:t>
            </w:r>
          </w:p>
        </w:tc>
      </w:tr>
      <w:tr w14:paraId="03F83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89EF8B1">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）购置</w:t>
            </w:r>
          </w:p>
        </w:tc>
        <w:tc>
          <w:tcPr>
            <w:tcW w:w="1377" w:type="dxa"/>
            <w:tcBorders>
              <w:top w:val="single" w:color="auto" w:sz="2" w:space="0"/>
              <w:left w:val="single" w:color="auto" w:sz="2" w:space="0"/>
              <w:bottom w:val="single" w:color="auto" w:sz="2" w:space="0"/>
              <w:right w:val="single" w:color="auto" w:sz="2" w:space="0"/>
            </w:tcBorders>
            <w:vAlign w:val="center"/>
          </w:tcPr>
          <w:p w14:paraId="1FE617E0">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853A51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2,015,444.32</w:t>
            </w:r>
          </w:p>
        </w:tc>
        <w:tc>
          <w:tcPr>
            <w:tcW w:w="1377" w:type="dxa"/>
            <w:tcBorders>
              <w:top w:val="single" w:color="auto" w:sz="2" w:space="0"/>
              <w:left w:val="single" w:color="auto" w:sz="2" w:space="0"/>
              <w:bottom w:val="single" w:color="auto" w:sz="2" w:space="0"/>
              <w:right w:val="single" w:color="auto" w:sz="2" w:space="0"/>
            </w:tcBorders>
            <w:vAlign w:val="center"/>
          </w:tcPr>
          <w:p w14:paraId="75D12C6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72,376.62</w:t>
            </w:r>
          </w:p>
        </w:tc>
        <w:tc>
          <w:tcPr>
            <w:tcW w:w="1377" w:type="dxa"/>
            <w:tcBorders>
              <w:top w:val="single" w:color="auto" w:sz="2" w:space="0"/>
              <w:left w:val="single" w:color="auto" w:sz="2" w:space="0"/>
              <w:bottom w:val="single" w:color="auto" w:sz="2" w:space="0"/>
              <w:right w:val="single" w:color="auto" w:sz="2" w:space="0"/>
            </w:tcBorders>
            <w:vAlign w:val="center"/>
          </w:tcPr>
          <w:p w14:paraId="320F3F7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96,071.48</w:t>
            </w:r>
          </w:p>
        </w:tc>
        <w:tc>
          <w:tcPr>
            <w:tcW w:w="1377" w:type="dxa"/>
            <w:tcBorders>
              <w:top w:val="single" w:color="auto" w:sz="2" w:space="0"/>
              <w:left w:val="single" w:color="auto" w:sz="2" w:space="0"/>
              <w:bottom w:val="single" w:color="auto" w:sz="2" w:space="0"/>
              <w:right w:val="single" w:color="auto" w:sz="2" w:space="0"/>
            </w:tcBorders>
            <w:vAlign w:val="center"/>
          </w:tcPr>
          <w:p w14:paraId="44A3979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153,683.64</w:t>
            </w:r>
          </w:p>
        </w:tc>
        <w:tc>
          <w:tcPr>
            <w:tcW w:w="1377" w:type="dxa"/>
            <w:tcBorders>
              <w:top w:val="single" w:color="auto" w:sz="2" w:space="0"/>
              <w:left w:val="single" w:color="auto" w:sz="2" w:space="0"/>
              <w:bottom w:val="single" w:color="auto" w:sz="2" w:space="0"/>
              <w:right w:val="single" w:color="auto" w:sz="2" w:space="0"/>
            </w:tcBorders>
            <w:vAlign w:val="center"/>
          </w:tcPr>
          <w:p w14:paraId="15E0D0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2,337,576.06</w:t>
            </w:r>
          </w:p>
        </w:tc>
      </w:tr>
      <w:tr w14:paraId="5B6B9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B6B8643">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2</w:t>
            </w:r>
            <w:r>
              <w:rPr>
                <w:rFonts w:ascii="宋体" w:hAnsi="宋体" w:eastAsia="宋体" w:cs="宋体"/>
                <w:sz w:val="18"/>
                <w:szCs w:val="18"/>
              </w:rPr>
              <w:t>）在建工程转入</w:t>
            </w:r>
          </w:p>
        </w:tc>
        <w:tc>
          <w:tcPr>
            <w:tcW w:w="1377" w:type="dxa"/>
            <w:tcBorders>
              <w:top w:val="single" w:color="auto" w:sz="2" w:space="0"/>
              <w:left w:val="single" w:color="auto" w:sz="2" w:space="0"/>
              <w:bottom w:val="single" w:color="auto" w:sz="2" w:space="0"/>
              <w:right w:val="single" w:color="auto" w:sz="2" w:space="0"/>
            </w:tcBorders>
            <w:vAlign w:val="center"/>
          </w:tcPr>
          <w:p w14:paraId="7FC656A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110,398.71</w:t>
            </w:r>
          </w:p>
        </w:tc>
        <w:tc>
          <w:tcPr>
            <w:tcW w:w="1377" w:type="dxa"/>
            <w:tcBorders>
              <w:top w:val="single" w:color="auto" w:sz="2" w:space="0"/>
              <w:left w:val="single" w:color="auto" w:sz="2" w:space="0"/>
              <w:bottom w:val="single" w:color="auto" w:sz="2" w:space="0"/>
              <w:right w:val="single" w:color="auto" w:sz="2" w:space="0"/>
            </w:tcBorders>
            <w:vAlign w:val="center"/>
          </w:tcPr>
          <w:p w14:paraId="3B9EC8AC">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95C8054">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4453113">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55C8DE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49BB45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110,398.71</w:t>
            </w:r>
          </w:p>
        </w:tc>
      </w:tr>
      <w:tr w14:paraId="41451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8917471">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3</w:t>
            </w:r>
            <w:r>
              <w:rPr>
                <w:rFonts w:ascii="宋体" w:hAnsi="宋体" w:eastAsia="宋体" w:cs="宋体"/>
                <w:sz w:val="18"/>
                <w:szCs w:val="18"/>
              </w:rPr>
              <w:t>）企业合并增加</w:t>
            </w:r>
          </w:p>
        </w:tc>
        <w:tc>
          <w:tcPr>
            <w:tcW w:w="1377" w:type="dxa"/>
            <w:tcBorders>
              <w:top w:val="single" w:color="auto" w:sz="2" w:space="0"/>
              <w:left w:val="single" w:color="auto" w:sz="2" w:space="0"/>
              <w:bottom w:val="single" w:color="auto" w:sz="2" w:space="0"/>
              <w:right w:val="single" w:color="auto" w:sz="2" w:space="0"/>
            </w:tcBorders>
            <w:vAlign w:val="center"/>
          </w:tcPr>
          <w:p w14:paraId="215B6EC1">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C8BBBAF">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A8CCBB2">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727FBE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87E633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BBCD793">
            <w:pPr>
              <w:spacing w:before="0" w:after="0" w:line="240" w:lineRule="exact"/>
              <w:jc w:val="right"/>
              <w:rPr>
                <w:rFonts w:hint="default" w:ascii="Times New Roman" w:hAnsi="Times New Roman" w:eastAsia="宋体" w:cs="Times New Roman"/>
                <w:sz w:val="18"/>
                <w:szCs w:val="18"/>
              </w:rPr>
            </w:pPr>
          </w:p>
        </w:tc>
      </w:tr>
      <w:tr w14:paraId="44317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D6AC911">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415AAA4">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69451C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17D4C52">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C8DF10B">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648253D">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CAC8EF5">
            <w:pPr>
              <w:spacing w:before="0" w:after="0" w:line="240" w:lineRule="exact"/>
              <w:jc w:val="right"/>
              <w:rPr>
                <w:rFonts w:hint="default" w:ascii="Times New Roman" w:hAnsi="Times New Roman" w:eastAsia="宋体" w:cs="Times New Roman"/>
                <w:sz w:val="18"/>
                <w:szCs w:val="18"/>
              </w:rPr>
            </w:pPr>
          </w:p>
        </w:tc>
      </w:tr>
      <w:tr w14:paraId="6EFE3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2310AD0">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.本期减少金额</w:t>
            </w:r>
          </w:p>
        </w:tc>
        <w:tc>
          <w:tcPr>
            <w:tcW w:w="1377" w:type="dxa"/>
            <w:tcBorders>
              <w:top w:val="single" w:color="auto" w:sz="2" w:space="0"/>
              <w:left w:val="single" w:color="auto" w:sz="2" w:space="0"/>
              <w:bottom w:val="single" w:color="auto" w:sz="2" w:space="0"/>
              <w:right w:val="single" w:color="auto" w:sz="2" w:space="0"/>
            </w:tcBorders>
            <w:vAlign w:val="center"/>
          </w:tcPr>
          <w:p w14:paraId="46A07827">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02FC57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660,550.75</w:t>
            </w:r>
          </w:p>
        </w:tc>
        <w:tc>
          <w:tcPr>
            <w:tcW w:w="1377" w:type="dxa"/>
            <w:tcBorders>
              <w:top w:val="single" w:color="auto" w:sz="2" w:space="0"/>
              <w:left w:val="single" w:color="auto" w:sz="2" w:space="0"/>
              <w:bottom w:val="single" w:color="auto" w:sz="2" w:space="0"/>
              <w:right w:val="single" w:color="auto" w:sz="2" w:space="0"/>
            </w:tcBorders>
            <w:vAlign w:val="center"/>
          </w:tcPr>
          <w:p w14:paraId="61B8365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408,199.12</w:t>
            </w:r>
          </w:p>
        </w:tc>
        <w:tc>
          <w:tcPr>
            <w:tcW w:w="1377" w:type="dxa"/>
            <w:tcBorders>
              <w:top w:val="single" w:color="auto" w:sz="2" w:space="0"/>
              <w:left w:val="single" w:color="auto" w:sz="2" w:space="0"/>
              <w:bottom w:val="single" w:color="auto" w:sz="2" w:space="0"/>
              <w:right w:val="single" w:color="auto" w:sz="2" w:space="0"/>
            </w:tcBorders>
            <w:vAlign w:val="center"/>
          </w:tcPr>
          <w:p w14:paraId="50E79A0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437,651.42</w:t>
            </w:r>
          </w:p>
        </w:tc>
        <w:tc>
          <w:tcPr>
            <w:tcW w:w="1377" w:type="dxa"/>
            <w:tcBorders>
              <w:top w:val="single" w:color="auto" w:sz="2" w:space="0"/>
              <w:left w:val="single" w:color="auto" w:sz="2" w:space="0"/>
              <w:bottom w:val="single" w:color="auto" w:sz="2" w:space="0"/>
              <w:right w:val="single" w:color="auto" w:sz="2" w:space="0"/>
            </w:tcBorders>
            <w:vAlign w:val="center"/>
          </w:tcPr>
          <w:p w14:paraId="0D46D20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451,066.91</w:t>
            </w:r>
          </w:p>
        </w:tc>
        <w:tc>
          <w:tcPr>
            <w:tcW w:w="1377" w:type="dxa"/>
            <w:tcBorders>
              <w:top w:val="single" w:color="auto" w:sz="2" w:space="0"/>
              <w:left w:val="single" w:color="auto" w:sz="2" w:space="0"/>
              <w:bottom w:val="single" w:color="auto" w:sz="2" w:space="0"/>
              <w:right w:val="single" w:color="auto" w:sz="2" w:space="0"/>
            </w:tcBorders>
            <w:vAlign w:val="center"/>
          </w:tcPr>
          <w:p w14:paraId="18E27C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1,957,468.20</w:t>
            </w:r>
          </w:p>
        </w:tc>
      </w:tr>
      <w:tr w14:paraId="339F6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5B1A15E">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）处置或报废</w:t>
            </w:r>
          </w:p>
        </w:tc>
        <w:tc>
          <w:tcPr>
            <w:tcW w:w="1377" w:type="dxa"/>
            <w:tcBorders>
              <w:top w:val="single" w:color="auto" w:sz="2" w:space="0"/>
              <w:left w:val="single" w:color="auto" w:sz="2" w:space="0"/>
              <w:bottom w:val="single" w:color="auto" w:sz="2" w:space="0"/>
              <w:right w:val="single" w:color="auto" w:sz="2" w:space="0"/>
            </w:tcBorders>
            <w:vAlign w:val="center"/>
          </w:tcPr>
          <w:p w14:paraId="79849493">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39FAE6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660,550.75</w:t>
            </w:r>
          </w:p>
        </w:tc>
        <w:tc>
          <w:tcPr>
            <w:tcW w:w="1377" w:type="dxa"/>
            <w:tcBorders>
              <w:top w:val="single" w:color="auto" w:sz="2" w:space="0"/>
              <w:left w:val="single" w:color="auto" w:sz="2" w:space="0"/>
              <w:bottom w:val="single" w:color="auto" w:sz="2" w:space="0"/>
              <w:right w:val="single" w:color="auto" w:sz="2" w:space="0"/>
            </w:tcBorders>
            <w:vAlign w:val="center"/>
          </w:tcPr>
          <w:p w14:paraId="77597DE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408,199.12</w:t>
            </w:r>
          </w:p>
        </w:tc>
        <w:tc>
          <w:tcPr>
            <w:tcW w:w="1377" w:type="dxa"/>
            <w:tcBorders>
              <w:top w:val="single" w:color="auto" w:sz="2" w:space="0"/>
              <w:left w:val="single" w:color="auto" w:sz="2" w:space="0"/>
              <w:bottom w:val="single" w:color="auto" w:sz="2" w:space="0"/>
              <w:right w:val="single" w:color="auto" w:sz="2" w:space="0"/>
            </w:tcBorders>
            <w:vAlign w:val="center"/>
          </w:tcPr>
          <w:p w14:paraId="1B53B82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437,651.42</w:t>
            </w:r>
          </w:p>
        </w:tc>
        <w:tc>
          <w:tcPr>
            <w:tcW w:w="1377" w:type="dxa"/>
            <w:tcBorders>
              <w:top w:val="single" w:color="auto" w:sz="2" w:space="0"/>
              <w:left w:val="single" w:color="auto" w:sz="2" w:space="0"/>
              <w:bottom w:val="single" w:color="auto" w:sz="2" w:space="0"/>
              <w:right w:val="single" w:color="auto" w:sz="2" w:space="0"/>
            </w:tcBorders>
            <w:vAlign w:val="center"/>
          </w:tcPr>
          <w:p w14:paraId="41FFD7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451,066.91</w:t>
            </w:r>
          </w:p>
        </w:tc>
        <w:tc>
          <w:tcPr>
            <w:tcW w:w="1377" w:type="dxa"/>
            <w:tcBorders>
              <w:top w:val="single" w:color="auto" w:sz="2" w:space="0"/>
              <w:left w:val="single" w:color="auto" w:sz="2" w:space="0"/>
              <w:bottom w:val="single" w:color="auto" w:sz="2" w:space="0"/>
              <w:right w:val="single" w:color="auto" w:sz="2" w:space="0"/>
            </w:tcBorders>
            <w:vAlign w:val="center"/>
          </w:tcPr>
          <w:p w14:paraId="0CC149B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1,957,468.20</w:t>
            </w:r>
          </w:p>
        </w:tc>
      </w:tr>
      <w:tr w14:paraId="2F742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821E1AF">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615040B">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1C618CF">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1098EBB">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0612C73">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5BAC871">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5432FEC">
            <w:pPr>
              <w:spacing w:before="0" w:after="0" w:line="240" w:lineRule="exact"/>
              <w:jc w:val="right"/>
              <w:rPr>
                <w:rFonts w:hint="default" w:ascii="Times New Roman" w:hAnsi="Times New Roman" w:eastAsia="宋体" w:cs="Times New Roman"/>
                <w:sz w:val="18"/>
                <w:szCs w:val="18"/>
              </w:rPr>
            </w:pPr>
          </w:p>
        </w:tc>
      </w:tr>
      <w:tr w14:paraId="3895C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53AC218">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.期末余额</w:t>
            </w:r>
          </w:p>
        </w:tc>
        <w:tc>
          <w:tcPr>
            <w:tcW w:w="1377" w:type="dxa"/>
            <w:tcBorders>
              <w:top w:val="single" w:color="auto" w:sz="2" w:space="0"/>
              <w:left w:val="single" w:color="auto" w:sz="2" w:space="0"/>
              <w:bottom w:val="single" w:color="auto" w:sz="2" w:space="0"/>
              <w:right w:val="single" w:color="auto" w:sz="2" w:space="0"/>
            </w:tcBorders>
            <w:vAlign w:val="center"/>
          </w:tcPr>
          <w:p w14:paraId="48F9DB7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392,942,134.09</w:t>
            </w:r>
          </w:p>
        </w:tc>
        <w:tc>
          <w:tcPr>
            <w:tcW w:w="1377" w:type="dxa"/>
            <w:tcBorders>
              <w:top w:val="single" w:color="auto" w:sz="2" w:space="0"/>
              <w:left w:val="single" w:color="auto" w:sz="2" w:space="0"/>
              <w:bottom w:val="single" w:color="auto" w:sz="2" w:space="0"/>
              <w:right w:val="single" w:color="auto" w:sz="2" w:space="0"/>
            </w:tcBorders>
            <w:vAlign w:val="center"/>
          </w:tcPr>
          <w:p w14:paraId="0EF0A74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70,977,814.54</w:t>
            </w:r>
          </w:p>
        </w:tc>
        <w:tc>
          <w:tcPr>
            <w:tcW w:w="1377" w:type="dxa"/>
            <w:tcBorders>
              <w:top w:val="single" w:color="auto" w:sz="2" w:space="0"/>
              <w:left w:val="single" w:color="auto" w:sz="2" w:space="0"/>
              <w:bottom w:val="single" w:color="auto" w:sz="2" w:space="0"/>
              <w:right w:val="single" w:color="auto" w:sz="2" w:space="0"/>
            </w:tcBorders>
            <w:vAlign w:val="center"/>
          </w:tcPr>
          <w:p w14:paraId="0570A97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5,519,217.19</w:t>
            </w:r>
          </w:p>
        </w:tc>
        <w:tc>
          <w:tcPr>
            <w:tcW w:w="1377" w:type="dxa"/>
            <w:tcBorders>
              <w:top w:val="single" w:color="auto" w:sz="2" w:space="0"/>
              <w:left w:val="single" w:color="auto" w:sz="2" w:space="0"/>
              <w:bottom w:val="single" w:color="auto" w:sz="2" w:space="0"/>
              <w:right w:val="single" w:color="auto" w:sz="2" w:space="0"/>
            </w:tcBorders>
            <w:vAlign w:val="center"/>
          </w:tcPr>
          <w:p w14:paraId="232E74E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8,510,285.48</w:t>
            </w:r>
          </w:p>
        </w:tc>
        <w:tc>
          <w:tcPr>
            <w:tcW w:w="1377" w:type="dxa"/>
            <w:tcBorders>
              <w:top w:val="single" w:color="auto" w:sz="2" w:space="0"/>
              <w:left w:val="single" w:color="auto" w:sz="2" w:space="0"/>
              <w:bottom w:val="single" w:color="auto" w:sz="2" w:space="0"/>
              <w:right w:val="single" w:color="auto" w:sz="2" w:space="0"/>
            </w:tcBorders>
            <w:vAlign w:val="center"/>
          </w:tcPr>
          <w:p w14:paraId="045E3E5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18,376,834.85</w:t>
            </w:r>
          </w:p>
        </w:tc>
        <w:tc>
          <w:tcPr>
            <w:tcW w:w="1377" w:type="dxa"/>
            <w:tcBorders>
              <w:top w:val="single" w:color="auto" w:sz="2" w:space="0"/>
              <w:left w:val="single" w:color="auto" w:sz="2" w:space="0"/>
              <w:bottom w:val="single" w:color="auto" w:sz="2" w:space="0"/>
              <w:right w:val="single" w:color="auto" w:sz="2" w:space="0"/>
            </w:tcBorders>
            <w:vAlign w:val="center"/>
          </w:tcPr>
          <w:p w14:paraId="12AC843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496,326,286.15</w:t>
            </w:r>
          </w:p>
        </w:tc>
      </w:tr>
      <w:tr w14:paraId="6AEDC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CCD2731">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1377" w:type="dxa"/>
            <w:tcBorders>
              <w:top w:val="single" w:color="auto" w:sz="2" w:space="0"/>
              <w:left w:val="single" w:color="auto" w:sz="2" w:space="0"/>
              <w:bottom w:val="single" w:color="auto" w:sz="2" w:space="0"/>
              <w:right w:val="single" w:color="auto" w:sz="2" w:space="0"/>
            </w:tcBorders>
            <w:vAlign w:val="center"/>
          </w:tcPr>
          <w:p w14:paraId="7A94EB78">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AEB7B90">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CFBD340">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61FF634">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100C0C4">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DAFA49D">
            <w:pPr>
              <w:spacing w:before="0" w:after="0" w:line="240" w:lineRule="exact"/>
              <w:jc w:val="right"/>
              <w:rPr>
                <w:rFonts w:hint="default" w:ascii="Times New Roman" w:hAnsi="Times New Roman" w:eastAsia="宋体" w:cs="Times New Roman"/>
                <w:sz w:val="18"/>
                <w:szCs w:val="18"/>
              </w:rPr>
            </w:pPr>
          </w:p>
        </w:tc>
      </w:tr>
      <w:tr w14:paraId="7323B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4D01302">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.期初余额</w:t>
            </w:r>
          </w:p>
        </w:tc>
        <w:tc>
          <w:tcPr>
            <w:tcW w:w="1377" w:type="dxa"/>
            <w:tcBorders>
              <w:top w:val="single" w:color="auto" w:sz="2" w:space="0"/>
              <w:left w:val="single" w:color="auto" w:sz="2" w:space="0"/>
              <w:bottom w:val="single" w:color="auto" w:sz="2" w:space="0"/>
              <w:right w:val="single" w:color="auto" w:sz="2" w:space="0"/>
            </w:tcBorders>
            <w:vAlign w:val="center"/>
          </w:tcPr>
          <w:p w14:paraId="42BF67A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83,390,439.98</w:t>
            </w:r>
          </w:p>
        </w:tc>
        <w:tc>
          <w:tcPr>
            <w:tcW w:w="1377" w:type="dxa"/>
            <w:tcBorders>
              <w:top w:val="single" w:color="auto" w:sz="2" w:space="0"/>
              <w:left w:val="single" w:color="auto" w:sz="2" w:space="0"/>
              <w:bottom w:val="single" w:color="auto" w:sz="2" w:space="0"/>
              <w:right w:val="single" w:color="auto" w:sz="2" w:space="0"/>
            </w:tcBorders>
            <w:vAlign w:val="center"/>
          </w:tcPr>
          <w:p w14:paraId="1AC4D30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58,551,179.18</w:t>
            </w:r>
          </w:p>
        </w:tc>
        <w:tc>
          <w:tcPr>
            <w:tcW w:w="1377" w:type="dxa"/>
            <w:tcBorders>
              <w:top w:val="single" w:color="auto" w:sz="2" w:space="0"/>
              <w:left w:val="single" w:color="auto" w:sz="2" w:space="0"/>
              <w:bottom w:val="single" w:color="auto" w:sz="2" w:space="0"/>
              <w:right w:val="single" w:color="auto" w:sz="2" w:space="0"/>
            </w:tcBorders>
            <w:vAlign w:val="center"/>
          </w:tcPr>
          <w:p w14:paraId="739078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5,328,790.66</w:t>
            </w:r>
          </w:p>
        </w:tc>
        <w:tc>
          <w:tcPr>
            <w:tcW w:w="1377" w:type="dxa"/>
            <w:tcBorders>
              <w:top w:val="single" w:color="auto" w:sz="2" w:space="0"/>
              <w:left w:val="single" w:color="auto" w:sz="2" w:space="0"/>
              <w:bottom w:val="single" w:color="auto" w:sz="2" w:space="0"/>
              <w:right w:val="single" w:color="auto" w:sz="2" w:space="0"/>
            </w:tcBorders>
            <w:vAlign w:val="center"/>
          </w:tcPr>
          <w:p w14:paraId="1B11903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7,899,755.85</w:t>
            </w:r>
          </w:p>
        </w:tc>
        <w:tc>
          <w:tcPr>
            <w:tcW w:w="1377" w:type="dxa"/>
            <w:tcBorders>
              <w:top w:val="single" w:color="auto" w:sz="2" w:space="0"/>
              <w:left w:val="single" w:color="auto" w:sz="2" w:space="0"/>
              <w:bottom w:val="single" w:color="auto" w:sz="2" w:space="0"/>
              <w:right w:val="single" w:color="auto" w:sz="2" w:space="0"/>
            </w:tcBorders>
            <w:vAlign w:val="center"/>
          </w:tcPr>
          <w:p w14:paraId="2C5B6BA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17,526,372.25</w:t>
            </w:r>
          </w:p>
        </w:tc>
        <w:tc>
          <w:tcPr>
            <w:tcW w:w="1377" w:type="dxa"/>
            <w:tcBorders>
              <w:top w:val="single" w:color="auto" w:sz="2" w:space="0"/>
              <w:left w:val="single" w:color="auto" w:sz="2" w:space="0"/>
              <w:bottom w:val="single" w:color="auto" w:sz="2" w:space="0"/>
              <w:right w:val="single" w:color="auto" w:sz="2" w:space="0"/>
            </w:tcBorders>
            <w:vAlign w:val="center"/>
          </w:tcPr>
          <w:p w14:paraId="6162B7E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172,696,537.92</w:t>
            </w:r>
          </w:p>
        </w:tc>
      </w:tr>
      <w:tr w14:paraId="31AEA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EFD9F02">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.本期增加金额</w:t>
            </w:r>
          </w:p>
        </w:tc>
        <w:tc>
          <w:tcPr>
            <w:tcW w:w="1377" w:type="dxa"/>
            <w:tcBorders>
              <w:top w:val="single" w:color="auto" w:sz="2" w:space="0"/>
              <w:left w:val="single" w:color="auto" w:sz="2" w:space="0"/>
              <w:bottom w:val="single" w:color="auto" w:sz="2" w:space="0"/>
              <w:right w:val="single" w:color="auto" w:sz="2" w:space="0"/>
            </w:tcBorders>
            <w:vAlign w:val="center"/>
          </w:tcPr>
          <w:p w14:paraId="68B46B6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9,897,473.04</w:t>
            </w:r>
          </w:p>
        </w:tc>
        <w:tc>
          <w:tcPr>
            <w:tcW w:w="1377" w:type="dxa"/>
            <w:tcBorders>
              <w:top w:val="single" w:color="auto" w:sz="2" w:space="0"/>
              <w:left w:val="single" w:color="auto" w:sz="2" w:space="0"/>
              <w:bottom w:val="single" w:color="auto" w:sz="2" w:space="0"/>
              <w:right w:val="single" w:color="auto" w:sz="2" w:space="0"/>
            </w:tcBorders>
            <w:vAlign w:val="center"/>
          </w:tcPr>
          <w:p w14:paraId="597AE64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1,635,985.82</w:t>
            </w:r>
          </w:p>
        </w:tc>
        <w:tc>
          <w:tcPr>
            <w:tcW w:w="1377" w:type="dxa"/>
            <w:tcBorders>
              <w:top w:val="single" w:color="auto" w:sz="2" w:space="0"/>
              <w:left w:val="single" w:color="auto" w:sz="2" w:space="0"/>
              <w:bottom w:val="single" w:color="auto" w:sz="2" w:space="0"/>
              <w:right w:val="single" w:color="auto" w:sz="2" w:space="0"/>
            </w:tcBorders>
            <w:vAlign w:val="center"/>
          </w:tcPr>
          <w:p w14:paraId="1C40CFA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105,993.88</w:t>
            </w:r>
          </w:p>
        </w:tc>
        <w:tc>
          <w:tcPr>
            <w:tcW w:w="1377" w:type="dxa"/>
            <w:tcBorders>
              <w:top w:val="single" w:color="auto" w:sz="2" w:space="0"/>
              <w:left w:val="single" w:color="auto" w:sz="2" w:space="0"/>
              <w:bottom w:val="single" w:color="auto" w:sz="2" w:space="0"/>
              <w:right w:val="single" w:color="auto" w:sz="2" w:space="0"/>
            </w:tcBorders>
            <w:vAlign w:val="center"/>
          </w:tcPr>
          <w:p w14:paraId="06991C4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248,378.88</w:t>
            </w:r>
          </w:p>
        </w:tc>
        <w:tc>
          <w:tcPr>
            <w:tcW w:w="1377" w:type="dxa"/>
            <w:tcBorders>
              <w:top w:val="single" w:color="auto" w:sz="2" w:space="0"/>
              <w:left w:val="single" w:color="auto" w:sz="2" w:space="0"/>
              <w:bottom w:val="single" w:color="auto" w:sz="2" w:space="0"/>
              <w:right w:val="single" w:color="auto" w:sz="2" w:space="0"/>
            </w:tcBorders>
            <w:vAlign w:val="center"/>
          </w:tcPr>
          <w:p w14:paraId="3DEA0B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133,382.56</w:t>
            </w:r>
          </w:p>
        </w:tc>
        <w:tc>
          <w:tcPr>
            <w:tcW w:w="1377" w:type="dxa"/>
            <w:tcBorders>
              <w:top w:val="single" w:color="auto" w:sz="2" w:space="0"/>
              <w:left w:val="single" w:color="auto" w:sz="2" w:space="0"/>
              <w:bottom w:val="single" w:color="auto" w:sz="2" w:space="0"/>
              <w:right w:val="single" w:color="auto" w:sz="2" w:space="0"/>
            </w:tcBorders>
            <w:vAlign w:val="center"/>
          </w:tcPr>
          <w:p w14:paraId="5809FE7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12,021,214.18</w:t>
            </w:r>
          </w:p>
        </w:tc>
      </w:tr>
      <w:tr w14:paraId="28D15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2A4B750">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vAlign w:val="center"/>
          </w:tcPr>
          <w:p w14:paraId="14C8A2E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9,897,473.04</w:t>
            </w:r>
          </w:p>
        </w:tc>
        <w:tc>
          <w:tcPr>
            <w:tcW w:w="1377" w:type="dxa"/>
            <w:tcBorders>
              <w:top w:val="single" w:color="auto" w:sz="2" w:space="0"/>
              <w:left w:val="single" w:color="auto" w:sz="2" w:space="0"/>
              <w:bottom w:val="single" w:color="auto" w:sz="2" w:space="0"/>
              <w:right w:val="single" w:color="auto" w:sz="2" w:space="0"/>
            </w:tcBorders>
            <w:vAlign w:val="center"/>
          </w:tcPr>
          <w:p w14:paraId="4727CB1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1,635,985.82</w:t>
            </w:r>
          </w:p>
        </w:tc>
        <w:tc>
          <w:tcPr>
            <w:tcW w:w="1377" w:type="dxa"/>
            <w:tcBorders>
              <w:top w:val="single" w:color="auto" w:sz="2" w:space="0"/>
              <w:left w:val="single" w:color="auto" w:sz="2" w:space="0"/>
              <w:bottom w:val="single" w:color="auto" w:sz="2" w:space="0"/>
              <w:right w:val="single" w:color="auto" w:sz="2" w:space="0"/>
            </w:tcBorders>
            <w:vAlign w:val="center"/>
          </w:tcPr>
          <w:p w14:paraId="5481FCF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105,993.88</w:t>
            </w:r>
          </w:p>
        </w:tc>
        <w:tc>
          <w:tcPr>
            <w:tcW w:w="1377" w:type="dxa"/>
            <w:tcBorders>
              <w:top w:val="single" w:color="auto" w:sz="2" w:space="0"/>
              <w:left w:val="single" w:color="auto" w:sz="2" w:space="0"/>
              <w:bottom w:val="single" w:color="auto" w:sz="2" w:space="0"/>
              <w:right w:val="single" w:color="auto" w:sz="2" w:space="0"/>
            </w:tcBorders>
            <w:vAlign w:val="center"/>
          </w:tcPr>
          <w:p w14:paraId="0C8A2BE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248,378.88</w:t>
            </w:r>
          </w:p>
        </w:tc>
        <w:tc>
          <w:tcPr>
            <w:tcW w:w="1377" w:type="dxa"/>
            <w:tcBorders>
              <w:top w:val="single" w:color="auto" w:sz="2" w:space="0"/>
              <w:left w:val="single" w:color="auto" w:sz="2" w:space="0"/>
              <w:bottom w:val="single" w:color="auto" w:sz="2" w:space="0"/>
              <w:right w:val="single" w:color="auto" w:sz="2" w:space="0"/>
            </w:tcBorders>
            <w:vAlign w:val="center"/>
          </w:tcPr>
          <w:p w14:paraId="577098D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133,382.56</w:t>
            </w:r>
          </w:p>
        </w:tc>
        <w:tc>
          <w:tcPr>
            <w:tcW w:w="1377" w:type="dxa"/>
            <w:tcBorders>
              <w:top w:val="single" w:color="auto" w:sz="2" w:space="0"/>
              <w:left w:val="single" w:color="auto" w:sz="2" w:space="0"/>
              <w:bottom w:val="single" w:color="auto" w:sz="2" w:space="0"/>
              <w:right w:val="single" w:color="auto" w:sz="2" w:space="0"/>
            </w:tcBorders>
            <w:vAlign w:val="center"/>
          </w:tcPr>
          <w:p w14:paraId="5144BB9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12,021,214.18</w:t>
            </w:r>
          </w:p>
        </w:tc>
      </w:tr>
      <w:tr w14:paraId="07608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15AD5F3">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D890FCB">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6BD78F6">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4B1A252">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2E3FCE1">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E5B6F57">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BA8C167">
            <w:pPr>
              <w:spacing w:before="0" w:after="0" w:line="240" w:lineRule="exact"/>
              <w:jc w:val="right"/>
              <w:rPr>
                <w:rFonts w:hint="default" w:ascii="Times New Roman" w:hAnsi="Times New Roman" w:eastAsia="宋体" w:cs="Times New Roman"/>
                <w:sz w:val="18"/>
                <w:szCs w:val="18"/>
              </w:rPr>
            </w:pPr>
          </w:p>
        </w:tc>
      </w:tr>
      <w:tr w14:paraId="0F773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A9E7F06">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.本期减少金额</w:t>
            </w:r>
          </w:p>
        </w:tc>
        <w:tc>
          <w:tcPr>
            <w:tcW w:w="1377" w:type="dxa"/>
            <w:tcBorders>
              <w:top w:val="single" w:color="auto" w:sz="2" w:space="0"/>
              <w:left w:val="single" w:color="auto" w:sz="2" w:space="0"/>
              <w:bottom w:val="single" w:color="auto" w:sz="2" w:space="0"/>
              <w:right w:val="single" w:color="auto" w:sz="2" w:space="0"/>
            </w:tcBorders>
            <w:vAlign w:val="center"/>
          </w:tcPr>
          <w:p w14:paraId="65D4CE70">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AFD8FB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574,341.08</w:t>
            </w:r>
          </w:p>
        </w:tc>
        <w:tc>
          <w:tcPr>
            <w:tcW w:w="1377" w:type="dxa"/>
            <w:tcBorders>
              <w:top w:val="single" w:color="auto" w:sz="2" w:space="0"/>
              <w:left w:val="single" w:color="auto" w:sz="2" w:space="0"/>
              <w:bottom w:val="single" w:color="auto" w:sz="2" w:space="0"/>
              <w:right w:val="single" w:color="auto" w:sz="2" w:space="0"/>
            </w:tcBorders>
            <w:vAlign w:val="center"/>
          </w:tcPr>
          <w:p w14:paraId="64B777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380,871.55</w:t>
            </w:r>
          </w:p>
        </w:tc>
        <w:tc>
          <w:tcPr>
            <w:tcW w:w="1377" w:type="dxa"/>
            <w:tcBorders>
              <w:top w:val="single" w:color="auto" w:sz="2" w:space="0"/>
              <w:left w:val="single" w:color="auto" w:sz="2" w:space="0"/>
              <w:bottom w:val="single" w:color="auto" w:sz="2" w:space="0"/>
              <w:right w:val="single" w:color="auto" w:sz="2" w:space="0"/>
            </w:tcBorders>
            <w:vAlign w:val="center"/>
          </w:tcPr>
          <w:p w14:paraId="3824FB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408,631.72</w:t>
            </w:r>
          </w:p>
        </w:tc>
        <w:tc>
          <w:tcPr>
            <w:tcW w:w="1377" w:type="dxa"/>
            <w:tcBorders>
              <w:top w:val="single" w:color="auto" w:sz="2" w:space="0"/>
              <w:left w:val="single" w:color="auto" w:sz="2" w:space="0"/>
              <w:bottom w:val="single" w:color="auto" w:sz="2" w:space="0"/>
              <w:right w:val="single" w:color="auto" w:sz="2" w:space="0"/>
            </w:tcBorders>
            <w:vAlign w:val="center"/>
          </w:tcPr>
          <w:p w14:paraId="3F52419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420,872.69</w:t>
            </w:r>
          </w:p>
        </w:tc>
        <w:tc>
          <w:tcPr>
            <w:tcW w:w="1377" w:type="dxa"/>
            <w:tcBorders>
              <w:top w:val="single" w:color="auto" w:sz="2" w:space="0"/>
              <w:left w:val="single" w:color="auto" w:sz="2" w:space="0"/>
              <w:bottom w:val="single" w:color="auto" w:sz="2" w:space="0"/>
              <w:right w:val="single" w:color="auto" w:sz="2" w:space="0"/>
            </w:tcBorders>
            <w:vAlign w:val="center"/>
          </w:tcPr>
          <w:p w14:paraId="4F00B1A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1,784,717.04</w:t>
            </w:r>
          </w:p>
        </w:tc>
      </w:tr>
      <w:tr w14:paraId="63086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18336E8">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）处置或报废</w:t>
            </w:r>
          </w:p>
        </w:tc>
        <w:tc>
          <w:tcPr>
            <w:tcW w:w="1377" w:type="dxa"/>
            <w:tcBorders>
              <w:top w:val="single" w:color="auto" w:sz="2" w:space="0"/>
              <w:left w:val="single" w:color="auto" w:sz="2" w:space="0"/>
              <w:bottom w:val="single" w:color="auto" w:sz="2" w:space="0"/>
              <w:right w:val="single" w:color="auto" w:sz="2" w:space="0"/>
            </w:tcBorders>
            <w:vAlign w:val="center"/>
          </w:tcPr>
          <w:p w14:paraId="43468346">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138C9B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574,341.08</w:t>
            </w:r>
          </w:p>
        </w:tc>
        <w:tc>
          <w:tcPr>
            <w:tcW w:w="1377" w:type="dxa"/>
            <w:tcBorders>
              <w:top w:val="single" w:color="auto" w:sz="2" w:space="0"/>
              <w:left w:val="single" w:color="auto" w:sz="2" w:space="0"/>
              <w:bottom w:val="single" w:color="auto" w:sz="2" w:space="0"/>
              <w:right w:val="single" w:color="auto" w:sz="2" w:space="0"/>
            </w:tcBorders>
            <w:vAlign w:val="center"/>
          </w:tcPr>
          <w:p w14:paraId="74FD65E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380,871.55</w:t>
            </w:r>
          </w:p>
        </w:tc>
        <w:tc>
          <w:tcPr>
            <w:tcW w:w="1377" w:type="dxa"/>
            <w:tcBorders>
              <w:top w:val="single" w:color="auto" w:sz="2" w:space="0"/>
              <w:left w:val="single" w:color="auto" w:sz="2" w:space="0"/>
              <w:bottom w:val="single" w:color="auto" w:sz="2" w:space="0"/>
              <w:right w:val="single" w:color="auto" w:sz="2" w:space="0"/>
            </w:tcBorders>
            <w:vAlign w:val="center"/>
          </w:tcPr>
          <w:p w14:paraId="1D2F21B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408,631.72</w:t>
            </w:r>
          </w:p>
        </w:tc>
        <w:tc>
          <w:tcPr>
            <w:tcW w:w="1377" w:type="dxa"/>
            <w:tcBorders>
              <w:top w:val="single" w:color="auto" w:sz="2" w:space="0"/>
              <w:left w:val="single" w:color="auto" w:sz="2" w:space="0"/>
              <w:bottom w:val="single" w:color="auto" w:sz="2" w:space="0"/>
              <w:right w:val="single" w:color="auto" w:sz="2" w:space="0"/>
            </w:tcBorders>
            <w:vAlign w:val="center"/>
          </w:tcPr>
          <w:p w14:paraId="548CACF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420,872.69</w:t>
            </w:r>
          </w:p>
        </w:tc>
        <w:tc>
          <w:tcPr>
            <w:tcW w:w="1377" w:type="dxa"/>
            <w:tcBorders>
              <w:top w:val="single" w:color="auto" w:sz="2" w:space="0"/>
              <w:left w:val="single" w:color="auto" w:sz="2" w:space="0"/>
              <w:bottom w:val="single" w:color="auto" w:sz="2" w:space="0"/>
              <w:right w:val="single" w:color="auto" w:sz="2" w:space="0"/>
            </w:tcBorders>
            <w:vAlign w:val="center"/>
          </w:tcPr>
          <w:p w14:paraId="08EEABD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1,784,717.04</w:t>
            </w:r>
          </w:p>
        </w:tc>
      </w:tr>
      <w:tr w14:paraId="7F8DD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6F675D3">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576F457">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A51555A">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F539E86">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C742D3E">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CF8D734">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7BF8811">
            <w:pPr>
              <w:spacing w:before="0" w:after="0" w:line="240" w:lineRule="exact"/>
              <w:jc w:val="right"/>
              <w:rPr>
                <w:rFonts w:hint="default" w:ascii="Times New Roman" w:hAnsi="Times New Roman" w:eastAsia="宋体" w:cs="Times New Roman"/>
                <w:sz w:val="18"/>
                <w:szCs w:val="18"/>
              </w:rPr>
            </w:pPr>
          </w:p>
        </w:tc>
      </w:tr>
      <w:tr w14:paraId="59214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BF24AAC">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.期末余额</w:t>
            </w:r>
          </w:p>
        </w:tc>
        <w:tc>
          <w:tcPr>
            <w:tcW w:w="1377" w:type="dxa"/>
            <w:tcBorders>
              <w:top w:val="single" w:color="auto" w:sz="2" w:space="0"/>
              <w:left w:val="single" w:color="auto" w:sz="2" w:space="0"/>
              <w:bottom w:val="single" w:color="auto" w:sz="2" w:space="0"/>
              <w:right w:val="single" w:color="auto" w:sz="2" w:space="0"/>
            </w:tcBorders>
            <w:vAlign w:val="center"/>
          </w:tcPr>
          <w:p w14:paraId="12C4916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93,287,913.02</w:t>
            </w:r>
          </w:p>
        </w:tc>
        <w:tc>
          <w:tcPr>
            <w:tcW w:w="1377" w:type="dxa"/>
            <w:tcBorders>
              <w:top w:val="single" w:color="auto" w:sz="2" w:space="0"/>
              <w:left w:val="single" w:color="auto" w:sz="2" w:space="0"/>
              <w:bottom w:val="single" w:color="auto" w:sz="2" w:space="0"/>
              <w:right w:val="single" w:color="auto" w:sz="2" w:space="0"/>
            </w:tcBorders>
            <w:vAlign w:val="center"/>
          </w:tcPr>
          <w:p w14:paraId="2550DEA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59,612,823.92</w:t>
            </w:r>
          </w:p>
        </w:tc>
        <w:tc>
          <w:tcPr>
            <w:tcW w:w="1377" w:type="dxa"/>
            <w:tcBorders>
              <w:top w:val="single" w:color="auto" w:sz="2" w:space="0"/>
              <w:left w:val="single" w:color="auto" w:sz="2" w:space="0"/>
              <w:bottom w:val="single" w:color="auto" w:sz="2" w:space="0"/>
              <w:right w:val="single" w:color="auto" w:sz="2" w:space="0"/>
            </w:tcBorders>
            <w:vAlign w:val="center"/>
          </w:tcPr>
          <w:p w14:paraId="31DEEF0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5,053,912.99</w:t>
            </w:r>
          </w:p>
        </w:tc>
        <w:tc>
          <w:tcPr>
            <w:tcW w:w="1377" w:type="dxa"/>
            <w:tcBorders>
              <w:top w:val="single" w:color="auto" w:sz="2" w:space="0"/>
              <w:left w:val="single" w:color="auto" w:sz="2" w:space="0"/>
              <w:bottom w:val="single" w:color="auto" w:sz="2" w:space="0"/>
              <w:right w:val="single" w:color="auto" w:sz="2" w:space="0"/>
            </w:tcBorders>
            <w:vAlign w:val="center"/>
          </w:tcPr>
          <w:p w14:paraId="3532312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7,739,503.01</w:t>
            </w:r>
          </w:p>
        </w:tc>
        <w:tc>
          <w:tcPr>
            <w:tcW w:w="1377" w:type="dxa"/>
            <w:tcBorders>
              <w:top w:val="single" w:color="auto" w:sz="2" w:space="0"/>
              <w:left w:val="single" w:color="auto" w:sz="2" w:space="0"/>
              <w:bottom w:val="single" w:color="auto" w:sz="2" w:space="0"/>
              <w:right w:val="single" w:color="auto" w:sz="2" w:space="0"/>
            </w:tcBorders>
            <w:vAlign w:val="center"/>
          </w:tcPr>
          <w:p w14:paraId="688CF1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17,238,882.12</w:t>
            </w:r>
          </w:p>
        </w:tc>
        <w:tc>
          <w:tcPr>
            <w:tcW w:w="1377" w:type="dxa"/>
            <w:tcBorders>
              <w:top w:val="single" w:color="auto" w:sz="2" w:space="0"/>
              <w:left w:val="single" w:color="auto" w:sz="2" w:space="0"/>
              <w:bottom w:val="single" w:color="auto" w:sz="2" w:space="0"/>
              <w:right w:val="single" w:color="auto" w:sz="2" w:space="0"/>
            </w:tcBorders>
            <w:vAlign w:val="center"/>
          </w:tcPr>
          <w:p w14:paraId="04CD05D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182,933,035.06</w:t>
            </w:r>
          </w:p>
        </w:tc>
      </w:tr>
      <w:tr w14:paraId="4F9D1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5AB49A1">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377" w:type="dxa"/>
            <w:tcBorders>
              <w:top w:val="single" w:color="auto" w:sz="2" w:space="0"/>
              <w:left w:val="single" w:color="auto" w:sz="2" w:space="0"/>
              <w:bottom w:val="single" w:color="auto" w:sz="2" w:space="0"/>
              <w:right w:val="single" w:color="auto" w:sz="2" w:space="0"/>
            </w:tcBorders>
            <w:vAlign w:val="center"/>
          </w:tcPr>
          <w:p w14:paraId="301E8374">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A27244F">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8606630">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2F0BDF8">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F8E0A78">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23C09A4">
            <w:pPr>
              <w:spacing w:before="0" w:after="0" w:line="240" w:lineRule="exact"/>
              <w:jc w:val="right"/>
              <w:rPr>
                <w:rFonts w:hint="default" w:ascii="Times New Roman" w:hAnsi="Times New Roman" w:eastAsia="宋体" w:cs="Times New Roman"/>
                <w:sz w:val="18"/>
                <w:szCs w:val="18"/>
              </w:rPr>
            </w:pPr>
          </w:p>
        </w:tc>
      </w:tr>
      <w:tr w14:paraId="70E66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3EC8A87">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.期初余额</w:t>
            </w:r>
          </w:p>
        </w:tc>
        <w:tc>
          <w:tcPr>
            <w:tcW w:w="1377" w:type="dxa"/>
            <w:tcBorders>
              <w:top w:val="single" w:color="auto" w:sz="2" w:space="0"/>
              <w:left w:val="single" w:color="auto" w:sz="2" w:space="0"/>
              <w:bottom w:val="single" w:color="auto" w:sz="2" w:space="0"/>
              <w:right w:val="single" w:color="auto" w:sz="2" w:space="0"/>
            </w:tcBorders>
            <w:vAlign w:val="center"/>
          </w:tcPr>
          <w:p w14:paraId="24B0672A">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580694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3,589,697.14</w:t>
            </w:r>
          </w:p>
        </w:tc>
        <w:tc>
          <w:tcPr>
            <w:tcW w:w="1377" w:type="dxa"/>
            <w:tcBorders>
              <w:top w:val="single" w:color="auto" w:sz="2" w:space="0"/>
              <w:left w:val="single" w:color="auto" w:sz="2" w:space="0"/>
              <w:bottom w:val="single" w:color="auto" w:sz="2" w:space="0"/>
              <w:right w:val="single" w:color="auto" w:sz="2" w:space="0"/>
            </w:tcBorders>
            <w:vAlign w:val="center"/>
          </w:tcPr>
          <w:p w14:paraId="778550E8">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43FDE38">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79A2DC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7,728.13</w:t>
            </w:r>
          </w:p>
        </w:tc>
        <w:tc>
          <w:tcPr>
            <w:tcW w:w="1377" w:type="dxa"/>
            <w:tcBorders>
              <w:top w:val="single" w:color="auto" w:sz="2" w:space="0"/>
              <w:left w:val="single" w:color="auto" w:sz="2" w:space="0"/>
              <w:bottom w:val="single" w:color="auto" w:sz="2" w:space="0"/>
              <w:right w:val="single" w:color="auto" w:sz="2" w:space="0"/>
            </w:tcBorders>
            <w:vAlign w:val="center"/>
          </w:tcPr>
          <w:p w14:paraId="5965FDE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3,597,425.27</w:t>
            </w:r>
          </w:p>
        </w:tc>
      </w:tr>
      <w:tr w14:paraId="0BFD5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21EE95E">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.本期增加金额</w:t>
            </w:r>
          </w:p>
        </w:tc>
        <w:tc>
          <w:tcPr>
            <w:tcW w:w="1377" w:type="dxa"/>
            <w:tcBorders>
              <w:top w:val="single" w:color="auto" w:sz="2" w:space="0"/>
              <w:left w:val="single" w:color="auto" w:sz="2" w:space="0"/>
              <w:bottom w:val="single" w:color="auto" w:sz="2" w:space="0"/>
              <w:right w:val="single" w:color="auto" w:sz="2" w:space="0"/>
            </w:tcBorders>
            <w:vAlign w:val="center"/>
          </w:tcPr>
          <w:p w14:paraId="053B6E2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1A05604">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2F9EF36">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AA9512B">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91D6464">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F2C7F29">
            <w:pPr>
              <w:spacing w:before="0" w:after="0" w:line="240" w:lineRule="exact"/>
              <w:jc w:val="right"/>
              <w:rPr>
                <w:rFonts w:hint="default" w:ascii="Times New Roman" w:hAnsi="Times New Roman" w:eastAsia="宋体" w:cs="Times New Roman"/>
                <w:sz w:val="18"/>
                <w:szCs w:val="18"/>
              </w:rPr>
            </w:pPr>
          </w:p>
        </w:tc>
      </w:tr>
      <w:tr w14:paraId="2D0EF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DFDD6D8">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vAlign w:val="center"/>
          </w:tcPr>
          <w:p w14:paraId="3290E08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BAADF26">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C6B1047">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3CE003A">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BC0E493">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57BD62A">
            <w:pPr>
              <w:spacing w:before="0" w:after="0" w:line="240" w:lineRule="exact"/>
              <w:jc w:val="right"/>
              <w:rPr>
                <w:rFonts w:hint="default" w:ascii="Times New Roman" w:hAnsi="Times New Roman" w:eastAsia="宋体" w:cs="Times New Roman"/>
                <w:sz w:val="18"/>
                <w:szCs w:val="18"/>
              </w:rPr>
            </w:pPr>
          </w:p>
        </w:tc>
      </w:tr>
      <w:tr w14:paraId="1FAD5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766589A">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D8478A2">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D8AB055">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8FD2F48">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739F0B4">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D0891E3">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15C0C56">
            <w:pPr>
              <w:spacing w:before="0" w:after="0" w:line="240" w:lineRule="exact"/>
              <w:jc w:val="right"/>
              <w:rPr>
                <w:rFonts w:hint="default" w:ascii="Times New Roman" w:hAnsi="Times New Roman" w:eastAsia="宋体" w:cs="Times New Roman"/>
                <w:sz w:val="18"/>
                <w:szCs w:val="18"/>
              </w:rPr>
            </w:pPr>
          </w:p>
        </w:tc>
      </w:tr>
      <w:tr w14:paraId="71F4B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2FB9EE0">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.本期减少金额</w:t>
            </w:r>
          </w:p>
        </w:tc>
        <w:tc>
          <w:tcPr>
            <w:tcW w:w="1377" w:type="dxa"/>
            <w:tcBorders>
              <w:top w:val="single" w:color="auto" w:sz="2" w:space="0"/>
              <w:left w:val="single" w:color="auto" w:sz="2" w:space="0"/>
              <w:bottom w:val="single" w:color="auto" w:sz="2" w:space="0"/>
              <w:right w:val="single" w:color="auto" w:sz="2" w:space="0"/>
            </w:tcBorders>
            <w:vAlign w:val="center"/>
          </w:tcPr>
          <w:p w14:paraId="63E876FD">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3D6A366">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3F13AA0">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103143E">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C6FD343">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40F450B">
            <w:pPr>
              <w:spacing w:before="0" w:after="0" w:line="240" w:lineRule="exact"/>
              <w:jc w:val="right"/>
              <w:rPr>
                <w:rFonts w:hint="default" w:ascii="Times New Roman" w:hAnsi="Times New Roman" w:eastAsia="宋体" w:cs="Times New Roman"/>
                <w:sz w:val="18"/>
                <w:szCs w:val="18"/>
              </w:rPr>
            </w:pPr>
          </w:p>
        </w:tc>
      </w:tr>
      <w:tr w14:paraId="52495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BA205BE">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）处置或报废</w:t>
            </w:r>
          </w:p>
        </w:tc>
        <w:tc>
          <w:tcPr>
            <w:tcW w:w="1377" w:type="dxa"/>
            <w:tcBorders>
              <w:top w:val="single" w:color="auto" w:sz="2" w:space="0"/>
              <w:left w:val="single" w:color="auto" w:sz="2" w:space="0"/>
              <w:bottom w:val="single" w:color="auto" w:sz="2" w:space="0"/>
              <w:right w:val="single" w:color="auto" w:sz="2" w:space="0"/>
            </w:tcBorders>
            <w:vAlign w:val="center"/>
          </w:tcPr>
          <w:p w14:paraId="0256D075">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9BD8D9A">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E4BE33C">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A03380B">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C6D66FA">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CA700BF">
            <w:pPr>
              <w:spacing w:before="0" w:after="0" w:line="240" w:lineRule="exact"/>
              <w:jc w:val="right"/>
              <w:rPr>
                <w:rFonts w:hint="default" w:ascii="Times New Roman" w:hAnsi="Times New Roman" w:eastAsia="宋体" w:cs="Times New Roman"/>
                <w:sz w:val="18"/>
                <w:szCs w:val="18"/>
              </w:rPr>
            </w:pPr>
          </w:p>
        </w:tc>
      </w:tr>
      <w:tr w14:paraId="39CBB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D10A88D">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5D7C6FA">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1ACA8DC">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DA50A95">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3537DE2">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174441F">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35DC911">
            <w:pPr>
              <w:spacing w:before="0" w:after="0" w:line="240" w:lineRule="exact"/>
              <w:jc w:val="right"/>
              <w:rPr>
                <w:rFonts w:hint="default" w:ascii="Times New Roman" w:hAnsi="Times New Roman" w:eastAsia="宋体" w:cs="Times New Roman"/>
                <w:sz w:val="18"/>
                <w:szCs w:val="18"/>
              </w:rPr>
            </w:pPr>
          </w:p>
        </w:tc>
      </w:tr>
      <w:tr w14:paraId="23966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4D23572">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.期末余额</w:t>
            </w:r>
          </w:p>
        </w:tc>
        <w:tc>
          <w:tcPr>
            <w:tcW w:w="1377" w:type="dxa"/>
            <w:tcBorders>
              <w:top w:val="single" w:color="auto" w:sz="2" w:space="0"/>
              <w:left w:val="single" w:color="auto" w:sz="2" w:space="0"/>
              <w:bottom w:val="single" w:color="auto" w:sz="2" w:space="0"/>
              <w:right w:val="single" w:color="auto" w:sz="2" w:space="0"/>
            </w:tcBorders>
            <w:vAlign w:val="center"/>
          </w:tcPr>
          <w:p w14:paraId="18AA7A5E">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D8E172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3,589,697.14</w:t>
            </w:r>
          </w:p>
        </w:tc>
        <w:tc>
          <w:tcPr>
            <w:tcW w:w="1377" w:type="dxa"/>
            <w:tcBorders>
              <w:top w:val="single" w:color="auto" w:sz="2" w:space="0"/>
              <w:left w:val="single" w:color="auto" w:sz="2" w:space="0"/>
              <w:bottom w:val="single" w:color="auto" w:sz="2" w:space="0"/>
              <w:right w:val="single" w:color="auto" w:sz="2" w:space="0"/>
            </w:tcBorders>
            <w:vAlign w:val="center"/>
          </w:tcPr>
          <w:p w14:paraId="7F8D889F">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1C79CB1">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C6DD4F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7,728.13</w:t>
            </w:r>
          </w:p>
        </w:tc>
        <w:tc>
          <w:tcPr>
            <w:tcW w:w="1377" w:type="dxa"/>
            <w:tcBorders>
              <w:top w:val="single" w:color="auto" w:sz="2" w:space="0"/>
              <w:left w:val="single" w:color="auto" w:sz="2" w:space="0"/>
              <w:bottom w:val="single" w:color="auto" w:sz="2" w:space="0"/>
              <w:right w:val="single" w:color="auto" w:sz="2" w:space="0"/>
            </w:tcBorders>
            <w:vAlign w:val="center"/>
          </w:tcPr>
          <w:p w14:paraId="3D883DC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3,597,425.27</w:t>
            </w:r>
          </w:p>
        </w:tc>
      </w:tr>
      <w:tr w14:paraId="153AE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C081C03">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377" w:type="dxa"/>
            <w:tcBorders>
              <w:top w:val="single" w:color="auto" w:sz="2" w:space="0"/>
              <w:left w:val="single" w:color="auto" w:sz="2" w:space="0"/>
              <w:bottom w:val="single" w:color="auto" w:sz="2" w:space="0"/>
              <w:right w:val="single" w:color="auto" w:sz="2" w:space="0"/>
            </w:tcBorders>
            <w:vAlign w:val="center"/>
          </w:tcPr>
          <w:p w14:paraId="261DC38B">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94225DB">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C13DFB4">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63449C1">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2708388">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A262D05">
            <w:pPr>
              <w:spacing w:before="0" w:after="0" w:line="240" w:lineRule="exact"/>
              <w:jc w:val="right"/>
              <w:rPr>
                <w:rFonts w:hint="default" w:ascii="Times New Roman" w:hAnsi="Times New Roman" w:eastAsia="宋体" w:cs="Times New Roman"/>
                <w:sz w:val="18"/>
                <w:szCs w:val="18"/>
              </w:rPr>
            </w:pPr>
          </w:p>
        </w:tc>
      </w:tr>
      <w:tr w14:paraId="20CCC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10F2878">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.期末账面价值</w:t>
            </w:r>
          </w:p>
        </w:tc>
        <w:tc>
          <w:tcPr>
            <w:tcW w:w="1377" w:type="dxa"/>
            <w:tcBorders>
              <w:top w:val="single" w:color="auto" w:sz="2" w:space="0"/>
              <w:left w:val="single" w:color="auto" w:sz="2" w:space="0"/>
              <w:bottom w:val="single" w:color="auto" w:sz="2" w:space="0"/>
              <w:right w:val="single" w:color="auto" w:sz="2" w:space="0"/>
            </w:tcBorders>
            <w:vAlign w:val="center"/>
          </w:tcPr>
          <w:p w14:paraId="7C4A37C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299,654,221.07</w:t>
            </w:r>
          </w:p>
        </w:tc>
        <w:tc>
          <w:tcPr>
            <w:tcW w:w="1377" w:type="dxa"/>
            <w:tcBorders>
              <w:top w:val="single" w:color="auto" w:sz="2" w:space="0"/>
              <w:left w:val="single" w:color="auto" w:sz="2" w:space="0"/>
              <w:bottom w:val="single" w:color="auto" w:sz="2" w:space="0"/>
              <w:right w:val="single" w:color="auto" w:sz="2" w:space="0"/>
            </w:tcBorders>
            <w:vAlign w:val="center"/>
          </w:tcPr>
          <w:p w14:paraId="4105CB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7,775,293.48</w:t>
            </w:r>
          </w:p>
        </w:tc>
        <w:tc>
          <w:tcPr>
            <w:tcW w:w="1377" w:type="dxa"/>
            <w:tcBorders>
              <w:top w:val="single" w:color="auto" w:sz="2" w:space="0"/>
              <w:left w:val="single" w:color="auto" w:sz="2" w:space="0"/>
              <w:bottom w:val="single" w:color="auto" w:sz="2" w:space="0"/>
              <w:right w:val="single" w:color="auto" w:sz="2" w:space="0"/>
            </w:tcBorders>
            <w:vAlign w:val="center"/>
          </w:tcPr>
          <w:p w14:paraId="44D8443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465,304.20</w:t>
            </w:r>
          </w:p>
        </w:tc>
        <w:tc>
          <w:tcPr>
            <w:tcW w:w="1377" w:type="dxa"/>
            <w:tcBorders>
              <w:top w:val="single" w:color="auto" w:sz="2" w:space="0"/>
              <w:left w:val="single" w:color="auto" w:sz="2" w:space="0"/>
              <w:bottom w:val="single" w:color="auto" w:sz="2" w:space="0"/>
              <w:right w:val="single" w:color="auto" w:sz="2" w:space="0"/>
            </w:tcBorders>
            <w:vAlign w:val="center"/>
          </w:tcPr>
          <w:p w14:paraId="70E34D7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770,782.47</w:t>
            </w:r>
          </w:p>
        </w:tc>
        <w:tc>
          <w:tcPr>
            <w:tcW w:w="1377" w:type="dxa"/>
            <w:tcBorders>
              <w:top w:val="single" w:color="auto" w:sz="2" w:space="0"/>
              <w:left w:val="single" w:color="auto" w:sz="2" w:space="0"/>
              <w:bottom w:val="single" w:color="auto" w:sz="2" w:space="0"/>
              <w:right w:val="single" w:color="auto" w:sz="2" w:space="0"/>
            </w:tcBorders>
            <w:vAlign w:val="center"/>
          </w:tcPr>
          <w:p w14:paraId="31A6AEC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1,130,224.60</w:t>
            </w:r>
          </w:p>
        </w:tc>
        <w:tc>
          <w:tcPr>
            <w:tcW w:w="1377" w:type="dxa"/>
            <w:tcBorders>
              <w:top w:val="single" w:color="auto" w:sz="2" w:space="0"/>
              <w:left w:val="single" w:color="auto" w:sz="2" w:space="0"/>
              <w:bottom w:val="single" w:color="auto" w:sz="2" w:space="0"/>
              <w:right w:val="single" w:color="auto" w:sz="2" w:space="0"/>
            </w:tcBorders>
            <w:vAlign w:val="center"/>
          </w:tcPr>
          <w:p w14:paraId="5E2A025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309,795,825.82</w:t>
            </w:r>
          </w:p>
        </w:tc>
      </w:tr>
      <w:tr w14:paraId="41FF1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8A2E169">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.期初账面价值</w:t>
            </w:r>
          </w:p>
        </w:tc>
        <w:tc>
          <w:tcPr>
            <w:tcW w:w="1377" w:type="dxa"/>
            <w:tcBorders>
              <w:top w:val="single" w:color="auto" w:sz="2" w:space="0"/>
              <w:left w:val="single" w:color="auto" w:sz="2" w:space="0"/>
              <w:bottom w:val="single" w:color="auto" w:sz="2" w:space="0"/>
              <w:right w:val="single" w:color="auto" w:sz="2" w:space="0"/>
            </w:tcBorders>
            <w:vAlign w:val="center"/>
          </w:tcPr>
          <w:p w14:paraId="47E2663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309,441,295.40</w:t>
            </w:r>
          </w:p>
        </w:tc>
        <w:tc>
          <w:tcPr>
            <w:tcW w:w="1377" w:type="dxa"/>
            <w:tcBorders>
              <w:top w:val="single" w:color="auto" w:sz="2" w:space="0"/>
              <w:left w:val="single" w:color="auto" w:sz="2" w:space="0"/>
              <w:bottom w:val="single" w:color="auto" w:sz="2" w:space="0"/>
              <w:right w:val="single" w:color="auto" w:sz="2" w:space="0"/>
            </w:tcBorders>
            <w:vAlign w:val="center"/>
          </w:tcPr>
          <w:p w14:paraId="56AE253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7,482,044.65</w:t>
            </w:r>
          </w:p>
        </w:tc>
        <w:tc>
          <w:tcPr>
            <w:tcW w:w="1377" w:type="dxa"/>
            <w:tcBorders>
              <w:top w:val="single" w:color="auto" w:sz="2" w:space="0"/>
              <w:left w:val="single" w:color="auto" w:sz="2" w:space="0"/>
              <w:bottom w:val="single" w:color="auto" w:sz="2" w:space="0"/>
              <w:right w:val="single" w:color="auto" w:sz="2" w:space="0"/>
            </w:tcBorders>
            <w:vAlign w:val="center"/>
          </w:tcPr>
          <w:p w14:paraId="3559C0D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526,249.03</w:t>
            </w:r>
          </w:p>
        </w:tc>
        <w:tc>
          <w:tcPr>
            <w:tcW w:w="1377" w:type="dxa"/>
            <w:tcBorders>
              <w:top w:val="single" w:color="auto" w:sz="2" w:space="0"/>
              <w:left w:val="single" w:color="auto" w:sz="2" w:space="0"/>
              <w:bottom w:val="single" w:color="auto" w:sz="2" w:space="0"/>
              <w:right w:val="single" w:color="auto" w:sz="2" w:space="0"/>
            </w:tcBorders>
            <w:vAlign w:val="center"/>
          </w:tcPr>
          <w:p w14:paraId="0AD6AB1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952,109.57</w:t>
            </w:r>
          </w:p>
        </w:tc>
        <w:tc>
          <w:tcPr>
            <w:tcW w:w="1377" w:type="dxa"/>
            <w:tcBorders>
              <w:top w:val="single" w:color="auto" w:sz="2" w:space="0"/>
              <w:left w:val="single" w:color="auto" w:sz="2" w:space="0"/>
              <w:bottom w:val="single" w:color="auto" w:sz="2" w:space="0"/>
              <w:right w:val="single" w:color="auto" w:sz="2" w:space="0"/>
            </w:tcBorders>
            <w:vAlign w:val="center"/>
          </w:tcPr>
          <w:p w14:paraId="4E3FA72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1,140,117.74</w:t>
            </w:r>
          </w:p>
        </w:tc>
        <w:tc>
          <w:tcPr>
            <w:tcW w:w="1377" w:type="dxa"/>
            <w:tcBorders>
              <w:top w:val="single" w:color="auto" w:sz="2" w:space="0"/>
              <w:left w:val="single" w:color="auto" w:sz="2" w:space="0"/>
              <w:bottom w:val="single" w:color="auto" w:sz="2" w:space="0"/>
              <w:right w:val="single" w:color="auto" w:sz="2" w:space="0"/>
            </w:tcBorders>
            <w:vAlign w:val="center"/>
          </w:tcPr>
          <w:p w14:paraId="013E195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319,541,816.39</w:t>
            </w:r>
          </w:p>
        </w:tc>
      </w:tr>
    </w:tbl>
    <w:p w14:paraId="7E76620E">
      <w:pPr>
        <w:keepNext/>
        <w:keepLines/>
        <w:spacing w:before="300" w:after="300" w:line="280" w:lineRule="exact"/>
        <w:jc w:val="left"/>
        <w:outlineLvl w:val="3"/>
        <w:rPr>
          <w:rFonts w:ascii="宋体" w:hAnsi="宋体" w:eastAsia="宋体" w:cs="宋体"/>
          <w:b/>
          <w:bCs/>
          <w:sz w:val="21"/>
          <w:szCs w:val="21"/>
        </w:rPr>
      </w:pPr>
      <w:bookmarkStart w:id="309" w:name="_Toc989119"/>
      <w:r>
        <w:rPr>
          <w:rFonts w:ascii="宋体" w:hAnsi="宋体" w:eastAsia="宋体" w:cs="宋体"/>
          <w:b/>
          <w:bCs/>
          <w:sz w:val="21"/>
          <w:szCs w:val="21"/>
        </w:rPr>
        <w:t>（</w:t>
      </w:r>
      <w:r>
        <w:rPr>
          <w:rFonts w:hint="default" w:ascii="Times New Roman" w:hAnsi="Times New Roman" w:eastAsia="宋体" w:cs="Times New Roman"/>
          <w:b/>
          <w:bCs/>
          <w:sz w:val="21"/>
          <w:szCs w:val="21"/>
        </w:rPr>
        <w:t>2</w:t>
      </w:r>
      <w:r>
        <w:rPr>
          <w:rFonts w:ascii="宋体" w:hAnsi="宋体" w:eastAsia="宋体" w:cs="宋体"/>
          <w:b/>
          <w:bCs/>
          <w:sz w:val="21"/>
          <w:szCs w:val="21"/>
        </w:rPr>
        <w:t>） 未办妥产权证书的固定资产情况</w:t>
      </w:r>
      <w:bookmarkEnd w:id="309"/>
    </w:p>
    <w:p w14:paraId="242D950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FD94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EEFCF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F4AF33">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0C998B">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r w14:paraId="6D7B6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D8B04C3">
            <w:pPr>
              <w:spacing w:before="0" w:after="0" w:line="240" w:lineRule="exact"/>
              <w:jc w:val="left"/>
              <w:rPr>
                <w:rFonts w:ascii="宋体" w:hAnsi="宋体" w:eastAsia="宋体" w:cs="宋体"/>
                <w:sz w:val="18"/>
                <w:szCs w:val="18"/>
              </w:rPr>
            </w:pPr>
            <w:r>
              <w:rPr>
                <w:rFonts w:ascii="宋体" w:hAnsi="宋体" w:eastAsia="宋体" w:cs="宋体"/>
                <w:sz w:val="18"/>
                <w:szCs w:val="18"/>
              </w:rPr>
              <w:t>冠昊生物产业园一期配套自建工程项目</w:t>
            </w:r>
          </w:p>
        </w:tc>
        <w:tc>
          <w:tcPr>
            <w:tcW w:w="3213" w:type="dxa"/>
            <w:tcBorders>
              <w:top w:val="single" w:color="auto" w:sz="2" w:space="0"/>
              <w:left w:val="single" w:color="auto" w:sz="2" w:space="0"/>
              <w:bottom w:val="single" w:color="auto" w:sz="2" w:space="0"/>
              <w:right w:val="single" w:color="auto" w:sz="2" w:space="0"/>
            </w:tcBorders>
            <w:vAlign w:val="center"/>
          </w:tcPr>
          <w:p w14:paraId="616657AC">
            <w:pPr>
              <w:spacing w:before="0" w:after="0" w:line="240" w:lineRule="exact"/>
              <w:jc w:val="right"/>
              <w:rPr>
                <w:rFonts w:ascii="宋体" w:hAnsi="宋体" w:eastAsia="宋体" w:cs="宋体"/>
                <w:sz w:val="18"/>
                <w:szCs w:val="18"/>
              </w:rPr>
            </w:pPr>
            <w:r>
              <w:rPr>
                <w:rFonts w:hint="default" w:ascii="Times New Roman" w:hAnsi="Times New Roman" w:eastAsia="宋体" w:cs="Times New Roman"/>
                <w:sz w:val="18"/>
                <w:szCs w:val="18"/>
              </w:rPr>
              <w:t>83,779,434.69</w:t>
            </w:r>
          </w:p>
        </w:tc>
        <w:tc>
          <w:tcPr>
            <w:tcW w:w="3213" w:type="dxa"/>
            <w:tcBorders>
              <w:top w:val="single" w:color="auto" w:sz="2" w:space="0"/>
              <w:left w:val="single" w:color="auto" w:sz="2" w:space="0"/>
              <w:bottom w:val="single" w:color="auto" w:sz="2" w:space="0"/>
              <w:right w:val="single" w:color="auto" w:sz="2" w:space="0"/>
            </w:tcBorders>
            <w:vAlign w:val="center"/>
          </w:tcPr>
          <w:p w14:paraId="58CBFF92">
            <w:pPr>
              <w:spacing w:before="0" w:after="0" w:line="240" w:lineRule="exact"/>
              <w:jc w:val="left"/>
              <w:rPr>
                <w:rFonts w:ascii="宋体" w:hAnsi="宋体" w:eastAsia="宋体" w:cs="宋体"/>
                <w:sz w:val="18"/>
                <w:szCs w:val="18"/>
              </w:rPr>
            </w:pPr>
            <w:r>
              <w:rPr>
                <w:rFonts w:ascii="宋体" w:hAnsi="宋体" w:eastAsia="宋体" w:cs="宋体"/>
                <w:sz w:val="18"/>
                <w:szCs w:val="18"/>
              </w:rPr>
              <w:t>已提交资料申请办理</w:t>
            </w:r>
          </w:p>
        </w:tc>
      </w:tr>
    </w:tbl>
    <w:p w14:paraId="78543593">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0D516F15">
      <w:pPr>
        <w:pStyle w:val="3"/>
        <w:keepNext/>
        <w:keepLines/>
        <w:spacing w:before="300" w:after="300" w:line="280" w:lineRule="exact"/>
        <w:jc w:val="left"/>
        <w:outlineLvl w:val="2"/>
        <w:rPr>
          <w:rFonts w:ascii="宋体" w:hAnsi="宋体" w:eastAsia="宋体" w:cs="宋体"/>
          <w:b/>
          <w:bCs/>
          <w:sz w:val="21"/>
          <w:szCs w:val="21"/>
        </w:rPr>
      </w:pPr>
      <w:bookmarkStart w:id="310" w:name="_Toc989120"/>
      <w:r>
        <w:rPr>
          <w:rFonts w:hint="default" w:ascii="Times New Roman" w:hAnsi="Times New Roman" w:eastAsia="宋体" w:cs="Times New Roman"/>
          <w:b/>
          <w:bCs/>
          <w:sz w:val="21"/>
          <w:szCs w:val="21"/>
        </w:rPr>
        <w:t>11</w:t>
      </w:r>
      <w:r>
        <w:rPr>
          <w:rFonts w:ascii="宋体" w:hAnsi="宋体" w:eastAsia="宋体" w:cs="宋体"/>
          <w:b/>
          <w:bCs/>
          <w:sz w:val="21"/>
          <w:szCs w:val="21"/>
        </w:rPr>
        <w:t>、在建工程</w:t>
      </w:r>
      <w:bookmarkEnd w:id="310"/>
    </w:p>
    <w:p w14:paraId="449C73F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99A2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53270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7EC93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4F2159">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3C21E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17552D">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14:paraId="2B2F291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18,025,727.44</w:t>
            </w:r>
          </w:p>
        </w:tc>
        <w:tc>
          <w:tcPr>
            <w:tcW w:w="3213" w:type="dxa"/>
            <w:tcBorders>
              <w:top w:val="single" w:color="auto" w:sz="2" w:space="0"/>
              <w:left w:val="single" w:color="auto" w:sz="2" w:space="0"/>
              <w:bottom w:val="single" w:color="auto" w:sz="2" w:space="0"/>
              <w:right w:val="single" w:color="auto" w:sz="2" w:space="0"/>
            </w:tcBorders>
            <w:vAlign w:val="center"/>
          </w:tcPr>
          <w:p w14:paraId="780A643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2,542,364.88</w:t>
            </w:r>
          </w:p>
        </w:tc>
      </w:tr>
      <w:tr w14:paraId="4473D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F13B2B">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669EDB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18,025,727.44</w:t>
            </w:r>
          </w:p>
        </w:tc>
        <w:tc>
          <w:tcPr>
            <w:tcW w:w="3213" w:type="dxa"/>
            <w:tcBorders>
              <w:top w:val="single" w:color="auto" w:sz="2" w:space="0"/>
              <w:left w:val="single" w:color="auto" w:sz="2" w:space="0"/>
              <w:bottom w:val="single" w:color="auto" w:sz="2" w:space="0"/>
              <w:right w:val="single" w:color="auto" w:sz="2" w:space="0"/>
            </w:tcBorders>
            <w:vAlign w:val="center"/>
          </w:tcPr>
          <w:p w14:paraId="0DF882D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2,542,364.88</w:t>
            </w:r>
          </w:p>
        </w:tc>
      </w:tr>
    </w:tbl>
    <w:p w14:paraId="569DB700">
      <w:pPr>
        <w:keepNext/>
        <w:keepLines/>
        <w:spacing w:before="300" w:after="300" w:line="280" w:lineRule="exact"/>
        <w:jc w:val="left"/>
        <w:outlineLvl w:val="3"/>
        <w:rPr>
          <w:rFonts w:ascii="宋体" w:hAnsi="宋体" w:eastAsia="宋体" w:cs="宋体"/>
          <w:b/>
          <w:bCs/>
          <w:sz w:val="21"/>
          <w:szCs w:val="21"/>
        </w:rPr>
      </w:pPr>
      <w:bookmarkStart w:id="311" w:name="_Toc989121"/>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在建工程情况</w:t>
      </w:r>
      <w:bookmarkEnd w:id="311"/>
    </w:p>
    <w:p w14:paraId="7645A31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47B44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4C00473">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602267D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54EA2AC8">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191BC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CF17580"/>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73469A2">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D39D164">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1A585EC">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F3DEAAC">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C66F443">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76742CB">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35705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5A484E1">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生命与健康产业园（一期）项目</w:t>
            </w:r>
          </w:p>
        </w:tc>
        <w:tc>
          <w:tcPr>
            <w:tcW w:w="1377" w:type="dxa"/>
            <w:tcBorders>
              <w:top w:val="single" w:color="auto" w:sz="2" w:space="0"/>
              <w:left w:val="single" w:color="auto" w:sz="2" w:space="0"/>
              <w:bottom w:val="single" w:color="auto" w:sz="2" w:space="0"/>
              <w:right w:val="single" w:color="auto" w:sz="2" w:space="0"/>
            </w:tcBorders>
            <w:vAlign w:val="center"/>
          </w:tcPr>
          <w:p w14:paraId="3C85878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2,542,364.88</w:t>
            </w:r>
          </w:p>
        </w:tc>
        <w:tc>
          <w:tcPr>
            <w:tcW w:w="1377" w:type="dxa"/>
            <w:tcBorders>
              <w:top w:val="single" w:color="auto" w:sz="2" w:space="0"/>
              <w:left w:val="single" w:color="auto" w:sz="2" w:space="0"/>
              <w:bottom w:val="single" w:color="auto" w:sz="2" w:space="0"/>
              <w:right w:val="single" w:color="auto" w:sz="2" w:space="0"/>
            </w:tcBorders>
            <w:vAlign w:val="center"/>
          </w:tcPr>
          <w:p w14:paraId="6C8893C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847A44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2,542,364.88</w:t>
            </w:r>
          </w:p>
        </w:tc>
        <w:tc>
          <w:tcPr>
            <w:tcW w:w="1377" w:type="dxa"/>
            <w:tcBorders>
              <w:top w:val="single" w:color="auto" w:sz="2" w:space="0"/>
              <w:left w:val="single" w:color="auto" w:sz="2" w:space="0"/>
              <w:bottom w:val="single" w:color="auto" w:sz="2" w:space="0"/>
              <w:right w:val="single" w:color="auto" w:sz="2" w:space="0"/>
            </w:tcBorders>
            <w:vAlign w:val="center"/>
          </w:tcPr>
          <w:p w14:paraId="1842F87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2,542,364.88</w:t>
            </w:r>
          </w:p>
        </w:tc>
        <w:tc>
          <w:tcPr>
            <w:tcW w:w="1377" w:type="dxa"/>
            <w:tcBorders>
              <w:top w:val="single" w:color="auto" w:sz="2" w:space="0"/>
              <w:left w:val="single" w:color="auto" w:sz="2" w:space="0"/>
              <w:bottom w:val="single" w:color="auto" w:sz="2" w:space="0"/>
              <w:right w:val="single" w:color="auto" w:sz="2" w:space="0"/>
            </w:tcBorders>
            <w:vAlign w:val="center"/>
          </w:tcPr>
          <w:p w14:paraId="62E0B47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D78BC3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2,542,364.88</w:t>
            </w:r>
          </w:p>
        </w:tc>
      </w:tr>
      <w:tr w14:paraId="606C0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66FA06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天昊中山医药科技项目-乳膏技改项目</w:t>
            </w:r>
          </w:p>
        </w:tc>
        <w:tc>
          <w:tcPr>
            <w:tcW w:w="1377" w:type="dxa"/>
            <w:tcBorders>
              <w:top w:val="single" w:color="auto" w:sz="2" w:space="0"/>
              <w:left w:val="single" w:color="auto" w:sz="2" w:space="0"/>
              <w:bottom w:val="single" w:color="auto" w:sz="2" w:space="0"/>
              <w:right w:val="single" w:color="auto" w:sz="2" w:space="0"/>
            </w:tcBorders>
            <w:vAlign w:val="center"/>
          </w:tcPr>
          <w:p w14:paraId="3AE434B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15,483,362.56</w:t>
            </w:r>
          </w:p>
        </w:tc>
        <w:tc>
          <w:tcPr>
            <w:tcW w:w="1377" w:type="dxa"/>
            <w:tcBorders>
              <w:top w:val="single" w:color="auto" w:sz="2" w:space="0"/>
              <w:left w:val="single" w:color="auto" w:sz="2" w:space="0"/>
              <w:bottom w:val="single" w:color="auto" w:sz="2" w:space="0"/>
              <w:right w:val="single" w:color="auto" w:sz="2" w:space="0"/>
            </w:tcBorders>
            <w:vAlign w:val="center"/>
          </w:tcPr>
          <w:p w14:paraId="2C4119DD">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FED63E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15,483,362.56</w:t>
            </w:r>
          </w:p>
        </w:tc>
        <w:tc>
          <w:tcPr>
            <w:tcW w:w="1377" w:type="dxa"/>
            <w:tcBorders>
              <w:top w:val="single" w:color="auto" w:sz="2" w:space="0"/>
              <w:left w:val="single" w:color="auto" w:sz="2" w:space="0"/>
              <w:bottom w:val="single" w:color="auto" w:sz="2" w:space="0"/>
              <w:right w:val="single" w:color="auto" w:sz="2" w:space="0"/>
            </w:tcBorders>
            <w:vAlign w:val="center"/>
          </w:tcPr>
          <w:p w14:paraId="7EC6CCBF">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6E99E37">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CAE2F5C">
            <w:pPr>
              <w:spacing w:before="0" w:after="0" w:line="240" w:lineRule="exact"/>
              <w:jc w:val="right"/>
              <w:rPr>
                <w:rFonts w:hint="default" w:ascii="Times New Roman" w:hAnsi="Times New Roman" w:eastAsia="宋体" w:cs="Times New Roman"/>
                <w:sz w:val="18"/>
                <w:szCs w:val="18"/>
              </w:rPr>
            </w:pPr>
          </w:p>
        </w:tc>
      </w:tr>
      <w:tr w14:paraId="4A452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ED7AD9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30AC17F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18,025,727.44</w:t>
            </w:r>
          </w:p>
        </w:tc>
        <w:tc>
          <w:tcPr>
            <w:tcW w:w="1377" w:type="dxa"/>
            <w:tcBorders>
              <w:top w:val="single" w:color="auto" w:sz="2" w:space="0"/>
              <w:left w:val="single" w:color="auto" w:sz="2" w:space="0"/>
              <w:bottom w:val="single" w:color="auto" w:sz="2" w:space="0"/>
              <w:right w:val="single" w:color="auto" w:sz="2" w:space="0"/>
            </w:tcBorders>
            <w:vAlign w:val="center"/>
          </w:tcPr>
          <w:p w14:paraId="4A5C4C9A">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CFCA2E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18,025,727.44</w:t>
            </w:r>
          </w:p>
        </w:tc>
        <w:tc>
          <w:tcPr>
            <w:tcW w:w="1377" w:type="dxa"/>
            <w:tcBorders>
              <w:top w:val="single" w:color="auto" w:sz="2" w:space="0"/>
              <w:left w:val="single" w:color="auto" w:sz="2" w:space="0"/>
              <w:bottom w:val="single" w:color="auto" w:sz="2" w:space="0"/>
              <w:right w:val="single" w:color="auto" w:sz="2" w:space="0"/>
            </w:tcBorders>
            <w:vAlign w:val="center"/>
          </w:tcPr>
          <w:p w14:paraId="07E85E6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2,542,364.88</w:t>
            </w:r>
          </w:p>
        </w:tc>
        <w:tc>
          <w:tcPr>
            <w:tcW w:w="1377" w:type="dxa"/>
            <w:tcBorders>
              <w:top w:val="single" w:color="auto" w:sz="2" w:space="0"/>
              <w:left w:val="single" w:color="auto" w:sz="2" w:space="0"/>
              <w:bottom w:val="single" w:color="auto" w:sz="2" w:space="0"/>
              <w:right w:val="single" w:color="auto" w:sz="2" w:space="0"/>
            </w:tcBorders>
            <w:vAlign w:val="center"/>
          </w:tcPr>
          <w:p w14:paraId="4A5308C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46656A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2,542,364.88</w:t>
            </w:r>
          </w:p>
        </w:tc>
      </w:tr>
    </w:tbl>
    <w:p w14:paraId="5C66228B">
      <w:pPr>
        <w:keepNext/>
        <w:keepLines/>
        <w:spacing w:before="300" w:after="300" w:line="280" w:lineRule="exact"/>
        <w:jc w:val="left"/>
        <w:outlineLvl w:val="3"/>
        <w:rPr>
          <w:rFonts w:ascii="宋体" w:hAnsi="宋体" w:eastAsia="宋体" w:cs="宋体"/>
          <w:b/>
          <w:bCs/>
          <w:sz w:val="21"/>
          <w:szCs w:val="21"/>
        </w:rPr>
      </w:pPr>
      <w:bookmarkStart w:id="312" w:name="_Toc989122"/>
      <w:r>
        <w:rPr>
          <w:rFonts w:hint="default" w:ascii="Times New Roman" w:hAnsi="Times New Roman" w:eastAsia="宋体" w:cs="Times New Roman"/>
          <w:b/>
          <w:bCs/>
          <w:sz w:val="21"/>
          <w:szCs w:val="21"/>
        </w:rPr>
        <w:t>（2） 重要在建工程项目本期变动情况</w:t>
      </w:r>
      <w:bookmarkEnd w:id="312"/>
    </w:p>
    <w:p w14:paraId="5E03241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7"/>
        <w:gridCol w:w="637"/>
        <w:gridCol w:w="637"/>
        <w:gridCol w:w="637"/>
        <w:gridCol w:w="637"/>
        <w:gridCol w:w="637"/>
        <w:gridCol w:w="637"/>
        <w:gridCol w:w="637"/>
        <w:gridCol w:w="637"/>
        <w:gridCol w:w="637"/>
        <w:gridCol w:w="637"/>
        <w:gridCol w:w="637"/>
        <w:gridCol w:w="2000"/>
      </w:tblGrid>
      <w:tr w14:paraId="7D01E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7C8E303C">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042E765B">
            <w:pPr>
              <w:spacing w:before="40" w:after="40" w:line="240" w:lineRule="exact"/>
              <w:jc w:val="center"/>
              <w:rPr>
                <w:rFonts w:ascii="宋体" w:hAnsi="宋体" w:eastAsia="宋体" w:cs="宋体"/>
                <w:sz w:val="18"/>
                <w:szCs w:val="18"/>
              </w:rPr>
            </w:pPr>
            <w:r>
              <w:rPr>
                <w:rFonts w:ascii="宋体" w:hAnsi="宋体" w:eastAsia="宋体" w:cs="宋体"/>
                <w:sz w:val="18"/>
                <w:szCs w:val="18"/>
              </w:rPr>
              <w:t>预算数</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76718334">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4BBF69E3">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7D0A2D9F">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本期转入固定资产金额</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5F763C0B">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本期其他减少金额</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31E3AAE6">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386EE8EE">
            <w:pPr>
              <w:spacing w:before="40" w:after="40" w:line="240" w:lineRule="exact"/>
              <w:jc w:val="center"/>
              <w:rPr>
                <w:rFonts w:ascii="宋体" w:hAnsi="宋体" w:eastAsia="宋体" w:cs="宋体"/>
                <w:sz w:val="18"/>
                <w:szCs w:val="18"/>
              </w:rPr>
            </w:pPr>
            <w:r>
              <w:rPr>
                <w:rFonts w:ascii="宋体" w:hAnsi="宋体" w:eastAsia="宋体" w:cs="宋体"/>
                <w:sz w:val="18"/>
                <w:szCs w:val="18"/>
              </w:rPr>
              <w:t>工程累计投入占预算比例</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37E68050">
            <w:pPr>
              <w:spacing w:before="40" w:after="40" w:line="240" w:lineRule="exact"/>
              <w:jc w:val="center"/>
              <w:rPr>
                <w:rFonts w:ascii="宋体" w:hAnsi="宋体" w:eastAsia="宋体" w:cs="宋体"/>
                <w:sz w:val="18"/>
                <w:szCs w:val="18"/>
              </w:rPr>
            </w:pPr>
            <w:r>
              <w:rPr>
                <w:rFonts w:ascii="宋体" w:hAnsi="宋体" w:eastAsia="宋体" w:cs="宋体"/>
                <w:sz w:val="18"/>
                <w:szCs w:val="18"/>
              </w:rPr>
              <w:t>工程进度</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5D278EE9">
            <w:pPr>
              <w:spacing w:before="40" w:after="40" w:line="240" w:lineRule="exact"/>
              <w:jc w:val="center"/>
              <w:rPr>
                <w:rFonts w:ascii="宋体" w:hAnsi="宋体" w:eastAsia="宋体" w:cs="宋体"/>
                <w:sz w:val="18"/>
                <w:szCs w:val="18"/>
              </w:rPr>
            </w:pPr>
            <w:r>
              <w:rPr>
                <w:rFonts w:ascii="宋体" w:hAnsi="宋体" w:eastAsia="宋体" w:cs="宋体"/>
                <w:sz w:val="18"/>
                <w:szCs w:val="18"/>
              </w:rPr>
              <w:t>利息资本化累计金额</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77053473">
            <w:pPr>
              <w:spacing w:before="40" w:after="40" w:line="240" w:lineRule="exact"/>
              <w:jc w:val="center"/>
              <w:rPr>
                <w:rFonts w:ascii="宋体" w:hAnsi="宋体" w:eastAsia="宋体" w:cs="宋体"/>
                <w:sz w:val="18"/>
                <w:szCs w:val="18"/>
              </w:rPr>
            </w:pPr>
            <w:r>
              <w:rPr>
                <w:rFonts w:ascii="宋体" w:hAnsi="宋体" w:eastAsia="宋体" w:cs="宋体"/>
                <w:sz w:val="18"/>
                <w:szCs w:val="18"/>
              </w:rPr>
              <w:t>其中：本期利息资本化金额</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067134B4">
            <w:pPr>
              <w:spacing w:before="40" w:after="40" w:line="240" w:lineRule="exact"/>
              <w:jc w:val="center"/>
              <w:rPr>
                <w:rFonts w:ascii="宋体" w:hAnsi="宋体" w:eastAsia="宋体" w:cs="宋体"/>
                <w:sz w:val="18"/>
                <w:szCs w:val="18"/>
              </w:rPr>
            </w:pPr>
            <w:r>
              <w:rPr>
                <w:rFonts w:ascii="宋体" w:hAnsi="宋体" w:eastAsia="宋体" w:cs="宋体"/>
                <w:sz w:val="18"/>
                <w:szCs w:val="18"/>
              </w:rPr>
              <w:t>本期利息资本化率</w:t>
            </w:r>
          </w:p>
        </w:tc>
        <w:tc>
          <w:tcPr>
            <w:tcW w:w="2000" w:type="dxa"/>
            <w:tcBorders>
              <w:top w:val="single" w:color="auto" w:sz="2" w:space="0"/>
              <w:left w:val="single" w:color="auto" w:sz="2" w:space="0"/>
              <w:bottom w:val="single" w:color="auto" w:sz="2" w:space="0"/>
              <w:right w:val="single" w:color="auto" w:sz="2" w:space="0"/>
            </w:tcBorders>
            <w:shd w:val="clear" w:color="auto" w:fill="D3D3D3"/>
            <w:vAlign w:val="center"/>
          </w:tcPr>
          <w:p w14:paraId="7B32233B">
            <w:pPr>
              <w:spacing w:before="40" w:after="40" w:line="240" w:lineRule="exact"/>
              <w:jc w:val="center"/>
              <w:rPr>
                <w:rFonts w:ascii="宋体" w:hAnsi="宋体" w:eastAsia="宋体" w:cs="宋体"/>
                <w:sz w:val="18"/>
                <w:szCs w:val="18"/>
              </w:rPr>
            </w:pPr>
            <w:r>
              <w:rPr>
                <w:rFonts w:ascii="宋体" w:hAnsi="宋体" w:eastAsia="宋体" w:cs="宋体"/>
                <w:sz w:val="18"/>
                <w:szCs w:val="18"/>
              </w:rPr>
              <w:t>资金来源</w:t>
            </w:r>
          </w:p>
        </w:tc>
      </w:tr>
      <w:tr w14:paraId="4A051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37" w:type="dxa"/>
            <w:tcBorders>
              <w:top w:val="single" w:color="auto" w:sz="2" w:space="0"/>
              <w:left w:val="single" w:color="auto" w:sz="2" w:space="0"/>
              <w:bottom w:val="single" w:color="auto" w:sz="2" w:space="0"/>
              <w:right w:val="single" w:color="auto" w:sz="2" w:space="0"/>
            </w:tcBorders>
            <w:vAlign w:val="center"/>
          </w:tcPr>
          <w:p w14:paraId="7D7438C5">
            <w:pPr>
              <w:spacing w:before="0" w:after="0" w:line="240" w:lineRule="exact"/>
              <w:jc w:val="left"/>
              <w:rPr>
                <w:rFonts w:ascii="宋体" w:hAnsi="宋体" w:eastAsia="宋体" w:cs="宋体"/>
                <w:sz w:val="18"/>
                <w:szCs w:val="18"/>
              </w:rPr>
            </w:pPr>
            <w:r>
              <w:rPr>
                <w:rFonts w:ascii="宋体" w:hAnsi="宋体" w:eastAsia="宋体" w:cs="宋体"/>
                <w:sz w:val="18"/>
                <w:szCs w:val="18"/>
              </w:rPr>
              <w:t>生命与健康产业园（一期）项目</w:t>
            </w:r>
          </w:p>
        </w:tc>
        <w:tc>
          <w:tcPr>
            <w:tcW w:w="637" w:type="dxa"/>
            <w:tcBorders>
              <w:top w:val="single" w:color="auto" w:sz="2" w:space="0"/>
              <w:left w:val="single" w:color="auto" w:sz="2" w:space="0"/>
              <w:bottom w:val="single" w:color="auto" w:sz="2" w:space="0"/>
              <w:right w:val="single" w:color="auto" w:sz="2" w:space="0"/>
            </w:tcBorders>
            <w:vAlign w:val="center"/>
          </w:tcPr>
          <w:p w14:paraId="1C1D6175">
            <w:pPr>
              <w:spacing w:before="0" w:after="0" w:line="240" w:lineRule="exact"/>
              <w:jc w:val="right"/>
              <w:rPr>
                <w:rFonts w:hint="default" w:ascii="Times New Roman" w:hAnsi="Times New Roman" w:eastAsia="宋体" w:cs="Times New Roman"/>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64DFAFA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2,542,364.88</w:t>
            </w:r>
          </w:p>
        </w:tc>
        <w:tc>
          <w:tcPr>
            <w:tcW w:w="637" w:type="dxa"/>
            <w:tcBorders>
              <w:top w:val="single" w:color="auto" w:sz="2" w:space="0"/>
              <w:left w:val="single" w:color="auto" w:sz="2" w:space="0"/>
              <w:bottom w:val="single" w:color="auto" w:sz="2" w:space="0"/>
              <w:right w:val="single" w:color="auto" w:sz="2" w:space="0"/>
            </w:tcBorders>
            <w:vAlign w:val="center"/>
          </w:tcPr>
          <w:p w14:paraId="595AB988">
            <w:pPr>
              <w:spacing w:before="0" w:after="0" w:line="240" w:lineRule="exact"/>
              <w:jc w:val="right"/>
              <w:rPr>
                <w:rFonts w:hint="default" w:ascii="Times New Roman" w:hAnsi="Times New Roman" w:eastAsia="宋体" w:cs="Times New Roman"/>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61995D2E">
            <w:pPr>
              <w:spacing w:before="0" w:after="0" w:line="240" w:lineRule="exact"/>
              <w:jc w:val="right"/>
              <w:rPr>
                <w:rFonts w:hint="default" w:ascii="Times New Roman" w:hAnsi="Times New Roman" w:eastAsia="宋体" w:cs="Times New Roman"/>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6934CEEE">
            <w:pPr>
              <w:spacing w:before="0" w:after="0" w:line="240" w:lineRule="exact"/>
              <w:jc w:val="right"/>
              <w:rPr>
                <w:rFonts w:hint="default" w:ascii="Times New Roman" w:hAnsi="Times New Roman" w:eastAsia="宋体" w:cs="Times New Roman"/>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2252F52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2,542,364.88</w:t>
            </w:r>
          </w:p>
        </w:tc>
        <w:tc>
          <w:tcPr>
            <w:tcW w:w="637" w:type="dxa"/>
            <w:tcBorders>
              <w:top w:val="single" w:color="auto" w:sz="2" w:space="0"/>
              <w:left w:val="single" w:color="auto" w:sz="2" w:space="0"/>
              <w:bottom w:val="single" w:color="auto" w:sz="2" w:space="0"/>
              <w:right w:val="single" w:color="auto" w:sz="2" w:space="0"/>
            </w:tcBorders>
            <w:vAlign w:val="center"/>
          </w:tcPr>
          <w:p w14:paraId="7C31575C">
            <w:pPr>
              <w:spacing w:before="0" w:after="0" w:line="240" w:lineRule="exact"/>
              <w:jc w:val="right"/>
              <w:rPr>
                <w:rFonts w:hint="default" w:ascii="Times New Roman" w:hAnsi="Times New Roman" w:eastAsia="宋体" w:cs="Times New Roman"/>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7A2CEC4A">
            <w:pPr>
              <w:spacing w:before="0" w:after="0" w:line="240" w:lineRule="exact"/>
              <w:jc w:val="right"/>
              <w:rPr>
                <w:rFonts w:hint="default" w:ascii="Times New Roman" w:hAnsi="Times New Roman" w:eastAsia="宋体" w:cs="Times New Roman"/>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323EEC9A">
            <w:pPr>
              <w:spacing w:before="0" w:after="0" w:line="240" w:lineRule="exact"/>
              <w:jc w:val="right"/>
              <w:rPr>
                <w:rFonts w:hint="default" w:ascii="Times New Roman" w:hAnsi="Times New Roman" w:eastAsia="宋体" w:cs="Times New Roman"/>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67B83E70">
            <w:pPr>
              <w:spacing w:before="0" w:after="0" w:line="240" w:lineRule="exact"/>
              <w:jc w:val="right"/>
              <w:rPr>
                <w:rFonts w:hint="default" w:ascii="Times New Roman" w:hAnsi="Times New Roman" w:eastAsia="宋体" w:cs="Times New Roman"/>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15940803">
            <w:pPr>
              <w:spacing w:before="0" w:after="0" w:line="240" w:lineRule="exact"/>
              <w:jc w:val="right"/>
              <w:rPr>
                <w:rFonts w:hint="default" w:ascii="Times New Roman" w:hAnsi="Times New Roman" w:eastAsia="宋体" w:cs="Times New Roman"/>
                <w:sz w:val="18"/>
                <w:szCs w:val="18"/>
              </w:rPr>
            </w:pPr>
          </w:p>
        </w:tc>
        <w:tc>
          <w:tcPr>
            <w:tcW w:w="2000" w:type="dxa"/>
            <w:tcBorders>
              <w:top w:val="single" w:color="auto" w:sz="2" w:space="0"/>
              <w:left w:val="single" w:color="auto" w:sz="2" w:space="0"/>
              <w:bottom w:val="single" w:color="auto" w:sz="2" w:space="0"/>
              <w:right w:val="single" w:color="auto" w:sz="2" w:space="0"/>
            </w:tcBorders>
            <w:vAlign w:val="center"/>
          </w:tcPr>
          <w:p w14:paraId="0283750C">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r>
      <w:tr w14:paraId="71B88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37" w:type="dxa"/>
            <w:tcBorders>
              <w:top w:val="single" w:color="auto" w:sz="2" w:space="0"/>
              <w:left w:val="single" w:color="auto" w:sz="2" w:space="0"/>
              <w:bottom w:val="single" w:color="auto" w:sz="2" w:space="0"/>
              <w:right w:val="single" w:color="auto" w:sz="2" w:space="0"/>
            </w:tcBorders>
            <w:vAlign w:val="center"/>
          </w:tcPr>
          <w:p w14:paraId="06ACB6F7">
            <w:pPr>
              <w:spacing w:before="0" w:after="0" w:line="240" w:lineRule="exact"/>
              <w:jc w:val="left"/>
              <w:rPr>
                <w:rFonts w:ascii="宋体" w:hAnsi="宋体" w:eastAsia="宋体" w:cs="宋体"/>
                <w:sz w:val="18"/>
                <w:szCs w:val="18"/>
              </w:rPr>
            </w:pPr>
            <w:r>
              <w:rPr>
                <w:rFonts w:ascii="宋体" w:hAnsi="宋体" w:eastAsia="宋体" w:cs="宋体"/>
                <w:sz w:val="18"/>
                <w:szCs w:val="18"/>
              </w:rPr>
              <w:t>天昊中山医药科技项目-乳膏技改项目</w:t>
            </w:r>
          </w:p>
        </w:tc>
        <w:tc>
          <w:tcPr>
            <w:tcW w:w="637" w:type="dxa"/>
            <w:tcBorders>
              <w:top w:val="single" w:color="auto" w:sz="2" w:space="0"/>
              <w:left w:val="single" w:color="auto" w:sz="2" w:space="0"/>
              <w:bottom w:val="single" w:color="auto" w:sz="2" w:space="0"/>
              <w:right w:val="single" w:color="auto" w:sz="2" w:space="0"/>
            </w:tcBorders>
            <w:vAlign w:val="center"/>
          </w:tcPr>
          <w:p w14:paraId="11CB4C8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30,000,000.00</w:t>
            </w:r>
          </w:p>
        </w:tc>
        <w:tc>
          <w:tcPr>
            <w:tcW w:w="637" w:type="dxa"/>
            <w:tcBorders>
              <w:top w:val="single" w:color="auto" w:sz="2" w:space="0"/>
              <w:left w:val="single" w:color="auto" w:sz="2" w:space="0"/>
              <w:bottom w:val="single" w:color="auto" w:sz="2" w:space="0"/>
              <w:right w:val="single" w:color="auto" w:sz="2" w:space="0"/>
            </w:tcBorders>
            <w:vAlign w:val="center"/>
          </w:tcPr>
          <w:p w14:paraId="199C2E02">
            <w:pPr>
              <w:spacing w:before="0" w:after="0" w:line="240" w:lineRule="exact"/>
              <w:jc w:val="right"/>
              <w:rPr>
                <w:rFonts w:hint="default" w:ascii="Times New Roman" w:hAnsi="Times New Roman" w:eastAsia="宋体" w:cs="Times New Roman"/>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23475E6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15,483,362.56</w:t>
            </w:r>
          </w:p>
        </w:tc>
        <w:tc>
          <w:tcPr>
            <w:tcW w:w="637" w:type="dxa"/>
            <w:tcBorders>
              <w:top w:val="single" w:color="auto" w:sz="2" w:space="0"/>
              <w:left w:val="single" w:color="auto" w:sz="2" w:space="0"/>
              <w:bottom w:val="single" w:color="auto" w:sz="2" w:space="0"/>
              <w:right w:val="single" w:color="auto" w:sz="2" w:space="0"/>
            </w:tcBorders>
            <w:vAlign w:val="center"/>
          </w:tcPr>
          <w:p w14:paraId="7BF1AE80">
            <w:pPr>
              <w:spacing w:before="0" w:after="0" w:line="240" w:lineRule="exact"/>
              <w:jc w:val="right"/>
              <w:rPr>
                <w:rFonts w:hint="default" w:ascii="Times New Roman" w:hAnsi="Times New Roman" w:eastAsia="宋体" w:cs="Times New Roman"/>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28A9BA40">
            <w:pPr>
              <w:spacing w:before="0" w:after="0" w:line="240" w:lineRule="exact"/>
              <w:jc w:val="right"/>
              <w:rPr>
                <w:rFonts w:hint="default" w:ascii="Times New Roman" w:hAnsi="Times New Roman" w:eastAsia="宋体" w:cs="Times New Roman"/>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680CE8E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15,483,362.56</w:t>
            </w:r>
          </w:p>
        </w:tc>
        <w:tc>
          <w:tcPr>
            <w:tcW w:w="637" w:type="dxa"/>
            <w:tcBorders>
              <w:top w:val="single" w:color="auto" w:sz="2" w:space="0"/>
              <w:left w:val="single" w:color="auto" w:sz="2" w:space="0"/>
              <w:bottom w:val="single" w:color="auto" w:sz="2" w:space="0"/>
              <w:right w:val="single" w:color="auto" w:sz="2" w:space="0"/>
            </w:tcBorders>
            <w:vAlign w:val="center"/>
          </w:tcPr>
          <w:p w14:paraId="747AD96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51.61%</w:t>
            </w:r>
          </w:p>
        </w:tc>
        <w:tc>
          <w:tcPr>
            <w:tcW w:w="637" w:type="dxa"/>
            <w:tcBorders>
              <w:top w:val="single" w:color="auto" w:sz="2" w:space="0"/>
              <w:left w:val="single" w:color="auto" w:sz="2" w:space="0"/>
              <w:bottom w:val="single" w:color="auto" w:sz="2" w:space="0"/>
              <w:right w:val="single" w:color="auto" w:sz="2" w:space="0"/>
            </w:tcBorders>
            <w:vAlign w:val="center"/>
          </w:tcPr>
          <w:p w14:paraId="5593693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65%</w:t>
            </w:r>
          </w:p>
        </w:tc>
        <w:tc>
          <w:tcPr>
            <w:tcW w:w="637" w:type="dxa"/>
            <w:tcBorders>
              <w:top w:val="single" w:color="auto" w:sz="2" w:space="0"/>
              <w:left w:val="single" w:color="auto" w:sz="2" w:space="0"/>
              <w:bottom w:val="single" w:color="auto" w:sz="2" w:space="0"/>
              <w:right w:val="single" w:color="auto" w:sz="2" w:space="0"/>
            </w:tcBorders>
            <w:vAlign w:val="center"/>
          </w:tcPr>
          <w:p w14:paraId="18A3381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31,850.00</w:t>
            </w:r>
          </w:p>
        </w:tc>
        <w:tc>
          <w:tcPr>
            <w:tcW w:w="637" w:type="dxa"/>
            <w:tcBorders>
              <w:top w:val="single" w:color="auto" w:sz="2" w:space="0"/>
              <w:left w:val="single" w:color="auto" w:sz="2" w:space="0"/>
              <w:bottom w:val="single" w:color="auto" w:sz="2" w:space="0"/>
              <w:right w:val="single" w:color="auto" w:sz="2" w:space="0"/>
            </w:tcBorders>
            <w:vAlign w:val="center"/>
          </w:tcPr>
          <w:p w14:paraId="1128EF2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31,850.00</w:t>
            </w:r>
          </w:p>
        </w:tc>
        <w:tc>
          <w:tcPr>
            <w:tcW w:w="637" w:type="dxa"/>
            <w:tcBorders>
              <w:top w:val="single" w:color="auto" w:sz="2" w:space="0"/>
              <w:left w:val="single" w:color="auto" w:sz="2" w:space="0"/>
              <w:bottom w:val="single" w:color="auto" w:sz="2" w:space="0"/>
              <w:right w:val="single" w:color="auto" w:sz="2" w:space="0"/>
            </w:tcBorders>
            <w:vAlign w:val="center"/>
          </w:tcPr>
          <w:p w14:paraId="378AA41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w:t>
            </w:r>
          </w:p>
        </w:tc>
        <w:tc>
          <w:tcPr>
            <w:tcW w:w="2000" w:type="dxa"/>
            <w:tcBorders>
              <w:top w:val="single" w:color="auto" w:sz="2" w:space="0"/>
              <w:left w:val="single" w:color="auto" w:sz="2" w:space="0"/>
              <w:bottom w:val="single" w:color="auto" w:sz="2" w:space="0"/>
              <w:right w:val="single" w:color="auto" w:sz="2" w:space="0"/>
            </w:tcBorders>
            <w:vAlign w:val="center"/>
          </w:tcPr>
          <w:p w14:paraId="1FA67D91">
            <w:pPr>
              <w:spacing w:before="0" w:after="0" w:line="240" w:lineRule="exact"/>
              <w:jc w:val="left"/>
              <w:rPr>
                <w:rFonts w:ascii="宋体" w:hAnsi="宋体" w:eastAsia="宋体" w:cs="宋体"/>
                <w:sz w:val="18"/>
                <w:szCs w:val="18"/>
              </w:rPr>
            </w:pPr>
            <w:r>
              <w:rPr>
                <w:rFonts w:ascii="宋体" w:hAnsi="宋体" w:eastAsia="宋体" w:cs="宋体"/>
                <w:sz w:val="18"/>
                <w:szCs w:val="18"/>
              </w:rPr>
              <w:t>金融机构贷款、其他</w:t>
            </w:r>
          </w:p>
        </w:tc>
      </w:tr>
      <w:tr w14:paraId="171B3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2179A265">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637" w:type="dxa"/>
            <w:tcBorders>
              <w:top w:val="single" w:color="auto" w:sz="2" w:space="0"/>
              <w:left w:val="single" w:color="auto" w:sz="2" w:space="0"/>
              <w:bottom w:val="single" w:color="auto" w:sz="2" w:space="0"/>
              <w:right w:val="single" w:color="auto" w:sz="2" w:space="0"/>
            </w:tcBorders>
            <w:vAlign w:val="center"/>
          </w:tcPr>
          <w:p w14:paraId="37242A1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30,000,000.00</w:t>
            </w:r>
          </w:p>
        </w:tc>
        <w:tc>
          <w:tcPr>
            <w:tcW w:w="637" w:type="dxa"/>
            <w:tcBorders>
              <w:top w:val="single" w:color="auto" w:sz="2" w:space="0"/>
              <w:left w:val="single" w:color="auto" w:sz="2" w:space="0"/>
              <w:bottom w:val="single" w:color="auto" w:sz="2" w:space="0"/>
              <w:right w:val="single" w:color="auto" w:sz="2" w:space="0"/>
            </w:tcBorders>
            <w:vAlign w:val="center"/>
          </w:tcPr>
          <w:p w14:paraId="6AFFED5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2,542,364.88</w:t>
            </w:r>
          </w:p>
        </w:tc>
        <w:tc>
          <w:tcPr>
            <w:tcW w:w="637" w:type="dxa"/>
            <w:tcBorders>
              <w:top w:val="single" w:color="auto" w:sz="2" w:space="0"/>
              <w:left w:val="single" w:color="auto" w:sz="2" w:space="0"/>
              <w:bottom w:val="single" w:color="auto" w:sz="2" w:space="0"/>
              <w:right w:val="single" w:color="auto" w:sz="2" w:space="0"/>
            </w:tcBorders>
            <w:vAlign w:val="center"/>
          </w:tcPr>
          <w:p w14:paraId="6840AA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15,483,362.56</w:t>
            </w:r>
          </w:p>
        </w:tc>
        <w:tc>
          <w:tcPr>
            <w:tcW w:w="637" w:type="dxa"/>
            <w:tcBorders>
              <w:top w:val="single" w:color="auto" w:sz="2" w:space="0"/>
              <w:left w:val="single" w:color="auto" w:sz="2" w:space="0"/>
              <w:bottom w:val="single" w:color="auto" w:sz="2" w:space="0"/>
              <w:right w:val="single" w:color="auto" w:sz="2" w:space="0"/>
            </w:tcBorders>
            <w:vAlign w:val="center"/>
          </w:tcPr>
          <w:p w14:paraId="5C2CBE24">
            <w:pPr>
              <w:spacing w:before="0" w:after="0" w:line="240" w:lineRule="exact"/>
              <w:jc w:val="right"/>
              <w:rPr>
                <w:rFonts w:hint="default" w:ascii="Times New Roman" w:hAnsi="Times New Roman" w:eastAsia="宋体" w:cs="Times New Roman"/>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30013065">
            <w:pPr>
              <w:spacing w:before="0" w:after="0" w:line="240" w:lineRule="exact"/>
              <w:jc w:val="right"/>
              <w:rPr>
                <w:rFonts w:hint="default" w:ascii="Times New Roman" w:hAnsi="Times New Roman" w:eastAsia="宋体" w:cs="Times New Roman"/>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29F8B66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18,025,727.44</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5C331FA9">
            <w:pPr>
              <w:spacing w:before="0" w:after="0" w:line="240" w:lineRule="exact"/>
              <w:jc w:val="right"/>
              <w:rPr>
                <w:rFonts w:hint="default" w:ascii="Times New Roman" w:hAnsi="Times New Roman" w:eastAsia="宋体" w:cs="Times New Roman"/>
                <w:sz w:val="18"/>
                <w:szCs w:val="18"/>
              </w:rPr>
            </w:pP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67A2397A">
            <w:pPr>
              <w:spacing w:before="0" w:after="0" w:line="240" w:lineRule="exact"/>
              <w:jc w:val="right"/>
              <w:rPr>
                <w:rFonts w:hint="default" w:ascii="Times New Roman" w:hAnsi="Times New Roman" w:eastAsia="宋体" w:cs="Times New Roman"/>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3E1928B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31,850.00</w:t>
            </w:r>
          </w:p>
        </w:tc>
        <w:tc>
          <w:tcPr>
            <w:tcW w:w="637" w:type="dxa"/>
            <w:tcBorders>
              <w:top w:val="single" w:color="auto" w:sz="2" w:space="0"/>
              <w:left w:val="single" w:color="auto" w:sz="2" w:space="0"/>
              <w:bottom w:val="single" w:color="auto" w:sz="2" w:space="0"/>
              <w:right w:val="single" w:color="auto" w:sz="2" w:space="0"/>
            </w:tcBorders>
            <w:vAlign w:val="center"/>
          </w:tcPr>
          <w:p w14:paraId="7C8252B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31,850.00</w:t>
            </w:r>
          </w:p>
        </w:tc>
        <w:tc>
          <w:tcPr>
            <w:tcW w:w="637" w:type="dxa"/>
            <w:tcBorders>
              <w:top w:val="single" w:color="auto" w:sz="2" w:space="0"/>
              <w:left w:val="single" w:color="auto" w:sz="2" w:space="0"/>
              <w:bottom w:val="single" w:color="auto" w:sz="2" w:space="0"/>
              <w:right w:val="single" w:color="auto" w:sz="2" w:space="0"/>
            </w:tcBorders>
            <w:vAlign w:val="center"/>
          </w:tcPr>
          <w:p w14:paraId="5D744287">
            <w:pPr>
              <w:spacing w:before="0" w:after="0" w:line="240" w:lineRule="exact"/>
              <w:jc w:val="right"/>
              <w:rPr>
                <w:rFonts w:hint="default" w:ascii="Times New Roman" w:hAnsi="Times New Roman" w:eastAsia="宋体" w:cs="Times New Roman"/>
                <w:sz w:val="18"/>
                <w:szCs w:val="18"/>
              </w:rPr>
            </w:pPr>
          </w:p>
        </w:tc>
        <w:tc>
          <w:tcPr>
            <w:tcW w:w="2000" w:type="dxa"/>
            <w:tcBorders>
              <w:top w:val="single" w:color="auto" w:sz="2" w:space="0"/>
              <w:left w:val="single" w:color="auto" w:sz="2" w:space="0"/>
              <w:bottom w:val="single" w:color="auto" w:sz="2" w:space="0"/>
              <w:right w:val="single" w:color="auto" w:sz="2" w:space="0"/>
            </w:tcBorders>
            <w:shd w:val="clear" w:color="auto" w:fill="D3D3D3"/>
            <w:vAlign w:val="center"/>
          </w:tcPr>
          <w:p w14:paraId="11E9D1DF"/>
        </w:tc>
      </w:tr>
    </w:tbl>
    <w:p w14:paraId="05CAA5F0">
      <w:pPr>
        <w:keepNext/>
        <w:keepLines/>
        <w:spacing w:before="300" w:after="300" w:line="280" w:lineRule="exact"/>
        <w:jc w:val="left"/>
        <w:outlineLvl w:val="3"/>
        <w:rPr>
          <w:rFonts w:ascii="宋体" w:hAnsi="宋体" w:eastAsia="宋体" w:cs="宋体"/>
          <w:b/>
          <w:bCs/>
          <w:sz w:val="21"/>
          <w:szCs w:val="21"/>
        </w:rPr>
      </w:pPr>
      <w:bookmarkStart w:id="313" w:name="_Toc989123"/>
      <w:r>
        <w:rPr>
          <w:rFonts w:ascii="宋体" w:hAnsi="宋体" w:eastAsia="宋体" w:cs="宋体"/>
          <w:b/>
          <w:bCs/>
          <w:sz w:val="21"/>
          <w:szCs w:val="21"/>
        </w:rPr>
        <w:t>（</w:t>
      </w:r>
      <w:r>
        <w:rPr>
          <w:rFonts w:hint="default" w:ascii="Times New Roman" w:hAnsi="Times New Roman" w:eastAsia="宋体" w:cs="Times New Roman"/>
          <w:b/>
          <w:bCs/>
          <w:sz w:val="21"/>
          <w:szCs w:val="21"/>
        </w:rPr>
        <w:t>3</w:t>
      </w:r>
      <w:r>
        <w:rPr>
          <w:rFonts w:ascii="宋体" w:hAnsi="宋体" w:eastAsia="宋体" w:cs="宋体"/>
          <w:b/>
          <w:bCs/>
          <w:sz w:val="21"/>
          <w:szCs w:val="21"/>
        </w:rPr>
        <w:t>） 在建工程的减值测试情况</w:t>
      </w:r>
      <w:bookmarkEnd w:id="313"/>
    </w:p>
    <w:p w14:paraId="00301CF0">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6EC4556">
      <w:pPr>
        <w:pStyle w:val="3"/>
        <w:keepNext/>
        <w:keepLines/>
        <w:spacing w:before="300" w:after="300" w:line="280" w:lineRule="exact"/>
        <w:jc w:val="left"/>
        <w:outlineLvl w:val="2"/>
        <w:rPr>
          <w:rFonts w:ascii="宋体" w:hAnsi="宋体" w:eastAsia="宋体" w:cs="宋体"/>
          <w:b/>
          <w:bCs/>
          <w:sz w:val="21"/>
          <w:szCs w:val="21"/>
        </w:rPr>
      </w:pPr>
      <w:bookmarkStart w:id="314" w:name="_Toc989124"/>
      <w:r>
        <w:rPr>
          <w:rFonts w:hint="default" w:ascii="Times New Roman" w:hAnsi="Times New Roman" w:eastAsia="宋体" w:cs="Times New Roman"/>
          <w:b/>
          <w:bCs/>
          <w:sz w:val="21"/>
          <w:szCs w:val="21"/>
        </w:rPr>
        <w:t>12</w:t>
      </w:r>
      <w:r>
        <w:rPr>
          <w:rFonts w:ascii="宋体" w:hAnsi="宋体" w:eastAsia="宋体" w:cs="宋体"/>
          <w:b/>
          <w:bCs/>
          <w:sz w:val="21"/>
          <w:szCs w:val="21"/>
        </w:rPr>
        <w:t>、使用权资产</w:t>
      </w:r>
      <w:bookmarkEnd w:id="314"/>
    </w:p>
    <w:p w14:paraId="44F2A5B8">
      <w:pPr>
        <w:keepNext/>
        <w:keepLines/>
        <w:spacing w:before="300" w:after="300" w:line="280" w:lineRule="exact"/>
        <w:jc w:val="left"/>
        <w:outlineLvl w:val="3"/>
        <w:rPr>
          <w:rFonts w:ascii="宋体" w:hAnsi="宋体" w:eastAsia="宋体" w:cs="宋体"/>
          <w:b/>
          <w:bCs/>
          <w:sz w:val="21"/>
          <w:szCs w:val="21"/>
        </w:rPr>
      </w:pPr>
      <w:bookmarkStart w:id="315" w:name="_Toc989125"/>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使用权资产情况</w:t>
      </w:r>
      <w:bookmarkEnd w:id="315"/>
    </w:p>
    <w:p w14:paraId="4E942AE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AFB5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B1B712">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vAlign w:val="center"/>
          </w:tcPr>
          <w:p w14:paraId="262C4005">
            <w:pPr>
              <w:spacing w:before="0" w:after="0" w:line="240" w:lineRule="exact"/>
              <w:jc w:val="center"/>
              <w:rPr>
                <w:rFonts w:ascii="宋体" w:hAnsi="宋体" w:eastAsia="宋体" w:cs="宋体"/>
                <w:sz w:val="18"/>
                <w:szCs w:val="18"/>
              </w:rPr>
            </w:pPr>
            <w:r>
              <w:rPr>
                <w:rFonts w:ascii="宋体" w:hAnsi="宋体" w:eastAsia="宋体" w:cs="宋体"/>
                <w:sz w:val="18"/>
                <w:szCs w:val="18"/>
              </w:rPr>
              <w:t>房屋及建筑物</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BE5C8D">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57D55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9FA559">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3213" w:type="dxa"/>
            <w:tcBorders>
              <w:top w:val="single" w:color="auto" w:sz="2" w:space="0"/>
              <w:left w:val="single" w:color="auto" w:sz="2" w:space="0"/>
              <w:bottom w:val="single" w:color="auto" w:sz="2" w:space="0"/>
              <w:right w:val="single" w:color="auto" w:sz="2" w:space="0"/>
            </w:tcBorders>
            <w:vAlign w:val="center"/>
          </w:tcPr>
          <w:p w14:paraId="267A9E0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5538CB9">
            <w:pPr>
              <w:spacing w:before="0" w:after="0" w:line="240" w:lineRule="exact"/>
              <w:jc w:val="right"/>
              <w:rPr>
                <w:rFonts w:ascii="宋体" w:hAnsi="宋体" w:eastAsia="宋体" w:cs="宋体"/>
                <w:sz w:val="18"/>
                <w:szCs w:val="18"/>
              </w:rPr>
            </w:pPr>
          </w:p>
        </w:tc>
      </w:tr>
      <w:tr w14:paraId="4BF2B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605306">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.期初余额</w:t>
            </w:r>
          </w:p>
        </w:tc>
        <w:tc>
          <w:tcPr>
            <w:tcW w:w="3213" w:type="dxa"/>
            <w:tcBorders>
              <w:top w:val="single" w:color="auto" w:sz="2" w:space="0"/>
              <w:left w:val="single" w:color="auto" w:sz="2" w:space="0"/>
              <w:bottom w:val="single" w:color="auto" w:sz="2" w:space="0"/>
              <w:right w:val="single" w:color="auto" w:sz="2" w:space="0"/>
            </w:tcBorders>
            <w:vAlign w:val="center"/>
          </w:tcPr>
          <w:p w14:paraId="78697E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30,293,815.52</w:t>
            </w:r>
          </w:p>
        </w:tc>
        <w:tc>
          <w:tcPr>
            <w:tcW w:w="3213" w:type="dxa"/>
            <w:tcBorders>
              <w:top w:val="single" w:color="auto" w:sz="2" w:space="0"/>
              <w:left w:val="single" w:color="auto" w:sz="2" w:space="0"/>
              <w:bottom w:val="single" w:color="auto" w:sz="2" w:space="0"/>
              <w:right w:val="single" w:color="auto" w:sz="2" w:space="0"/>
            </w:tcBorders>
            <w:vAlign w:val="center"/>
          </w:tcPr>
          <w:p w14:paraId="08B2B8D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30,293,815.52</w:t>
            </w:r>
          </w:p>
        </w:tc>
      </w:tr>
      <w:tr w14:paraId="30DD6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2B2B01">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.本期增加金额</w:t>
            </w:r>
          </w:p>
        </w:tc>
        <w:tc>
          <w:tcPr>
            <w:tcW w:w="3213" w:type="dxa"/>
            <w:tcBorders>
              <w:top w:val="single" w:color="auto" w:sz="2" w:space="0"/>
              <w:left w:val="single" w:color="auto" w:sz="2" w:space="0"/>
              <w:bottom w:val="single" w:color="auto" w:sz="2" w:space="0"/>
              <w:right w:val="single" w:color="auto" w:sz="2" w:space="0"/>
            </w:tcBorders>
            <w:vAlign w:val="center"/>
          </w:tcPr>
          <w:p w14:paraId="3568260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0A3021F">
            <w:pPr>
              <w:spacing w:before="0" w:after="0" w:line="240" w:lineRule="exact"/>
              <w:jc w:val="right"/>
              <w:rPr>
                <w:rFonts w:hint="default" w:ascii="Times New Roman" w:hAnsi="Times New Roman" w:eastAsia="宋体" w:cs="Times New Roman"/>
                <w:sz w:val="18"/>
                <w:szCs w:val="18"/>
              </w:rPr>
            </w:pPr>
          </w:p>
        </w:tc>
      </w:tr>
      <w:tr w14:paraId="1BF20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2CE582D">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828B44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D7801D8">
            <w:pPr>
              <w:spacing w:before="0" w:after="0" w:line="240" w:lineRule="exact"/>
              <w:jc w:val="right"/>
              <w:rPr>
                <w:rFonts w:hint="default" w:ascii="Times New Roman" w:hAnsi="Times New Roman" w:eastAsia="宋体" w:cs="Times New Roman"/>
                <w:sz w:val="18"/>
                <w:szCs w:val="18"/>
              </w:rPr>
            </w:pPr>
          </w:p>
        </w:tc>
      </w:tr>
      <w:tr w14:paraId="297C7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E77A36">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.本期减少金额</w:t>
            </w:r>
          </w:p>
        </w:tc>
        <w:tc>
          <w:tcPr>
            <w:tcW w:w="3213" w:type="dxa"/>
            <w:tcBorders>
              <w:top w:val="single" w:color="auto" w:sz="2" w:space="0"/>
              <w:left w:val="single" w:color="auto" w:sz="2" w:space="0"/>
              <w:bottom w:val="single" w:color="auto" w:sz="2" w:space="0"/>
              <w:right w:val="single" w:color="auto" w:sz="2" w:space="0"/>
            </w:tcBorders>
            <w:vAlign w:val="center"/>
          </w:tcPr>
          <w:p w14:paraId="4C68D0F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1,035,372.68</w:t>
            </w:r>
          </w:p>
        </w:tc>
        <w:tc>
          <w:tcPr>
            <w:tcW w:w="3213" w:type="dxa"/>
            <w:tcBorders>
              <w:top w:val="single" w:color="auto" w:sz="2" w:space="0"/>
              <w:left w:val="single" w:color="auto" w:sz="2" w:space="0"/>
              <w:bottom w:val="single" w:color="auto" w:sz="2" w:space="0"/>
              <w:right w:val="single" w:color="auto" w:sz="2" w:space="0"/>
            </w:tcBorders>
            <w:vAlign w:val="center"/>
          </w:tcPr>
          <w:p w14:paraId="69EBBB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1,035,372.68</w:t>
            </w:r>
          </w:p>
        </w:tc>
      </w:tr>
      <w:tr w14:paraId="791A2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F04820A">
            <w:pPr>
              <w:spacing w:before="0" w:after="0" w:line="240" w:lineRule="exact"/>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）变更租赁</w:t>
            </w:r>
          </w:p>
        </w:tc>
        <w:tc>
          <w:tcPr>
            <w:tcW w:w="3213" w:type="dxa"/>
            <w:tcBorders>
              <w:top w:val="single" w:color="auto" w:sz="2" w:space="0"/>
              <w:left w:val="single" w:color="auto" w:sz="2" w:space="0"/>
              <w:bottom w:val="single" w:color="auto" w:sz="2" w:space="0"/>
              <w:right w:val="single" w:color="auto" w:sz="2" w:space="0"/>
            </w:tcBorders>
            <w:vAlign w:val="center"/>
          </w:tcPr>
          <w:p w14:paraId="2A4F8D0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1,035,372.68</w:t>
            </w:r>
          </w:p>
        </w:tc>
        <w:tc>
          <w:tcPr>
            <w:tcW w:w="3213" w:type="dxa"/>
            <w:tcBorders>
              <w:top w:val="single" w:color="auto" w:sz="2" w:space="0"/>
              <w:left w:val="single" w:color="auto" w:sz="2" w:space="0"/>
              <w:bottom w:val="single" w:color="auto" w:sz="2" w:space="0"/>
              <w:right w:val="single" w:color="auto" w:sz="2" w:space="0"/>
            </w:tcBorders>
            <w:vAlign w:val="center"/>
          </w:tcPr>
          <w:p w14:paraId="6DF845D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1,035,372.68</w:t>
            </w:r>
          </w:p>
        </w:tc>
      </w:tr>
      <w:tr w14:paraId="621E3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8EE71C">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vAlign w:val="center"/>
          </w:tcPr>
          <w:p w14:paraId="41651A4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29,258,442.84</w:t>
            </w:r>
          </w:p>
        </w:tc>
        <w:tc>
          <w:tcPr>
            <w:tcW w:w="3213" w:type="dxa"/>
            <w:tcBorders>
              <w:top w:val="single" w:color="auto" w:sz="2" w:space="0"/>
              <w:left w:val="single" w:color="auto" w:sz="2" w:space="0"/>
              <w:bottom w:val="single" w:color="auto" w:sz="2" w:space="0"/>
              <w:right w:val="single" w:color="auto" w:sz="2" w:space="0"/>
            </w:tcBorders>
            <w:vAlign w:val="center"/>
          </w:tcPr>
          <w:p w14:paraId="6BF5955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29,258,442.84</w:t>
            </w:r>
          </w:p>
        </w:tc>
      </w:tr>
      <w:tr w14:paraId="059DB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0AB185">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3213" w:type="dxa"/>
            <w:tcBorders>
              <w:top w:val="single" w:color="auto" w:sz="2" w:space="0"/>
              <w:left w:val="single" w:color="auto" w:sz="2" w:space="0"/>
              <w:bottom w:val="single" w:color="auto" w:sz="2" w:space="0"/>
              <w:right w:val="single" w:color="auto" w:sz="2" w:space="0"/>
            </w:tcBorders>
            <w:vAlign w:val="center"/>
          </w:tcPr>
          <w:p w14:paraId="3EB81E36">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1B6644E">
            <w:pPr>
              <w:spacing w:before="0" w:after="0" w:line="240" w:lineRule="exact"/>
              <w:jc w:val="right"/>
              <w:rPr>
                <w:rFonts w:hint="default" w:ascii="Times New Roman" w:hAnsi="Times New Roman" w:eastAsia="宋体" w:cs="Times New Roman"/>
                <w:sz w:val="18"/>
                <w:szCs w:val="18"/>
              </w:rPr>
            </w:pPr>
          </w:p>
        </w:tc>
      </w:tr>
      <w:tr w14:paraId="7E219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D50E7B">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.期初余额</w:t>
            </w:r>
          </w:p>
        </w:tc>
        <w:tc>
          <w:tcPr>
            <w:tcW w:w="3213" w:type="dxa"/>
            <w:tcBorders>
              <w:top w:val="single" w:color="auto" w:sz="2" w:space="0"/>
              <w:left w:val="single" w:color="auto" w:sz="2" w:space="0"/>
              <w:bottom w:val="single" w:color="auto" w:sz="2" w:space="0"/>
              <w:right w:val="single" w:color="auto" w:sz="2" w:space="0"/>
            </w:tcBorders>
            <w:vAlign w:val="center"/>
          </w:tcPr>
          <w:p w14:paraId="62A0D23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19,910,473.39</w:t>
            </w:r>
          </w:p>
        </w:tc>
        <w:tc>
          <w:tcPr>
            <w:tcW w:w="3213" w:type="dxa"/>
            <w:tcBorders>
              <w:top w:val="single" w:color="auto" w:sz="2" w:space="0"/>
              <w:left w:val="single" w:color="auto" w:sz="2" w:space="0"/>
              <w:bottom w:val="single" w:color="auto" w:sz="2" w:space="0"/>
              <w:right w:val="single" w:color="auto" w:sz="2" w:space="0"/>
            </w:tcBorders>
            <w:vAlign w:val="center"/>
          </w:tcPr>
          <w:p w14:paraId="56CF2A2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19,910,473.39</w:t>
            </w:r>
          </w:p>
        </w:tc>
      </w:tr>
      <w:tr w14:paraId="0BC80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086460">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.本期增加金额</w:t>
            </w:r>
          </w:p>
        </w:tc>
        <w:tc>
          <w:tcPr>
            <w:tcW w:w="3213" w:type="dxa"/>
            <w:tcBorders>
              <w:top w:val="single" w:color="auto" w:sz="2" w:space="0"/>
              <w:left w:val="single" w:color="auto" w:sz="2" w:space="0"/>
              <w:bottom w:val="single" w:color="auto" w:sz="2" w:space="0"/>
              <w:right w:val="single" w:color="auto" w:sz="2" w:space="0"/>
            </w:tcBorders>
            <w:vAlign w:val="center"/>
          </w:tcPr>
          <w:p w14:paraId="278FB5A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4,771,215.97</w:t>
            </w:r>
          </w:p>
        </w:tc>
        <w:tc>
          <w:tcPr>
            <w:tcW w:w="3213" w:type="dxa"/>
            <w:tcBorders>
              <w:top w:val="single" w:color="auto" w:sz="2" w:space="0"/>
              <w:left w:val="single" w:color="auto" w:sz="2" w:space="0"/>
              <w:bottom w:val="single" w:color="auto" w:sz="2" w:space="0"/>
              <w:right w:val="single" w:color="auto" w:sz="2" w:space="0"/>
            </w:tcBorders>
            <w:vAlign w:val="center"/>
          </w:tcPr>
          <w:p w14:paraId="6C7EEF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4,771,215.97</w:t>
            </w:r>
          </w:p>
        </w:tc>
      </w:tr>
      <w:tr w14:paraId="6EF44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484E46">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）计提</w:t>
            </w:r>
          </w:p>
        </w:tc>
        <w:tc>
          <w:tcPr>
            <w:tcW w:w="3213" w:type="dxa"/>
            <w:tcBorders>
              <w:top w:val="single" w:color="auto" w:sz="2" w:space="0"/>
              <w:left w:val="single" w:color="auto" w:sz="2" w:space="0"/>
              <w:bottom w:val="single" w:color="auto" w:sz="2" w:space="0"/>
              <w:right w:val="single" w:color="auto" w:sz="2" w:space="0"/>
            </w:tcBorders>
            <w:vAlign w:val="center"/>
          </w:tcPr>
          <w:p w14:paraId="5A0F151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4,771,215.97</w:t>
            </w:r>
          </w:p>
        </w:tc>
        <w:tc>
          <w:tcPr>
            <w:tcW w:w="3213" w:type="dxa"/>
            <w:tcBorders>
              <w:top w:val="single" w:color="auto" w:sz="2" w:space="0"/>
              <w:left w:val="single" w:color="auto" w:sz="2" w:space="0"/>
              <w:bottom w:val="single" w:color="auto" w:sz="2" w:space="0"/>
              <w:right w:val="single" w:color="auto" w:sz="2" w:space="0"/>
            </w:tcBorders>
            <w:vAlign w:val="center"/>
          </w:tcPr>
          <w:p w14:paraId="74BB87B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4,771,215.97</w:t>
            </w:r>
          </w:p>
        </w:tc>
      </w:tr>
      <w:tr w14:paraId="0A833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2087873">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0EFD6CD">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0E6B171">
            <w:pPr>
              <w:spacing w:before="0" w:after="0" w:line="240" w:lineRule="exact"/>
              <w:jc w:val="right"/>
              <w:rPr>
                <w:rFonts w:hint="default" w:ascii="Times New Roman" w:hAnsi="Times New Roman" w:eastAsia="宋体" w:cs="Times New Roman"/>
                <w:sz w:val="18"/>
                <w:szCs w:val="18"/>
              </w:rPr>
            </w:pPr>
          </w:p>
        </w:tc>
      </w:tr>
      <w:tr w14:paraId="22F73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6044D7">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.本期减少金额</w:t>
            </w:r>
          </w:p>
        </w:tc>
        <w:tc>
          <w:tcPr>
            <w:tcW w:w="3213" w:type="dxa"/>
            <w:tcBorders>
              <w:top w:val="single" w:color="auto" w:sz="2" w:space="0"/>
              <w:left w:val="single" w:color="auto" w:sz="2" w:space="0"/>
              <w:bottom w:val="single" w:color="auto" w:sz="2" w:space="0"/>
              <w:right w:val="single" w:color="auto" w:sz="2" w:space="0"/>
            </w:tcBorders>
            <w:vAlign w:val="center"/>
          </w:tcPr>
          <w:p w14:paraId="07DCA4A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67,525.38</w:t>
            </w:r>
          </w:p>
        </w:tc>
        <w:tc>
          <w:tcPr>
            <w:tcW w:w="3213" w:type="dxa"/>
            <w:tcBorders>
              <w:top w:val="single" w:color="auto" w:sz="2" w:space="0"/>
              <w:left w:val="single" w:color="auto" w:sz="2" w:space="0"/>
              <w:bottom w:val="single" w:color="auto" w:sz="2" w:space="0"/>
              <w:right w:val="single" w:color="auto" w:sz="2" w:space="0"/>
            </w:tcBorders>
            <w:vAlign w:val="center"/>
          </w:tcPr>
          <w:p w14:paraId="6498A06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67,525.38</w:t>
            </w:r>
          </w:p>
        </w:tc>
      </w:tr>
      <w:tr w14:paraId="2646C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AFF0A9">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）处置</w:t>
            </w:r>
          </w:p>
        </w:tc>
        <w:tc>
          <w:tcPr>
            <w:tcW w:w="3213" w:type="dxa"/>
            <w:tcBorders>
              <w:top w:val="single" w:color="auto" w:sz="2" w:space="0"/>
              <w:left w:val="single" w:color="auto" w:sz="2" w:space="0"/>
              <w:bottom w:val="single" w:color="auto" w:sz="2" w:space="0"/>
              <w:right w:val="single" w:color="auto" w:sz="2" w:space="0"/>
            </w:tcBorders>
            <w:vAlign w:val="center"/>
          </w:tcPr>
          <w:p w14:paraId="2C81BB77">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0A59916">
            <w:pPr>
              <w:spacing w:before="0" w:after="0" w:line="240" w:lineRule="exact"/>
              <w:jc w:val="right"/>
              <w:rPr>
                <w:rFonts w:hint="default" w:ascii="Times New Roman" w:hAnsi="Times New Roman" w:eastAsia="宋体" w:cs="Times New Roman"/>
                <w:sz w:val="18"/>
                <w:szCs w:val="18"/>
              </w:rPr>
            </w:pPr>
          </w:p>
        </w:tc>
      </w:tr>
      <w:tr w14:paraId="67957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F9FD90C">
            <w:pPr>
              <w:spacing w:before="0" w:after="0" w:line="240" w:lineRule="exact"/>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2</w:t>
            </w:r>
            <w:r>
              <w:rPr>
                <w:rFonts w:ascii="宋体" w:hAnsi="宋体" w:eastAsia="宋体" w:cs="宋体"/>
                <w:sz w:val="18"/>
                <w:szCs w:val="18"/>
              </w:rPr>
              <w:t>）变更租赁</w:t>
            </w:r>
          </w:p>
        </w:tc>
        <w:tc>
          <w:tcPr>
            <w:tcW w:w="3213" w:type="dxa"/>
            <w:tcBorders>
              <w:top w:val="single" w:color="auto" w:sz="2" w:space="0"/>
              <w:left w:val="single" w:color="auto" w:sz="2" w:space="0"/>
              <w:bottom w:val="single" w:color="auto" w:sz="2" w:space="0"/>
              <w:right w:val="single" w:color="auto" w:sz="2" w:space="0"/>
            </w:tcBorders>
            <w:vAlign w:val="center"/>
          </w:tcPr>
          <w:p w14:paraId="4C50785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67,525.38</w:t>
            </w:r>
          </w:p>
        </w:tc>
        <w:tc>
          <w:tcPr>
            <w:tcW w:w="3213" w:type="dxa"/>
            <w:tcBorders>
              <w:top w:val="single" w:color="auto" w:sz="2" w:space="0"/>
              <w:left w:val="single" w:color="auto" w:sz="2" w:space="0"/>
              <w:bottom w:val="single" w:color="auto" w:sz="2" w:space="0"/>
              <w:right w:val="single" w:color="auto" w:sz="2" w:space="0"/>
            </w:tcBorders>
            <w:vAlign w:val="center"/>
          </w:tcPr>
          <w:p w14:paraId="5759354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67,525.38</w:t>
            </w:r>
          </w:p>
        </w:tc>
      </w:tr>
      <w:tr w14:paraId="60E43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933846">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vAlign w:val="center"/>
          </w:tcPr>
          <w:p w14:paraId="2EF12B0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24,614,163.98</w:t>
            </w:r>
          </w:p>
        </w:tc>
        <w:tc>
          <w:tcPr>
            <w:tcW w:w="3213" w:type="dxa"/>
            <w:tcBorders>
              <w:top w:val="single" w:color="auto" w:sz="2" w:space="0"/>
              <w:left w:val="single" w:color="auto" w:sz="2" w:space="0"/>
              <w:bottom w:val="single" w:color="auto" w:sz="2" w:space="0"/>
              <w:right w:val="single" w:color="auto" w:sz="2" w:space="0"/>
            </w:tcBorders>
            <w:vAlign w:val="center"/>
          </w:tcPr>
          <w:p w14:paraId="737412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24,614,163.98</w:t>
            </w:r>
          </w:p>
        </w:tc>
      </w:tr>
      <w:tr w14:paraId="4DD24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479BA2">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3213" w:type="dxa"/>
            <w:tcBorders>
              <w:top w:val="single" w:color="auto" w:sz="2" w:space="0"/>
              <w:left w:val="single" w:color="auto" w:sz="2" w:space="0"/>
              <w:bottom w:val="single" w:color="auto" w:sz="2" w:space="0"/>
              <w:right w:val="single" w:color="auto" w:sz="2" w:space="0"/>
            </w:tcBorders>
            <w:vAlign w:val="center"/>
          </w:tcPr>
          <w:p w14:paraId="4C8E0DC7">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2B1A241">
            <w:pPr>
              <w:spacing w:before="0" w:after="0" w:line="240" w:lineRule="exact"/>
              <w:jc w:val="right"/>
              <w:rPr>
                <w:rFonts w:hint="default" w:ascii="Times New Roman" w:hAnsi="Times New Roman" w:eastAsia="宋体" w:cs="Times New Roman"/>
                <w:sz w:val="18"/>
                <w:szCs w:val="18"/>
              </w:rPr>
            </w:pPr>
          </w:p>
        </w:tc>
      </w:tr>
      <w:tr w14:paraId="2172C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CC644B">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.期初余额</w:t>
            </w:r>
          </w:p>
        </w:tc>
        <w:tc>
          <w:tcPr>
            <w:tcW w:w="3213" w:type="dxa"/>
            <w:tcBorders>
              <w:top w:val="single" w:color="auto" w:sz="2" w:space="0"/>
              <w:left w:val="single" w:color="auto" w:sz="2" w:space="0"/>
              <w:bottom w:val="single" w:color="auto" w:sz="2" w:space="0"/>
              <w:right w:val="single" w:color="auto" w:sz="2" w:space="0"/>
            </w:tcBorders>
            <w:vAlign w:val="center"/>
          </w:tcPr>
          <w:p w14:paraId="3570A9B0">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3596041">
            <w:pPr>
              <w:spacing w:before="0" w:after="0" w:line="240" w:lineRule="exact"/>
              <w:jc w:val="right"/>
              <w:rPr>
                <w:rFonts w:hint="default" w:ascii="Times New Roman" w:hAnsi="Times New Roman" w:eastAsia="宋体" w:cs="Times New Roman"/>
                <w:sz w:val="18"/>
                <w:szCs w:val="18"/>
              </w:rPr>
            </w:pPr>
          </w:p>
        </w:tc>
      </w:tr>
      <w:tr w14:paraId="1EF24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B5A7A9">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.本期增加金额</w:t>
            </w:r>
          </w:p>
        </w:tc>
        <w:tc>
          <w:tcPr>
            <w:tcW w:w="3213" w:type="dxa"/>
            <w:tcBorders>
              <w:top w:val="single" w:color="auto" w:sz="2" w:space="0"/>
              <w:left w:val="single" w:color="auto" w:sz="2" w:space="0"/>
              <w:bottom w:val="single" w:color="auto" w:sz="2" w:space="0"/>
              <w:right w:val="single" w:color="auto" w:sz="2" w:space="0"/>
            </w:tcBorders>
            <w:vAlign w:val="center"/>
          </w:tcPr>
          <w:p w14:paraId="513C665C">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9FEC972">
            <w:pPr>
              <w:spacing w:before="0" w:after="0" w:line="240" w:lineRule="exact"/>
              <w:jc w:val="right"/>
              <w:rPr>
                <w:rFonts w:hint="default" w:ascii="Times New Roman" w:hAnsi="Times New Roman" w:eastAsia="宋体" w:cs="Times New Roman"/>
                <w:sz w:val="18"/>
                <w:szCs w:val="18"/>
              </w:rPr>
            </w:pPr>
          </w:p>
        </w:tc>
      </w:tr>
      <w:tr w14:paraId="2AEC3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FFB155">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）计提</w:t>
            </w:r>
          </w:p>
        </w:tc>
        <w:tc>
          <w:tcPr>
            <w:tcW w:w="3213" w:type="dxa"/>
            <w:tcBorders>
              <w:top w:val="single" w:color="auto" w:sz="2" w:space="0"/>
              <w:left w:val="single" w:color="auto" w:sz="2" w:space="0"/>
              <w:bottom w:val="single" w:color="auto" w:sz="2" w:space="0"/>
              <w:right w:val="single" w:color="auto" w:sz="2" w:space="0"/>
            </w:tcBorders>
            <w:vAlign w:val="center"/>
          </w:tcPr>
          <w:p w14:paraId="73A1CB70">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288495A">
            <w:pPr>
              <w:spacing w:before="0" w:after="0" w:line="240" w:lineRule="exact"/>
              <w:jc w:val="right"/>
              <w:rPr>
                <w:rFonts w:hint="default" w:ascii="Times New Roman" w:hAnsi="Times New Roman" w:eastAsia="宋体" w:cs="Times New Roman"/>
                <w:sz w:val="18"/>
                <w:szCs w:val="18"/>
              </w:rPr>
            </w:pPr>
          </w:p>
        </w:tc>
      </w:tr>
      <w:tr w14:paraId="0CC1C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9070BB2">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69D6410">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4AEEE61">
            <w:pPr>
              <w:spacing w:before="0" w:after="0" w:line="240" w:lineRule="exact"/>
              <w:jc w:val="right"/>
              <w:rPr>
                <w:rFonts w:hint="default" w:ascii="Times New Roman" w:hAnsi="Times New Roman" w:eastAsia="宋体" w:cs="Times New Roman"/>
                <w:sz w:val="18"/>
                <w:szCs w:val="18"/>
              </w:rPr>
            </w:pPr>
          </w:p>
        </w:tc>
      </w:tr>
      <w:tr w14:paraId="2EE3D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B0D872">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.本期减少金额</w:t>
            </w:r>
          </w:p>
        </w:tc>
        <w:tc>
          <w:tcPr>
            <w:tcW w:w="3213" w:type="dxa"/>
            <w:tcBorders>
              <w:top w:val="single" w:color="auto" w:sz="2" w:space="0"/>
              <w:left w:val="single" w:color="auto" w:sz="2" w:space="0"/>
              <w:bottom w:val="single" w:color="auto" w:sz="2" w:space="0"/>
              <w:right w:val="single" w:color="auto" w:sz="2" w:space="0"/>
            </w:tcBorders>
            <w:vAlign w:val="center"/>
          </w:tcPr>
          <w:p w14:paraId="28C57C7F">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9AC1854">
            <w:pPr>
              <w:spacing w:before="0" w:after="0" w:line="240" w:lineRule="exact"/>
              <w:jc w:val="right"/>
              <w:rPr>
                <w:rFonts w:hint="default" w:ascii="Times New Roman" w:hAnsi="Times New Roman" w:eastAsia="宋体" w:cs="Times New Roman"/>
                <w:sz w:val="18"/>
                <w:szCs w:val="18"/>
              </w:rPr>
            </w:pPr>
          </w:p>
        </w:tc>
      </w:tr>
      <w:tr w14:paraId="35D8B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064582">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）处置</w:t>
            </w:r>
          </w:p>
        </w:tc>
        <w:tc>
          <w:tcPr>
            <w:tcW w:w="3213" w:type="dxa"/>
            <w:tcBorders>
              <w:top w:val="single" w:color="auto" w:sz="2" w:space="0"/>
              <w:left w:val="single" w:color="auto" w:sz="2" w:space="0"/>
              <w:bottom w:val="single" w:color="auto" w:sz="2" w:space="0"/>
              <w:right w:val="single" w:color="auto" w:sz="2" w:space="0"/>
            </w:tcBorders>
            <w:vAlign w:val="center"/>
          </w:tcPr>
          <w:p w14:paraId="03320D11">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C8C247C">
            <w:pPr>
              <w:spacing w:before="0" w:after="0" w:line="240" w:lineRule="exact"/>
              <w:jc w:val="right"/>
              <w:rPr>
                <w:rFonts w:hint="default" w:ascii="Times New Roman" w:hAnsi="Times New Roman" w:eastAsia="宋体" w:cs="Times New Roman"/>
                <w:sz w:val="18"/>
                <w:szCs w:val="18"/>
              </w:rPr>
            </w:pPr>
          </w:p>
        </w:tc>
      </w:tr>
      <w:tr w14:paraId="6A7CB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6D6E888">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572EE10">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E189285">
            <w:pPr>
              <w:spacing w:before="0" w:after="0" w:line="240" w:lineRule="exact"/>
              <w:jc w:val="right"/>
              <w:rPr>
                <w:rFonts w:hint="default" w:ascii="Times New Roman" w:hAnsi="Times New Roman" w:eastAsia="宋体" w:cs="Times New Roman"/>
                <w:sz w:val="18"/>
                <w:szCs w:val="18"/>
              </w:rPr>
            </w:pPr>
          </w:p>
        </w:tc>
      </w:tr>
      <w:tr w14:paraId="3EA4D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71D3B1">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vAlign w:val="center"/>
          </w:tcPr>
          <w:p w14:paraId="555CABB0">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46B5380">
            <w:pPr>
              <w:spacing w:before="0" w:after="0" w:line="240" w:lineRule="exact"/>
              <w:jc w:val="right"/>
              <w:rPr>
                <w:rFonts w:hint="default" w:ascii="Times New Roman" w:hAnsi="Times New Roman" w:eastAsia="宋体" w:cs="Times New Roman"/>
                <w:sz w:val="18"/>
                <w:szCs w:val="18"/>
              </w:rPr>
            </w:pPr>
          </w:p>
        </w:tc>
      </w:tr>
      <w:tr w14:paraId="3ABAC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6F0B6C">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3213" w:type="dxa"/>
            <w:tcBorders>
              <w:top w:val="single" w:color="auto" w:sz="2" w:space="0"/>
              <w:left w:val="single" w:color="auto" w:sz="2" w:space="0"/>
              <w:bottom w:val="single" w:color="auto" w:sz="2" w:space="0"/>
              <w:right w:val="single" w:color="auto" w:sz="2" w:space="0"/>
            </w:tcBorders>
            <w:vAlign w:val="center"/>
          </w:tcPr>
          <w:p w14:paraId="6AF6AA1E">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FA2E3A2">
            <w:pPr>
              <w:spacing w:before="0" w:after="0" w:line="240" w:lineRule="exact"/>
              <w:jc w:val="right"/>
              <w:rPr>
                <w:rFonts w:hint="default" w:ascii="Times New Roman" w:hAnsi="Times New Roman" w:eastAsia="宋体" w:cs="Times New Roman"/>
                <w:sz w:val="18"/>
                <w:szCs w:val="18"/>
              </w:rPr>
            </w:pPr>
          </w:p>
        </w:tc>
      </w:tr>
      <w:tr w14:paraId="4BFF3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4665EC">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.期末账面价值</w:t>
            </w:r>
          </w:p>
        </w:tc>
        <w:tc>
          <w:tcPr>
            <w:tcW w:w="3213" w:type="dxa"/>
            <w:tcBorders>
              <w:top w:val="single" w:color="auto" w:sz="2" w:space="0"/>
              <w:left w:val="single" w:color="auto" w:sz="2" w:space="0"/>
              <w:bottom w:val="single" w:color="auto" w:sz="2" w:space="0"/>
              <w:right w:val="single" w:color="auto" w:sz="2" w:space="0"/>
            </w:tcBorders>
            <w:vAlign w:val="center"/>
          </w:tcPr>
          <w:p w14:paraId="1A7CB1E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4,644,278.86</w:t>
            </w:r>
          </w:p>
        </w:tc>
        <w:tc>
          <w:tcPr>
            <w:tcW w:w="3213" w:type="dxa"/>
            <w:tcBorders>
              <w:top w:val="single" w:color="auto" w:sz="2" w:space="0"/>
              <w:left w:val="single" w:color="auto" w:sz="2" w:space="0"/>
              <w:bottom w:val="single" w:color="auto" w:sz="2" w:space="0"/>
              <w:right w:val="single" w:color="auto" w:sz="2" w:space="0"/>
            </w:tcBorders>
            <w:vAlign w:val="center"/>
          </w:tcPr>
          <w:p w14:paraId="725B448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4,644,278.86</w:t>
            </w:r>
          </w:p>
        </w:tc>
      </w:tr>
      <w:tr w14:paraId="5A615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200A62">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.期初账面价值</w:t>
            </w:r>
          </w:p>
        </w:tc>
        <w:tc>
          <w:tcPr>
            <w:tcW w:w="3213" w:type="dxa"/>
            <w:tcBorders>
              <w:top w:val="single" w:color="auto" w:sz="2" w:space="0"/>
              <w:left w:val="single" w:color="auto" w:sz="2" w:space="0"/>
              <w:bottom w:val="single" w:color="auto" w:sz="2" w:space="0"/>
              <w:right w:val="single" w:color="auto" w:sz="2" w:space="0"/>
            </w:tcBorders>
            <w:vAlign w:val="center"/>
          </w:tcPr>
          <w:p w14:paraId="4801B9C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10,383,342.13</w:t>
            </w:r>
          </w:p>
        </w:tc>
        <w:tc>
          <w:tcPr>
            <w:tcW w:w="3213" w:type="dxa"/>
            <w:tcBorders>
              <w:top w:val="single" w:color="auto" w:sz="2" w:space="0"/>
              <w:left w:val="single" w:color="auto" w:sz="2" w:space="0"/>
              <w:bottom w:val="single" w:color="auto" w:sz="2" w:space="0"/>
              <w:right w:val="single" w:color="auto" w:sz="2" w:space="0"/>
            </w:tcBorders>
            <w:vAlign w:val="center"/>
          </w:tcPr>
          <w:p w14:paraId="300C4B0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10,383,342.13</w:t>
            </w:r>
          </w:p>
        </w:tc>
      </w:tr>
    </w:tbl>
    <w:p w14:paraId="327DDFF3">
      <w:pPr>
        <w:pStyle w:val="3"/>
        <w:keepNext/>
        <w:keepLines/>
        <w:spacing w:before="300" w:after="300" w:line="280" w:lineRule="exact"/>
        <w:jc w:val="left"/>
        <w:outlineLvl w:val="2"/>
        <w:rPr>
          <w:rFonts w:ascii="宋体" w:hAnsi="宋体" w:eastAsia="宋体" w:cs="宋体"/>
          <w:b/>
          <w:bCs/>
          <w:sz w:val="21"/>
          <w:szCs w:val="21"/>
        </w:rPr>
      </w:pPr>
      <w:bookmarkStart w:id="316" w:name="_Toc989126"/>
      <w:r>
        <w:rPr>
          <w:rFonts w:hint="default" w:ascii="Times New Roman" w:hAnsi="Times New Roman" w:eastAsia="宋体" w:cs="Times New Roman"/>
          <w:b/>
          <w:bCs/>
          <w:sz w:val="21"/>
          <w:szCs w:val="21"/>
        </w:rPr>
        <w:t>13</w:t>
      </w:r>
      <w:r>
        <w:rPr>
          <w:rFonts w:ascii="宋体" w:hAnsi="宋体" w:eastAsia="宋体" w:cs="宋体"/>
          <w:b/>
          <w:bCs/>
          <w:sz w:val="21"/>
          <w:szCs w:val="21"/>
        </w:rPr>
        <w:t>、无形资产</w:t>
      </w:r>
      <w:bookmarkEnd w:id="316"/>
    </w:p>
    <w:p w14:paraId="2DBE32E7">
      <w:pPr>
        <w:keepNext/>
        <w:keepLines/>
        <w:spacing w:before="300" w:after="300" w:line="280" w:lineRule="exact"/>
        <w:jc w:val="left"/>
        <w:outlineLvl w:val="3"/>
        <w:rPr>
          <w:rFonts w:ascii="宋体" w:hAnsi="宋体" w:eastAsia="宋体" w:cs="宋体"/>
          <w:b/>
          <w:bCs/>
          <w:sz w:val="21"/>
          <w:szCs w:val="21"/>
        </w:rPr>
      </w:pPr>
      <w:bookmarkStart w:id="317" w:name="_Toc989127"/>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无形资产情况</w:t>
      </w:r>
      <w:bookmarkEnd w:id="317"/>
    </w:p>
    <w:p w14:paraId="0AD2CCE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6287D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8CBEE2E">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7AB6BDE">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605E0B0">
            <w:pPr>
              <w:spacing w:before="40" w:after="40" w:line="240" w:lineRule="exact"/>
              <w:jc w:val="center"/>
              <w:rPr>
                <w:rFonts w:ascii="宋体" w:hAnsi="宋体" w:eastAsia="宋体" w:cs="宋体"/>
                <w:sz w:val="18"/>
                <w:szCs w:val="18"/>
              </w:rPr>
            </w:pPr>
            <w:r>
              <w:rPr>
                <w:rFonts w:ascii="宋体" w:hAnsi="宋体" w:eastAsia="宋体" w:cs="宋体"/>
                <w:sz w:val="18"/>
                <w:szCs w:val="18"/>
              </w:rPr>
              <w:t>专利权</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40E4401">
            <w:pPr>
              <w:spacing w:before="40" w:after="40" w:line="240" w:lineRule="exact"/>
              <w:jc w:val="center"/>
              <w:rPr>
                <w:rFonts w:ascii="宋体" w:hAnsi="宋体" w:eastAsia="宋体" w:cs="宋体"/>
                <w:sz w:val="18"/>
                <w:szCs w:val="18"/>
              </w:rPr>
            </w:pPr>
            <w:r>
              <w:rPr>
                <w:rFonts w:ascii="宋体" w:hAnsi="宋体" w:eastAsia="宋体" w:cs="宋体"/>
                <w:sz w:val="18"/>
                <w:szCs w:val="18"/>
              </w:rPr>
              <w:t>非专利技术</w:t>
            </w:r>
          </w:p>
        </w:tc>
        <w:tc>
          <w:tcPr>
            <w:tcW w:w="1606" w:type="dxa"/>
            <w:tcBorders>
              <w:top w:val="single" w:color="auto" w:sz="2" w:space="0"/>
              <w:left w:val="single" w:color="auto" w:sz="2" w:space="0"/>
              <w:bottom w:val="single" w:color="auto" w:sz="2" w:space="0"/>
              <w:right w:val="single" w:color="auto" w:sz="2" w:space="0"/>
            </w:tcBorders>
            <w:vAlign w:val="center"/>
          </w:tcPr>
          <w:p w14:paraId="2B34BE69">
            <w:pPr>
              <w:spacing w:before="0" w:after="0" w:line="240" w:lineRule="exact"/>
              <w:jc w:val="center"/>
              <w:rPr>
                <w:rFonts w:ascii="宋体" w:hAnsi="宋体" w:eastAsia="宋体" w:cs="宋体"/>
                <w:sz w:val="18"/>
                <w:szCs w:val="18"/>
              </w:rPr>
            </w:pPr>
            <w:r>
              <w:rPr>
                <w:rFonts w:ascii="宋体" w:hAnsi="宋体" w:eastAsia="宋体" w:cs="宋体"/>
                <w:sz w:val="18"/>
                <w:szCs w:val="18"/>
              </w:rPr>
              <w:t>软件</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757D2EA">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3E670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0E93539">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14:paraId="251864EF">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8B34526">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8E58067">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C763685">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A89294A">
            <w:pPr>
              <w:spacing w:before="0" w:after="0" w:line="240" w:lineRule="exact"/>
              <w:jc w:val="right"/>
              <w:rPr>
                <w:rFonts w:hint="default" w:ascii="Times New Roman" w:hAnsi="Times New Roman" w:eastAsia="宋体" w:cs="Times New Roman"/>
                <w:sz w:val="18"/>
                <w:szCs w:val="18"/>
              </w:rPr>
            </w:pPr>
          </w:p>
        </w:tc>
      </w:tr>
      <w:tr w14:paraId="3B761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521F27B">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vAlign w:val="center"/>
          </w:tcPr>
          <w:p w14:paraId="15C7ED2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52,038,756.95</w:t>
            </w:r>
          </w:p>
        </w:tc>
        <w:tc>
          <w:tcPr>
            <w:tcW w:w="1606" w:type="dxa"/>
            <w:tcBorders>
              <w:top w:val="single" w:color="auto" w:sz="2" w:space="0"/>
              <w:left w:val="single" w:color="auto" w:sz="2" w:space="0"/>
              <w:bottom w:val="single" w:color="auto" w:sz="2" w:space="0"/>
              <w:right w:val="single" w:color="auto" w:sz="2" w:space="0"/>
            </w:tcBorders>
            <w:vAlign w:val="center"/>
          </w:tcPr>
          <w:p w14:paraId="76C8BCA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137,109,016.86</w:t>
            </w:r>
          </w:p>
        </w:tc>
        <w:tc>
          <w:tcPr>
            <w:tcW w:w="1606" w:type="dxa"/>
            <w:tcBorders>
              <w:top w:val="single" w:color="auto" w:sz="2" w:space="0"/>
              <w:left w:val="single" w:color="auto" w:sz="2" w:space="0"/>
              <w:bottom w:val="single" w:color="auto" w:sz="2" w:space="0"/>
              <w:right w:val="single" w:color="auto" w:sz="2" w:space="0"/>
            </w:tcBorders>
            <w:vAlign w:val="center"/>
          </w:tcPr>
          <w:p w14:paraId="67D188F1">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202B83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6,023,896.92</w:t>
            </w:r>
          </w:p>
        </w:tc>
        <w:tc>
          <w:tcPr>
            <w:tcW w:w="1606" w:type="dxa"/>
            <w:tcBorders>
              <w:top w:val="single" w:color="auto" w:sz="2" w:space="0"/>
              <w:left w:val="single" w:color="auto" w:sz="2" w:space="0"/>
              <w:bottom w:val="single" w:color="auto" w:sz="2" w:space="0"/>
              <w:right w:val="single" w:color="auto" w:sz="2" w:space="0"/>
            </w:tcBorders>
            <w:vAlign w:val="center"/>
          </w:tcPr>
          <w:p w14:paraId="13FB4CB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195,171,670.73</w:t>
            </w:r>
          </w:p>
        </w:tc>
      </w:tr>
      <w:tr w14:paraId="4BF46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E36B838">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vAlign w:val="center"/>
          </w:tcPr>
          <w:p w14:paraId="7FA09A24">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971806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15,000,000.00</w:t>
            </w:r>
          </w:p>
        </w:tc>
        <w:tc>
          <w:tcPr>
            <w:tcW w:w="1606" w:type="dxa"/>
            <w:tcBorders>
              <w:top w:val="single" w:color="auto" w:sz="2" w:space="0"/>
              <w:left w:val="single" w:color="auto" w:sz="2" w:space="0"/>
              <w:bottom w:val="single" w:color="auto" w:sz="2" w:space="0"/>
              <w:right w:val="single" w:color="auto" w:sz="2" w:space="0"/>
            </w:tcBorders>
            <w:vAlign w:val="center"/>
          </w:tcPr>
          <w:p w14:paraId="694702AE">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B893ED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25,663.72</w:t>
            </w:r>
          </w:p>
        </w:tc>
        <w:tc>
          <w:tcPr>
            <w:tcW w:w="1606" w:type="dxa"/>
            <w:tcBorders>
              <w:top w:val="single" w:color="auto" w:sz="2" w:space="0"/>
              <w:left w:val="single" w:color="auto" w:sz="2" w:space="0"/>
              <w:bottom w:val="single" w:color="auto" w:sz="2" w:space="0"/>
              <w:right w:val="single" w:color="auto" w:sz="2" w:space="0"/>
            </w:tcBorders>
            <w:vAlign w:val="center"/>
          </w:tcPr>
          <w:p w14:paraId="68E7CD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15,025,663.72</w:t>
            </w:r>
          </w:p>
        </w:tc>
      </w:tr>
      <w:tr w14:paraId="16DE5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302E55B">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）购置</w:t>
            </w:r>
          </w:p>
        </w:tc>
        <w:tc>
          <w:tcPr>
            <w:tcW w:w="1606" w:type="dxa"/>
            <w:tcBorders>
              <w:top w:val="single" w:color="auto" w:sz="2" w:space="0"/>
              <w:left w:val="single" w:color="auto" w:sz="2" w:space="0"/>
              <w:bottom w:val="single" w:color="auto" w:sz="2" w:space="0"/>
              <w:right w:val="single" w:color="auto" w:sz="2" w:space="0"/>
            </w:tcBorders>
            <w:vAlign w:val="center"/>
          </w:tcPr>
          <w:p w14:paraId="64D67076">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87909C5">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6D439E7">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87D6E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25,663.72</w:t>
            </w:r>
          </w:p>
        </w:tc>
        <w:tc>
          <w:tcPr>
            <w:tcW w:w="1606" w:type="dxa"/>
            <w:tcBorders>
              <w:top w:val="single" w:color="auto" w:sz="2" w:space="0"/>
              <w:left w:val="single" w:color="auto" w:sz="2" w:space="0"/>
              <w:bottom w:val="single" w:color="auto" w:sz="2" w:space="0"/>
              <w:right w:val="single" w:color="auto" w:sz="2" w:space="0"/>
            </w:tcBorders>
            <w:vAlign w:val="center"/>
          </w:tcPr>
          <w:p w14:paraId="3FD4810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25,663.72</w:t>
            </w:r>
          </w:p>
        </w:tc>
      </w:tr>
      <w:tr w14:paraId="7A259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FCD9CBC">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2</w:t>
            </w:r>
            <w:r>
              <w:rPr>
                <w:rFonts w:ascii="宋体" w:hAnsi="宋体" w:eastAsia="宋体" w:cs="宋体"/>
                <w:sz w:val="18"/>
                <w:szCs w:val="18"/>
              </w:rPr>
              <w:t>）内部研发</w:t>
            </w:r>
          </w:p>
        </w:tc>
        <w:tc>
          <w:tcPr>
            <w:tcW w:w="1606" w:type="dxa"/>
            <w:tcBorders>
              <w:top w:val="single" w:color="auto" w:sz="2" w:space="0"/>
              <w:left w:val="single" w:color="auto" w:sz="2" w:space="0"/>
              <w:bottom w:val="single" w:color="auto" w:sz="2" w:space="0"/>
              <w:right w:val="single" w:color="auto" w:sz="2" w:space="0"/>
            </w:tcBorders>
            <w:vAlign w:val="center"/>
          </w:tcPr>
          <w:p w14:paraId="23102B6E">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A462C75">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9BD8CD6">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0538FA6">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B08B4AD">
            <w:pPr>
              <w:spacing w:before="0" w:after="0" w:line="240" w:lineRule="exact"/>
              <w:jc w:val="right"/>
              <w:rPr>
                <w:rFonts w:hint="default" w:ascii="Times New Roman" w:hAnsi="Times New Roman" w:eastAsia="宋体" w:cs="Times New Roman"/>
                <w:sz w:val="18"/>
                <w:szCs w:val="18"/>
              </w:rPr>
            </w:pPr>
          </w:p>
        </w:tc>
      </w:tr>
      <w:tr w14:paraId="7BBD6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9B2787F">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3</w:t>
            </w:r>
            <w:r>
              <w:rPr>
                <w:rFonts w:ascii="宋体" w:hAnsi="宋体" w:eastAsia="宋体" w:cs="宋体"/>
                <w:sz w:val="18"/>
                <w:szCs w:val="18"/>
              </w:rPr>
              <w:t>）企业合并增加</w:t>
            </w:r>
          </w:p>
        </w:tc>
        <w:tc>
          <w:tcPr>
            <w:tcW w:w="1606" w:type="dxa"/>
            <w:tcBorders>
              <w:top w:val="single" w:color="auto" w:sz="2" w:space="0"/>
              <w:left w:val="single" w:color="auto" w:sz="2" w:space="0"/>
              <w:bottom w:val="single" w:color="auto" w:sz="2" w:space="0"/>
              <w:right w:val="single" w:color="auto" w:sz="2" w:space="0"/>
            </w:tcBorders>
            <w:vAlign w:val="center"/>
          </w:tcPr>
          <w:p w14:paraId="2518CFC1">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C2C0A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15,000,000.00</w:t>
            </w:r>
          </w:p>
        </w:tc>
        <w:tc>
          <w:tcPr>
            <w:tcW w:w="1606" w:type="dxa"/>
            <w:tcBorders>
              <w:top w:val="single" w:color="auto" w:sz="2" w:space="0"/>
              <w:left w:val="single" w:color="auto" w:sz="2" w:space="0"/>
              <w:bottom w:val="single" w:color="auto" w:sz="2" w:space="0"/>
              <w:right w:val="single" w:color="auto" w:sz="2" w:space="0"/>
            </w:tcBorders>
            <w:vAlign w:val="center"/>
          </w:tcPr>
          <w:p w14:paraId="7470FFFB">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A082899">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4795B1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15,000,000.00</w:t>
            </w:r>
          </w:p>
        </w:tc>
      </w:tr>
      <w:tr w14:paraId="67346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DA50309">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A7BFBAB">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35F574D">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BEB4A31">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A017FBB">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2D712EB">
            <w:pPr>
              <w:spacing w:before="0" w:after="0" w:line="240" w:lineRule="exact"/>
              <w:jc w:val="right"/>
              <w:rPr>
                <w:rFonts w:hint="default" w:ascii="Times New Roman" w:hAnsi="Times New Roman" w:eastAsia="宋体" w:cs="Times New Roman"/>
                <w:sz w:val="18"/>
                <w:szCs w:val="18"/>
              </w:rPr>
            </w:pPr>
          </w:p>
        </w:tc>
      </w:tr>
      <w:tr w14:paraId="7D08F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A9F2DC0">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.本期减少金额</w:t>
            </w:r>
          </w:p>
        </w:tc>
        <w:tc>
          <w:tcPr>
            <w:tcW w:w="1606" w:type="dxa"/>
            <w:tcBorders>
              <w:top w:val="single" w:color="auto" w:sz="2" w:space="0"/>
              <w:left w:val="single" w:color="auto" w:sz="2" w:space="0"/>
              <w:bottom w:val="single" w:color="auto" w:sz="2" w:space="0"/>
              <w:right w:val="single" w:color="auto" w:sz="2" w:space="0"/>
            </w:tcBorders>
            <w:vAlign w:val="center"/>
          </w:tcPr>
          <w:p w14:paraId="02352945">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2033C31">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B8C1ED3">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1DE005B">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222F2FD">
            <w:pPr>
              <w:spacing w:before="0" w:after="0" w:line="240" w:lineRule="exact"/>
              <w:jc w:val="right"/>
              <w:rPr>
                <w:rFonts w:hint="default" w:ascii="Times New Roman" w:hAnsi="Times New Roman" w:eastAsia="宋体" w:cs="Times New Roman"/>
                <w:sz w:val="18"/>
                <w:szCs w:val="18"/>
              </w:rPr>
            </w:pPr>
          </w:p>
        </w:tc>
      </w:tr>
      <w:tr w14:paraId="6F9D0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3F13DCD">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）处置</w:t>
            </w:r>
          </w:p>
        </w:tc>
        <w:tc>
          <w:tcPr>
            <w:tcW w:w="1606" w:type="dxa"/>
            <w:tcBorders>
              <w:top w:val="single" w:color="auto" w:sz="2" w:space="0"/>
              <w:left w:val="single" w:color="auto" w:sz="2" w:space="0"/>
              <w:bottom w:val="single" w:color="auto" w:sz="2" w:space="0"/>
              <w:right w:val="single" w:color="auto" w:sz="2" w:space="0"/>
            </w:tcBorders>
            <w:vAlign w:val="center"/>
          </w:tcPr>
          <w:p w14:paraId="2AE2934B">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8FA7FEE">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99B7419">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F8940E9">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719FBF5">
            <w:pPr>
              <w:spacing w:before="0" w:after="0" w:line="240" w:lineRule="exact"/>
              <w:jc w:val="right"/>
              <w:rPr>
                <w:rFonts w:hint="default" w:ascii="Times New Roman" w:hAnsi="Times New Roman" w:eastAsia="宋体" w:cs="Times New Roman"/>
                <w:sz w:val="18"/>
                <w:szCs w:val="18"/>
              </w:rPr>
            </w:pPr>
          </w:p>
        </w:tc>
      </w:tr>
      <w:tr w14:paraId="2BE74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50DD880">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15E2DAC">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4AF7DE8">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C00769F">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D9152BB">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5A1368E">
            <w:pPr>
              <w:spacing w:before="0" w:after="0" w:line="240" w:lineRule="exact"/>
              <w:jc w:val="right"/>
              <w:rPr>
                <w:rFonts w:hint="default" w:ascii="Times New Roman" w:hAnsi="Times New Roman" w:eastAsia="宋体" w:cs="Times New Roman"/>
                <w:sz w:val="18"/>
                <w:szCs w:val="18"/>
              </w:rPr>
            </w:pPr>
          </w:p>
        </w:tc>
      </w:tr>
      <w:tr w14:paraId="21E0D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D790FCC">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vAlign w:val="center"/>
          </w:tcPr>
          <w:p w14:paraId="39B31DC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52,038,756.95</w:t>
            </w:r>
          </w:p>
        </w:tc>
        <w:tc>
          <w:tcPr>
            <w:tcW w:w="1606" w:type="dxa"/>
            <w:tcBorders>
              <w:top w:val="single" w:color="auto" w:sz="2" w:space="0"/>
              <w:left w:val="single" w:color="auto" w:sz="2" w:space="0"/>
              <w:bottom w:val="single" w:color="auto" w:sz="2" w:space="0"/>
              <w:right w:val="single" w:color="auto" w:sz="2" w:space="0"/>
            </w:tcBorders>
            <w:vAlign w:val="center"/>
          </w:tcPr>
          <w:p w14:paraId="635EE5A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152,109,016.86</w:t>
            </w:r>
          </w:p>
        </w:tc>
        <w:tc>
          <w:tcPr>
            <w:tcW w:w="1606" w:type="dxa"/>
            <w:tcBorders>
              <w:top w:val="single" w:color="auto" w:sz="2" w:space="0"/>
              <w:left w:val="single" w:color="auto" w:sz="2" w:space="0"/>
              <w:bottom w:val="single" w:color="auto" w:sz="2" w:space="0"/>
              <w:right w:val="single" w:color="auto" w:sz="2" w:space="0"/>
            </w:tcBorders>
            <w:vAlign w:val="center"/>
          </w:tcPr>
          <w:p w14:paraId="6F4CAE54">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92E0E1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6,049,560.64</w:t>
            </w:r>
          </w:p>
        </w:tc>
        <w:tc>
          <w:tcPr>
            <w:tcW w:w="1606" w:type="dxa"/>
            <w:tcBorders>
              <w:top w:val="single" w:color="auto" w:sz="2" w:space="0"/>
              <w:left w:val="single" w:color="auto" w:sz="2" w:space="0"/>
              <w:bottom w:val="single" w:color="auto" w:sz="2" w:space="0"/>
              <w:right w:val="single" w:color="auto" w:sz="2" w:space="0"/>
            </w:tcBorders>
            <w:vAlign w:val="center"/>
          </w:tcPr>
          <w:p w14:paraId="10B124F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210,197,334.45</w:t>
            </w:r>
          </w:p>
        </w:tc>
      </w:tr>
      <w:tr w14:paraId="3882A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8C3695E">
            <w:pPr>
              <w:spacing w:before="40" w:after="40" w:line="240" w:lineRule="exact"/>
              <w:jc w:val="left"/>
              <w:rPr>
                <w:rFonts w:ascii="宋体" w:hAnsi="宋体" w:eastAsia="宋体" w:cs="宋体"/>
                <w:sz w:val="18"/>
                <w:szCs w:val="18"/>
              </w:rPr>
            </w:pPr>
            <w:r>
              <w:rPr>
                <w:rFonts w:ascii="宋体" w:hAnsi="宋体" w:eastAsia="宋体" w:cs="宋体"/>
                <w:sz w:val="18"/>
                <w:szCs w:val="18"/>
              </w:rPr>
              <w:t>二、累计摊销</w:t>
            </w:r>
          </w:p>
        </w:tc>
        <w:tc>
          <w:tcPr>
            <w:tcW w:w="1606" w:type="dxa"/>
            <w:tcBorders>
              <w:top w:val="single" w:color="auto" w:sz="2" w:space="0"/>
              <w:left w:val="single" w:color="auto" w:sz="2" w:space="0"/>
              <w:bottom w:val="single" w:color="auto" w:sz="2" w:space="0"/>
              <w:right w:val="single" w:color="auto" w:sz="2" w:space="0"/>
            </w:tcBorders>
            <w:vAlign w:val="center"/>
          </w:tcPr>
          <w:p w14:paraId="70E735EC">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CFE0F6A">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C40E90E">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CD39E81">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7B92287">
            <w:pPr>
              <w:spacing w:before="0" w:after="0" w:line="240" w:lineRule="exact"/>
              <w:jc w:val="right"/>
              <w:rPr>
                <w:rFonts w:hint="default" w:ascii="Times New Roman" w:hAnsi="Times New Roman" w:eastAsia="宋体" w:cs="Times New Roman"/>
                <w:sz w:val="18"/>
                <w:szCs w:val="18"/>
              </w:rPr>
            </w:pPr>
          </w:p>
        </w:tc>
      </w:tr>
      <w:tr w14:paraId="6A9CF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2FF50FB">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vAlign w:val="center"/>
          </w:tcPr>
          <w:p w14:paraId="0ECAF8F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7,675,506.54</w:t>
            </w:r>
          </w:p>
        </w:tc>
        <w:tc>
          <w:tcPr>
            <w:tcW w:w="1606" w:type="dxa"/>
            <w:tcBorders>
              <w:top w:val="single" w:color="auto" w:sz="2" w:space="0"/>
              <w:left w:val="single" w:color="auto" w:sz="2" w:space="0"/>
              <w:bottom w:val="single" w:color="auto" w:sz="2" w:space="0"/>
              <w:right w:val="single" w:color="auto" w:sz="2" w:space="0"/>
            </w:tcBorders>
            <w:vAlign w:val="center"/>
          </w:tcPr>
          <w:p w14:paraId="775FA5E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104,671,725.19</w:t>
            </w:r>
          </w:p>
        </w:tc>
        <w:tc>
          <w:tcPr>
            <w:tcW w:w="1606" w:type="dxa"/>
            <w:tcBorders>
              <w:top w:val="single" w:color="auto" w:sz="2" w:space="0"/>
              <w:left w:val="single" w:color="auto" w:sz="2" w:space="0"/>
              <w:bottom w:val="single" w:color="auto" w:sz="2" w:space="0"/>
              <w:right w:val="single" w:color="auto" w:sz="2" w:space="0"/>
            </w:tcBorders>
            <w:vAlign w:val="center"/>
          </w:tcPr>
          <w:p w14:paraId="5D4B08A8">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6A7934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5,196,535.20</w:t>
            </w:r>
          </w:p>
        </w:tc>
        <w:tc>
          <w:tcPr>
            <w:tcW w:w="1606" w:type="dxa"/>
            <w:tcBorders>
              <w:top w:val="single" w:color="auto" w:sz="2" w:space="0"/>
              <w:left w:val="single" w:color="auto" w:sz="2" w:space="0"/>
              <w:bottom w:val="single" w:color="auto" w:sz="2" w:space="0"/>
              <w:right w:val="single" w:color="auto" w:sz="2" w:space="0"/>
            </w:tcBorders>
            <w:vAlign w:val="center"/>
          </w:tcPr>
          <w:p w14:paraId="4EAFFF7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117,543,766.93</w:t>
            </w:r>
          </w:p>
        </w:tc>
      </w:tr>
      <w:tr w14:paraId="2764B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4B01024">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vAlign w:val="center"/>
          </w:tcPr>
          <w:p w14:paraId="0083646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1,040,775.12</w:t>
            </w:r>
          </w:p>
        </w:tc>
        <w:tc>
          <w:tcPr>
            <w:tcW w:w="1606" w:type="dxa"/>
            <w:tcBorders>
              <w:top w:val="single" w:color="auto" w:sz="2" w:space="0"/>
              <w:left w:val="single" w:color="auto" w:sz="2" w:space="0"/>
              <w:bottom w:val="single" w:color="auto" w:sz="2" w:space="0"/>
              <w:right w:val="single" w:color="auto" w:sz="2" w:space="0"/>
            </w:tcBorders>
            <w:vAlign w:val="center"/>
          </w:tcPr>
          <w:p w14:paraId="294C91B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14,535,817.43</w:t>
            </w:r>
          </w:p>
        </w:tc>
        <w:tc>
          <w:tcPr>
            <w:tcW w:w="1606" w:type="dxa"/>
            <w:tcBorders>
              <w:top w:val="single" w:color="auto" w:sz="2" w:space="0"/>
              <w:left w:val="single" w:color="auto" w:sz="2" w:space="0"/>
              <w:bottom w:val="single" w:color="auto" w:sz="2" w:space="0"/>
              <w:right w:val="single" w:color="auto" w:sz="2" w:space="0"/>
            </w:tcBorders>
            <w:vAlign w:val="center"/>
          </w:tcPr>
          <w:p w14:paraId="6028FA2E">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15144A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336,821.55</w:t>
            </w:r>
          </w:p>
        </w:tc>
        <w:tc>
          <w:tcPr>
            <w:tcW w:w="1606" w:type="dxa"/>
            <w:tcBorders>
              <w:top w:val="single" w:color="auto" w:sz="2" w:space="0"/>
              <w:left w:val="single" w:color="auto" w:sz="2" w:space="0"/>
              <w:bottom w:val="single" w:color="auto" w:sz="2" w:space="0"/>
              <w:right w:val="single" w:color="auto" w:sz="2" w:space="0"/>
            </w:tcBorders>
            <w:vAlign w:val="center"/>
          </w:tcPr>
          <w:p w14:paraId="40BD17E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15,913,414.10</w:t>
            </w:r>
          </w:p>
        </w:tc>
      </w:tr>
      <w:tr w14:paraId="7B9FF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C00E1B2">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）计提</w:t>
            </w:r>
          </w:p>
        </w:tc>
        <w:tc>
          <w:tcPr>
            <w:tcW w:w="1606" w:type="dxa"/>
            <w:tcBorders>
              <w:top w:val="single" w:color="auto" w:sz="2" w:space="0"/>
              <w:left w:val="single" w:color="auto" w:sz="2" w:space="0"/>
              <w:bottom w:val="single" w:color="auto" w:sz="2" w:space="0"/>
              <w:right w:val="single" w:color="auto" w:sz="2" w:space="0"/>
            </w:tcBorders>
            <w:vAlign w:val="center"/>
          </w:tcPr>
          <w:p w14:paraId="7BB400D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1,040,775.12</w:t>
            </w:r>
          </w:p>
        </w:tc>
        <w:tc>
          <w:tcPr>
            <w:tcW w:w="1606" w:type="dxa"/>
            <w:tcBorders>
              <w:top w:val="single" w:color="auto" w:sz="2" w:space="0"/>
              <w:left w:val="single" w:color="auto" w:sz="2" w:space="0"/>
              <w:bottom w:val="single" w:color="auto" w:sz="2" w:space="0"/>
              <w:right w:val="single" w:color="auto" w:sz="2" w:space="0"/>
            </w:tcBorders>
            <w:vAlign w:val="center"/>
          </w:tcPr>
          <w:p w14:paraId="5433A63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7,035,817.43</w:t>
            </w:r>
          </w:p>
        </w:tc>
        <w:tc>
          <w:tcPr>
            <w:tcW w:w="1606" w:type="dxa"/>
            <w:tcBorders>
              <w:top w:val="single" w:color="auto" w:sz="2" w:space="0"/>
              <w:left w:val="single" w:color="auto" w:sz="2" w:space="0"/>
              <w:bottom w:val="single" w:color="auto" w:sz="2" w:space="0"/>
              <w:right w:val="single" w:color="auto" w:sz="2" w:space="0"/>
            </w:tcBorders>
            <w:vAlign w:val="center"/>
          </w:tcPr>
          <w:p w14:paraId="6A62BF21">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0C3F7E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336,821.55</w:t>
            </w:r>
          </w:p>
        </w:tc>
        <w:tc>
          <w:tcPr>
            <w:tcW w:w="1606" w:type="dxa"/>
            <w:tcBorders>
              <w:top w:val="single" w:color="auto" w:sz="2" w:space="0"/>
              <w:left w:val="single" w:color="auto" w:sz="2" w:space="0"/>
              <w:bottom w:val="single" w:color="auto" w:sz="2" w:space="0"/>
              <w:right w:val="single" w:color="auto" w:sz="2" w:space="0"/>
            </w:tcBorders>
            <w:vAlign w:val="center"/>
          </w:tcPr>
          <w:p w14:paraId="6F51E50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8,413,414.10</w:t>
            </w:r>
          </w:p>
        </w:tc>
      </w:tr>
      <w:tr w14:paraId="4EB04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37F0356">
            <w:pPr>
              <w:spacing w:before="0" w:after="0" w:line="240" w:lineRule="exact"/>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2</w:t>
            </w:r>
            <w:r>
              <w:rPr>
                <w:rFonts w:ascii="宋体" w:hAnsi="宋体" w:eastAsia="宋体" w:cs="宋体"/>
                <w:sz w:val="18"/>
                <w:szCs w:val="18"/>
              </w:rPr>
              <w:t>）合并增加</w:t>
            </w:r>
          </w:p>
        </w:tc>
        <w:tc>
          <w:tcPr>
            <w:tcW w:w="1606" w:type="dxa"/>
            <w:tcBorders>
              <w:top w:val="single" w:color="auto" w:sz="2" w:space="0"/>
              <w:left w:val="single" w:color="auto" w:sz="2" w:space="0"/>
              <w:bottom w:val="single" w:color="auto" w:sz="2" w:space="0"/>
              <w:right w:val="single" w:color="auto" w:sz="2" w:space="0"/>
            </w:tcBorders>
            <w:vAlign w:val="center"/>
          </w:tcPr>
          <w:p w14:paraId="4B1490A4">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04AF4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7,500,000.00</w:t>
            </w:r>
          </w:p>
        </w:tc>
        <w:tc>
          <w:tcPr>
            <w:tcW w:w="1606" w:type="dxa"/>
            <w:tcBorders>
              <w:top w:val="single" w:color="auto" w:sz="2" w:space="0"/>
              <w:left w:val="single" w:color="auto" w:sz="2" w:space="0"/>
              <w:bottom w:val="single" w:color="auto" w:sz="2" w:space="0"/>
              <w:right w:val="single" w:color="auto" w:sz="2" w:space="0"/>
            </w:tcBorders>
            <w:vAlign w:val="center"/>
          </w:tcPr>
          <w:p w14:paraId="6BCD39BA">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7E76FEC">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E0DECF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7,500,000.00</w:t>
            </w:r>
          </w:p>
        </w:tc>
      </w:tr>
      <w:tr w14:paraId="789F8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4022ABD">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.本期减少金额</w:t>
            </w:r>
          </w:p>
        </w:tc>
        <w:tc>
          <w:tcPr>
            <w:tcW w:w="1606" w:type="dxa"/>
            <w:tcBorders>
              <w:top w:val="single" w:color="auto" w:sz="2" w:space="0"/>
              <w:left w:val="single" w:color="auto" w:sz="2" w:space="0"/>
              <w:bottom w:val="single" w:color="auto" w:sz="2" w:space="0"/>
              <w:right w:val="single" w:color="auto" w:sz="2" w:space="0"/>
            </w:tcBorders>
            <w:vAlign w:val="center"/>
          </w:tcPr>
          <w:p w14:paraId="3DE1E846">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B2CD2D8">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DA23588">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154B239">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F79793B">
            <w:pPr>
              <w:spacing w:before="0" w:after="0" w:line="240" w:lineRule="exact"/>
              <w:jc w:val="right"/>
              <w:rPr>
                <w:rFonts w:hint="default" w:ascii="Times New Roman" w:hAnsi="Times New Roman" w:eastAsia="宋体" w:cs="Times New Roman"/>
                <w:sz w:val="18"/>
                <w:szCs w:val="18"/>
              </w:rPr>
            </w:pPr>
          </w:p>
        </w:tc>
      </w:tr>
      <w:tr w14:paraId="79DCA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A6722A2">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）处置</w:t>
            </w:r>
          </w:p>
        </w:tc>
        <w:tc>
          <w:tcPr>
            <w:tcW w:w="1606" w:type="dxa"/>
            <w:tcBorders>
              <w:top w:val="single" w:color="auto" w:sz="2" w:space="0"/>
              <w:left w:val="single" w:color="auto" w:sz="2" w:space="0"/>
              <w:bottom w:val="single" w:color="auto" w:sz="2" w:space="0"/>
              <w:right w:val="single" w:color="auto" w:sz="2" w:space="0"/>
            </w:tcBorders>
            <w:vAlign w:val="center"/>
          </w:tcPr>
          <w:p w14:paraId="2D2601B1">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86080BE">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9034922">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2603CBB">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478508E">
            <w:pPr>
              <w:spacing w:before="0" w:after="0" w:line="240" w:lineRule="exact"/>
              <w:jc w:val="right"/>
              <w:rPr>
                <w:rFonts w:hint="default" w:ascii="Times New Roman" w:hAnsi="Times New Roman" w:eastAsia="宋体" w:cs="Times New Roman"/>
                <w:sz w:val="18"/>
                <w:szCs w:val="18"/>
              </w:rPr>
            </w:pPr>
          </w:p>
        </w:tc>
      </w:tr>
      <w:tr w14:paraId="3CE49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2D5DD0F">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F40F0A6">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97EA99B">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1658F6B">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A0E0263">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09CE3B5">
            <w:pPr>
              <w:spacing w:before="0" w:after="0" w:line="240" w:lineRule="exact"/>
              <w:jc w:val="right"/>
              <w:rPr>
                <w:rFonts w:hint="default" w:ascii="Times New Roman" w:hAnsi="Times New Roman" w:eastAsia="宋体" w:cs="Times New Roman"/>
                <w:sz w:val="18"/>
                <w:szCs w:val="18"/>
              </w:rPr>
            </w:pPr>
          </w:p>
        </w:tc>
      </w:tr>
      <w:tr w14:paraId="40238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FF7C77B">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vAlign w:val="center"/>
          </w:tcPr>
          <w:p w14:paraId="4D8E013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8,716,281.66</w:t>
            </w:r>
          </w:p>
        </w:tc>
        <w:tc>
          <w:tcPr>
            <w:tcW w:w="1606" w:type="dxa"/>
            <w:tcBorders>
              <w:top w:val="single" w:color="auto" w:sz="2" w:space="0"/>
              <w:left w:val="single" w:color="auto" w:sz="2" w:space="0"/>
              <w:bottom w:val="single" w:color="auto" w:sz="2" w:space="0"/>
              <w:right w:val="single" w:color="auto" w:sz="2" w:space="0"/>
            </w:tcBorders>
            <w:vAlign w:val="center"/>
          </w:tcPr>
          <w:p w14:paraId="3268829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119,207,542.62</w:t>
            </w:r>
          </w:p>
        </w:tc>
        <w:tc>
          <w:tcPr>
            <w:tcW w:w="1606" w:type="dxa"/>
            <w:tcBorders>
              <w:top w:val="single" w:color="auto" w:sz="2" w:space="0"/>
              <w:left w:val="single" w:color="auto" w:sz="2" w:space="0"/>
              <w:bottom w:val="single" w:color="auto" w:sz="2" w:space="0"/>
              <w:right w:val="single" w:color="auto" w:sz="2" w:space="0"/>
            </w:tcBorders>
            <w:vAlign w:val="center"/>
          </w:tcPr>
          <w:p w14:paraId="75EC0149">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FCBE5D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5,533,356.75</w:t>
            </w:r>
          </w:p>
        </w:tc>
        <w:tc>
          <w:tcPr>
            <w:tcW w:w="1606" w:type="dxa"/>
            <w:tcBorders>
              <w:top w:val="single" w:color="auto" w:sz="2" w:space="0"/>
              <w:left w:val="single" w:color="auto" w:sz="2" w:space="0"/>
              <w:bottom w:val="single" w:color="auto" w:sz="2" w:space="0"/>
              <w:right w:val="single" w:color="auto" w:sz="2" w:space="0"/>
            </w:tcBorders>
            <w:vAlign w:val="center"/>
          </w:tcPr>
          <w:p w14:paraId="3919129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133,457,181.03</w:t>
            </w:r>
          </w:p>
        </w:tc>
      </w:tr>
      <w:tr w14:paraId="7DC32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96DC609">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14:paraId="321A0C87">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FABB4B7">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E662DA1">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98A6372">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AD3C7FF">
            <w:pPr>
              <w:spacing w:before="0" w:after="0" w:line="240" w:lineRule="exact"/>
              <w:jc w:val="right"/>
              <w:rPr>
                <w:rFonts w:hint="default" w:ascii="Times New Roman" w:hAnsi="Times New Roman" w:eastAsia="宋体" w:cs="Times New Roman"/>
                <w:sz w:val="18"/>
                <w:szCs w:val="18"/>
              </w:rPr>
            </w:pPr>
          </w:p>
        </w:tc>
      </w:tr>
      <w:tr w14:paraId="0CE5E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6759875">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vAlign w:val="center"/>
          </w:tcPr>
          <w:p w14:paraId="346998E8">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9E75D4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4,926,217.91</w:t>
            </w:r>
          </w:p>
        </w:tc>
        <w:tc>
          <w:tcPr>
            <w:tcW w:w="1606" w:type="dxa"/>
            <w:tcBorders>
              <w:top w:val="single" w:color="auto" w:sz="2" w:space="0"/>
              <w:left w:val="single" w:color="auto" w:sz="2" w:space="0"/>
              <w:bottom w:val="single" w:color="auto" w:sz="2" w:space="0"/>
              <w:right w:val="single" w:color="auto" w:sz="2" w:space="0"/>
            </w:tcBorders>
            <w:vAlign w:val="center"/>
          </w:tcPr>
          <w:p w14:paraId="6366433C">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20A1D08">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4E00A3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4,926,217.91</w:t>
            </w:r>
          </w:p>
        </w:tc>
      </w:tr>
      <w:tr w14:paraId="2CAC5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6DB1873">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vAlign w:val="center"/>
          </w:tcPr>
          <w:p w14:paraId="2F681E78">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02EA2CB">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001A165">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F50E164">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25BB950">
            <w:pPr>
              <w:spacing w:before="0" w:after="0" w:line="240" w:lineRule="exact"/>
              <w:jc w:val="right"/>
              <w:rPr>
                <w:rFonts w:hint="default" w:ascii="Times New Roman" w:hAnsi="Times New Roman" w:eastAsia="宋体" w:cs="Times New Roman"/>
                <w:sz w:val="18"/>
                <w:szCs w:val="18"/>
              </w:rPr>
            </w:pPr>
          </w:p>
        </w:tc>
      </w:tr>
      <w:tr w14:paraId="6B0C0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BC4BBFE">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）计提</w:t>
            </w:r>
          </w:p>
        </w:tc>
        <w:tc>
          <w:tcPr>
            <w:tcW w:w="1606" w:type="dxa"/>
            <w:tcBorders>
              <w:top w:val="single" w:color="auto" w:sz="2" w:space="0"/>
              <w:left w:val="single" w:color="auto" w:sz="2" w:space="0"/>
              <w:bottom w:val="single" w:color="auto" w:sz="2" w:space="0"/>
              <w:right w:val="single" w:color="auto" w:sz="2" w:space="0"/>
            </w:tcBorders>
            <w:vAlign w:val="center"/>
          </w:tcPr>
          <w:p w14:paraId="45DCE0F3">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6D470E3">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1E57F90">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360B03B">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84147CB">
            <w:pPr>
              <w:spacing w:before="0" w:after="0" w:line="240" w:lineRule="exact"/>
              <w:jc w:val="right"/>
              <w:rPr>
                <w:rFonts w:hint="default" w:ascii="Times New Roman" w:hAnsi="Times New Roman" w:eastAsia="宋体" w:cs="Times New Roman"/>
                <w:sz w:val="18"/>
                <w:szCs w:val="18"/>
              </w:rPr>
            </w:pPr>
          </w:p>
        </w:tc>
      </w:tr>
      <w:tr w14:paraId="6E026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A834EFE">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AC3D71F">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1988972">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F8023CD">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6C8F4F4">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6120566">
            <w:pPr>
              <w:spacing w:before="0" w:after="0" w:line="240" w:lineRule="exact"/>
              <w:jc w:val="right"/>
              <w:rPr>
                <w:rFonts w:hint="default" w:ascii="Times New Roman" w:hAnsi="Times New Roman" w:eastAsia="宋体" w:cs="Times New Roman"/>
                <w:sz w:val="18"/>
                <w:szCs w:val="18"/>
              </w:rPr>
            </w:pPr>
          </w:p>
        </w:tc>
      </w:tr>
      <w:tr w14:paraId="517F6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CFA374E">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.本期减少金额</w:t>
            </w:r>
          </w:p>
        </w:tc>
        <w:tc>
          <w:tcPr>
            <w:tcW w:w="1606" w:type="dxa"/>
            <w:tcBorders>
              <w:top w:val="single" w:color="auto" w:sz="2" w:space="0"/>
              <w:left w:val="single" w:color="auto" w:sz="2" w:space="0"/>
              <w:bottom w:val="single" w:color="auto" w:sz="2" w:space="0"/>
              <w:right w:val="single" w:color="auto" w:sz="2" w:space="0"/>
            </w:tcBorders>
            <w:vAlign w:val="center"/>
          </w:tcPr>
          <w:p w14:paraId="13644E8C">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90664A1">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BD8D56D">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C218F7F">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CCEB397">
            <w:pPr>
              <w:spacing w:before="0" w:after="0" w:line="240" w:lineRule="exact"/>
              <w:jc w:val="right"/>
              <w:rPr>
                <w:rFonts w:hint="default" w:ascii="Times New Roman" w:hAnsi="Times New Roman" w:eastAsia="宋体" w:cs="Times New Roman"/>
                <w:sz w:val="18"/>
                <w:szCs w:val="18"/>
              </w:rPr>
            </w:pPr>
          </w:p>
        </w:tc>
      </w:tr>
      <w:tr w14:paraId="091C0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ADED9B6">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w:t>
            </w:r>
            <w:r>
              <w:rPr>
                <w:rFonts w:hint="default" w:ascii="Times New Roman" w:hAnsi="Times New Roman" w:eastAsia="宋体" w:cs="Times New Roman"/>
                <w:sz w:val="18"/>
                <w:szCs w:val="18"/>
              </w:rPr>
              <w:t>1</w:t>
            </w:r>
            <w:r>
              <w:rPr>
                <w:rFonts w:ascii="宋体" w:hAnsi="宋体" w:eastAsia="宋体" w:cs="宋体"/>
                <w:sz w:val="18"/>
                <w:szCs w:val="18"/>
              </w:rPr>
              <w:t>）处置</w:t>
            </w:r>
          </w:p>
        </w:tc>
        <w:tc>
          <w:tcPr>
            <w:tcW w:w="1606" w:type="dxa"/>
            <w:tcBorders>
              <w:top w:val="single" w:color="auto" w:sz="2" w:space="0"/>
              <w:left w:val="single" w:color="auto" w:sz="2" w:space="0"/>
              <w:bottom w:val="single" w:color="auto" w:sz="2" w:space="0"/>
              <w:right w:val="single" w:color="auto" w:sz="2" w:space="0"/>
            </w:tcBorders>
            <w:vAlign w:val="center"/>
          </w:tcPr>
          <w:p w14:paraId="78F03AF5">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B8386A2">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9751FDD">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616F1BE">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757EAA6">
            <w:pPr>
              <w:spacing w:before="0" w:after="0" w:line="240" w:lineRule="exact"/>
              <w:jc w:val="right"/>
              <w:rPr>
                <w:rFonts w:hint="default" w:ascii="Times New Roman" w:hAnsi="Times New Roman" w:eastAsia="宋体" w:cs="Times New Roman"/>
                <w:sz w:val="18"/>
                <w:szCs w:val="18"/>
              </w:rPr>
            </w:pPr>
          </w:p>
        </w:tc>
      </w:tr>
      <w:tr w14:paraId="23A37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0D0BC78">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5501027">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EDD2BB3">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A214D65">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2E154EA">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DB42EE2">
            <w:pPr>
              <w:spacing w:before="0" w:after="0" w:line="240" w:lineRule="exact"/>
              <w:jc w:val="right"/>
              <w:rPr>
                <w:rFonts w:hint="default" w:ascii="Times New Roman" w:hAnsi="Times New Roman" w:eastAsia="宋体" w:cs="Times New Roman"/>
                <w:sz w:val="18"/>
                <w:szCs w:val="18"/>
              </w:rPr>
            </w:pPr>
          </w:p>
        </w:tc>
      </w:tr>
      <w:tr w14:paraId="1B75F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329CDCF">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vAlign w:val="center"/>
          </w:tcPr>
          <w:p w14:paraId="1BB83094">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2ADE7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4,926,217.91</w:t>
            </w:r>
          </w:p>
        </w:tc>
        <w:tc>
          <w:tcPr>
            <w:tcW w:w="1606" w:type="dxa"/>
            <w:tcBorders>
              <w:top w:val="single" w:color="auto" w:sz="2" w:space="0"/>
              <w:left w:val="single" w:color="auto" w:sz="2" w:space="0"/>
              <w:bottom w:val="single" w:color="auto" w:sz="2" w:space="0"/>
              <w:right w:val="single" w:color="auto" w:sz="2" w:space="0"/>
            </w:tcBorders>
            <w:vAlign w:val="center"/>
          </w:tcPr>
          <w:p w14:paraId="2DF57C6A">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9F57731">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5BB8EB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4,926,217.91</w:t>
            </w:r>
          </w:p>
        </w:tc>
      </w:tr>
      <w:tr w14:paraId="549F0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D34C777">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14:paraId="577A4E1C">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6377DF8">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38D0CD4">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FFBA857">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8F12940">
            <w:pPr>
              <w:spacing w:before="0" w:after="0" w:line="240" w:lineRule="exact"/>
              <w:jc w:val="right"/>
              <w:rPr>
                <w:rFonts w:hint="default" w:ascii="Times New Roman" w:hAnsi="Times New Roman" w:eastAsia="宋体" w:cs="Times New Roman"/>
                <w:sz w:val="18"/>
                <w:szCs w:val="18"/>
              </w:rPr>
            </w:pPr>
          </w:p>
        </w:tc>
      </w:tr>
      <w:tr w14:paraId="69B02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B95CCBB">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.期末账面价值</w:t>
            </w:r>
          </w:p>
        </w:tc>
        <w:tc>
          <w:tcPr>
            <w:tcW w:w="1606" w:type="dxa"/>
            <w:tcBorders>
              <w:top w:val="single" w:color="auto" w:sz="2" w:space="0"/>
              <w:left w:val="single" w:color="auto" w:sz="2" w:space="0"/>
              <w:bottom w:val="single" w:color="auto" w:sz="2" w:space="0"/>
              <w:right w:val="single" w:color="auto" w:sz="2" w:space="0"/>
            </w:tcBorders>
            <w:vAlign w:val="center"/>
          </w:tcPr>
          <w:p w14:paraId="7C43345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43,322,475.29</w:t>
            </w:r>
          </w:p>
        </w:tc>
        <w:tc>
          <w:tcPr>
            <w:tcW w:w="1606" w:type="dxa"/>
            <w:tcBorders>
              <w:top w:val="single" w:color="auto" w:sz="2" w:space="0"/>
              <w:left w:val="single" w:color="auto" w:sz="2" w:space="0"/>
              <w:bottom w:val="single" w:color="auto" w:sz="2" w:space="0"/>
              <w:right w:val="single" w:color="auto" w:sz="2" w:space="0"/>
            </w:tcBorders>
            <w:vAlign w:val="center"/>
          </w:tcPr>
          <w:p w14:paraId="7B1779B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27,975,256.33</w:t>
            </w:r>
          </w:p>
        </w:tc>
        <w:tc>
          <w:tcPr>
            <w:tcW w:w="1606" w:type="dxa"/>
            <w:tcBorders>
              <w:top w:val="single" w:color="auto" w:sz="2" w:space="0"/>
              <w:left w:val="single" w:color="auto" w:sz="2" w:space="0"/>
              <w:bottom w:val="single" w:color="auto" w:sz="2" w:space="0"/>
              <w:right w:val="single" w:color="auto" w:sz="2" w:space="0"/>
            </w:tcBorders>
            <w:vAlign w:val="center"/>
          </w:tcPr>
          <w:p w14:paraId="1FB07B34">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0C8E8C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516,203.89</w:t>
            </w:r>
          </w:p>
        </w:tc>
        <w:tc>
          <w:tcPr>
            <w:tcW w:w="1606" w:type="dxa"/>
            <w:tcBorders>
              <w:top w:val="single" w:color="auto" w:sz="2" w:space="0"/>
              <w:left w:val="single" w:color="auto" w:sz="2" w:space="0"/>
              <w:bottom w:val="single" w:color="auto" w:sz="2" w:space="0"/>
              <w:right w:val="single" w:color="auto" w:sz="2" w:space="0"/>
            </w:tcBorders>
            <w:vAlign w:val="center"/>
          </w:tcPr>
          <w:p w14:paraId="62C257C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71,813,935.51</w:t>
            </w:r>
          </w:p>
        </w:tc>
      </w:tr>
      <w:tr w14:paraId="5E3BC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7AD0C8F">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.期初账面价值</w:t>
            </w:r>
          </w:p>
        </w:tc>
        <w:tc>
          <w:tcPr>
            <w:tcW w:w="1606" w:type="dxa"/>
            <w:tcBorders>
              <w:top w:val="single" w:color="auto" w:sz="2" w:space="0"/>
              <w:left w:val="single" w:color="auto" w:sz="2" w:space="0"/>
              <w:bottom w:val="single" w:color="auto" w:sz="2" w:space="0"/>
              <w:right w:val="single" w:color="auto" w:sz="2" w:space="0"/>
            </w:tcBorders>
            <w:vAlign w:val="center"/>
          </w:tcPr>
          <w:p w14:paraId="38FCB39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44,363,250.41</w:t>
            </w:r>
          </w:p>
        </w:tc>
        <w:tc>
          <w:tcPr>
            <w:tcW w:w="1606" w:type="dxa"/>
            <w:tcBorders>
              <w:top w:val="single" w:color="auto" w:sz="2" w:space="0"/>
              <w:left w:val="single" w:color="auto" w:sz="2" w:space="0"/>
              <w:bottom w:val="single" w:color="auto" w:sz="2" w:space="0"/>
              <w:right w:val="single" w:color="auto" w:sz="2" w:space="0"/>
            </w:tcBorders>
            <w:vAlign w:val="center"/>
          </w:tcPr>
          <w:p w14:paraId="51DFC19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27,511,073.76</w:t>
            </w:r>
          </w:p>
        </w:tc>
        <w:tc>
          <w:tcPr>
            <w:tcW w:w="1606" w:type="dxa"/>
            <w:tcBorders>
              <w:top w:val="single" w:color="auto" w:sz="2" w:space="0"/>
              <w:left w:val="single" w:color="auto" w:sz="2" w:space="0"/>
              <w:bottom w:val="single" w:color="auto" w:sz="2" w:space="0"/>
              <w:right w:val="single" w:color="auto" w:sz="2" w:space="0"/>
            </w:tcBorders>
            <w:vAlign w:val="center"/>
          </w:tcPr>
          <w:p w14:paraId="622307A2">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D9F2BE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827,361.72</w:t>
            </w:r>
          </w:p>
        </w:tc>
        <w:tc>
          <w:tcPr>
            <w:tcW w:w="1606" w:type="dxa"/>
            <w:tcBorders>
              <w:top w:val="single" w:color="auto" w:sz="2" w:space="0"/>
              <w:left w:val="single" w:color="auto" w:sz="2" w:space="0"/>
              <w:bottom w:val="single" w:color="auto" w:sz="2" w:space="0"/>
              <w:right w:val="single" w:color="auto" w:sz="2" w:space="0"/>
            </w:tcBorders>
            <w:vAlign w:val="center"/>
          </w:tcPr>
          <w:p w14:paraId="654D91B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72,701,685.89</w:t>
            </w:r>
          </w:p>
        </w:tc>
      </w:tr>
    </w:tbl>
    <w:p w14:paraId="3A729855">
      <w:pPr>
        <w:spacing w:before="100" w:after="100" w:line="0" w:lineRule="exact"/>
        <w:jc w:val="left"/>
      </w:pPr>
    </w:p>
    <w:p w14:paraId="3EA8A45B">
      <w:pPr>
        <w:spacing w:before="0" w:after="0" w:line="240" w:lineRule="exact"/>
        <w:jc w:val="left"/>
        <w:rPr>
          <w:rFonts w:ascii="宋体" w:hAnsi="宋体" w:eastAsia="宋体" w:cs="宋体"/>
          <w:sz w:val="18"/>
          <w:szCs w:val="18"/>
        </w:rPr>
      </w:pPr>
      <w:r>
        <w:rPr>
          <w:rFonts w:ascii="宋体" w:hAnsi="宋体" w:eastAsia="宋体" w:cs="宋体"/>
          <w:sz w:val="18"/>
          <w:szCs w:val="18"/>
        </w:rPr>
        <w:t>本期末通过公司内部研发形成的无形资产占无形资产余额的比例</w:t>
      </w:r>
      <w:r>
        <w:rPr>
          <w:rFonts w:hint="default" w:ascii="Times New Roman" w:hAnsi="Times New Roman" w:eastAsia="宋体" w:cs="Times New Roman"/>
          <w:sz w:val="18"/>
          <w:szCs w:val="18"/>
        </w:rPr>
        <w:t>53</w:t>
      </w:r>
      <w:r>
        <w:rPr>
          <w:rFonts w:ascii="宋体" w:hAnsi="宋体" w:eastAsia="宋体" w:cs="宋体"/>
          <w:sz w:val="18"/>
          <w:szCs w:val="18"/>
        </w:rPr>
        <w:t>.</w:t>
      </w:r>
      <w:r>
        <w:rPr>
          <w:rFonts w:hint="default" w:ascii="Times New Roman" w:hAnsi="Times New Roman" w:eastAsia="宋体" w:cs="Times New Roman"/>
          <w:sz w:val="18"/>
          <w:szCs w:val="18"/>
        </w:rPr>
        <w:t>46</w:t>
      </w:r>
      <w:r>
        <w:rPr>
          <w:rFonts w:ascii="宋体" w:hAnsi="宋体" w:eastAsia="宋体" w:cs="宋体"/>
          <w:sz w:val="18"/>
          <w:szCs w:val="18"/>
        </w:rPr>
        <w:t>%。</w:t>
      </w:r>
    </w:p>
    <w:p w14:paraId="21A7D7B5">
      <w:pPr>
        <w:pStyle w:val="3"/>
        <w:keepNext/>
        <w:keepLines/>
        <w:spacing w:before="300" w:after="300" w:line="280" w:lineRule="exact"/>
        <w:jc w:val="left"/>
        <w:outlineLvl w:val="2"/>
        <w:rPr>
          <w:rFonts w:ascii="宋体" w:hAnsi="宋体" w:eastAsia="宋体" w:cs="宋体"/>
          <w:b/>
          <w:bCs/>
          <w:sz w:val="21"/>
          <w:szCs w:val="21"/>
        </w:rPr>
      </w:pPr>
      <w:bookmarkStart w:id="318" w:name="_Toc989128"/>
      <w:r>
        <w:rPr>
          <w:rFonts w:hint="default" w:ascii="Times New Roman" w:hAnsi="Times New Roman" w:eastAsia="宋体" w:cs="Times New Roman"/>
          <w:b/>
          <w:bCs/>
          <w:sz w:val="21"/>
          <w:szCs w:val="21"/>
        </w:rPr>
        <w:t>14</w:t>
      </w:r>
      <w:r>
        <w:rPr>
          <w:rFonts w:ascii="宋体" w:hAnsi="宋体" w:eastAsia="宋体" w:cs="宋体"/>
          <w:b/>
          <w:bCs/>
          <w:sz w:val="21"/>
          <w:szCs w:val="21"/>
        </w:rPr>
        <w:t>、商誉</w:t>
      </w:r>
      <w:bookmarkEnd w:id="318"/>
    </w:p>
    <w:p w14:paraId="065DDB66">
      <w:pPr>
        <w:keepNext/>
        <w:keepLines/>
        <w:spacing w:before="300" w:after="300" w:line="280" w:lineRule="exact"/>
        <w:jc w:val="left"/>
        <w:outlineLvl w:val="3"/>
        <w:rPr>
          <w:rFonts w:ascii="宋体" w:hAnsi="宋体" w:eastAsia="宋体" w:cs="宋体"/>
          <w:b/>
          <w:bCs/>
          <w:sz w:val="21"/>
          <w:szCs w:val="21"/>
        </w:rPr>
      </w:pPr>
      <w:bookmarkStart w:id="319" w:name="_Toc989129"/>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商誉账面原值</w:t>
      </w:r>
      <w:bookmarkEnd w:id="319"/>
    </w:p>
    <w:p w14:paraId="4BBC0FC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0419A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D68A02A">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EFFE90B">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602668C">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E95803A">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B730C2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03B33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14:paraId="31F7AB33"/>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DE62EA2"/>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A92D1C4">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企业合并形成的</w:t>
            </w:r>
          </w:p>
        </w:tc>
        <w:tc>
          <w:tcPr>
            <w:tcW w:w="1377" w:type="dxa"/>
            <w:tcBorders>
              <w:top w:val="single" w:color="auto" w:sz="2" w:space="0"/>
              <w:left w:val="single" w:color="auto" w:sz="2" w:space="0"/>
              <w:bottom w:val="single" w:color="auto" w:sz="2" w:space="0"/>
              <w:right w:val="single" w:color="auto" w:sz="2" w:space="0"/>
            </w:tcBorders>
            <w:vAlign w:val="center"/>
          </w:tcPr>
          <w:p w14:paraId="6219362B">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819CCC2">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14:paraId="4726B831">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12BACF8"/>
        </w:tc>
      </w:tr>
      <w:tr w14:paraId="6632F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96C3F85">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珠海市祥乐医疗器械有限公司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567770C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522,970,260.39</w:t>
            </w:r>
          </w:p>
        </w:tc>
        <w:tc>
          <w:tcPr>
            <w:tcW w:w="1377" w:type="dxa"/>
            <w:tcBorders>
              <w:top w:val="single" w:color="auto" w:sz="2" w:space="0"/>
              <w:left w:val="single" w:color="auto" w:sz="2" w:space="0"/>
              <w:bottom w:val="single" w:color="auto" w:sz="2" w:space="0"/>
              <w:right w:val="single" w:color="auto" w:sz="2" w:space="0"/>
            </w:tcBorders>
            <w:vAlign w:val="center"/>
          </w:tcPr>
          <w:p w14:paraId="4E7AD4A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5F9227C">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BA732E8">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EE5A804">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724EF8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522,970,260.39</w:t>
            </w:r>
          </w:p>
        </w:tc>
      </w:tr>
      <w:tr w14:paraId="7D786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1CF227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武汉北度生物科技有限公司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68B8F78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28,853,292.36</w:t>
            </w:r>
          </w:p>
        </w:tc>
        <w:tc>
          <w:tcPr>
            <w:tcW w:w="1377" w:type="dxa"/>
            <w:tcBorders>
              <w:top w:val="single" w:color="auto" w:sz="2" w:space="0"/>
              <w:left w:val="single" w:color="auto" w:sz="2" w:space="0"/>
              <w:bottom w:val="single" w:color="auto" w:sz="2" w:space="0"/>
              <w:right w:val="single" w:color="auto" w:sz="2" w:space="0"/>
            </w:tcBorders>
            <w:vAlign w:val="center"/>
          </w:tcPr>
          <w:p w14:paraId="40123B87">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A39A8BC">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DF30377">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9350586">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7A2476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28,853,292.36</w:t>
            </w:r>
          </w:p>
        </w:tc>
      </w:tr>
      <w:tr w14:paraId="69FE1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919844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杭州明兴生物科技有限公司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045A2EE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14,740,331.87</w:t>
            </w:r>
          </w:p>
        </w:tc>
        <w:tc>
          <w:tcPr>
            <w:tcW w:w="1377" w:type="dxa"/>
            <w:tcBorders>
              <w:top w:val="single" w:color="auto" w:sz="2" w:space="0"/>
              <w:left w:val="single" w:color="auto" w:sz="2" w:space="0"/>
              <w:bottom w:val="single" w:color="auto" w:sz="2" w:space="0"/>
              <w:right w:val="single" w:color="auto" w:sz="2" w:space="0"/>
            </w:tcBorders>
            <w:vAlign w:val="center"/>
          </w:tcPr>
          <w:p w14:paraId="48E59BBB">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A6453A2">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BC61C96">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C92346F">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48DCD0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14,740,331.87</w:t>
            </w:r>
          </w:p>
        </w:tc>
      </w:tr>
      <w:tr w14:paraId="4FADC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8B9181D">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北京申佑医学研究有限公司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3FE86CB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2,088,493.54</w:t>
            </w:r>
          </w:p>
        </w:tc>
        <w:tc>
          <w:tcPr>
            <w:tcW w:w="1377" w:type="dxa"/>
            <w:tcBorders>
              <w:top w:val="single" w:color="auto" w:sz="2" w:space="0"/>
              <w:left w:val="single" w:color="auto" w:sz="2" w:space="0"/>
              <w:bottom w:val="single" w:color="auto" w:sz="2" w:space="0"/>
              <w:right w:val="single" w:color="auto" w:sz="2" w:space="0"/>
            </w:tcBorders>
            <w:vAlign w:val="center"/>
          </w:tcPr>
          <w:p w14:paraId="41C8DC7A">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0A3FE98">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2C98575">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6E8F9CE">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FA003A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2,088,493.54</w:t>
            </w:r>
          </w:p>
        </w:tc>
      </w:tr>
      <w:tr w14:paraId="5ABE6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8F20CC4">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广州百尼夫生物科技有限公司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00263C3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84,877.65</w:t>
            </w:r>
          </w:p>
        </w:tc>
        <w:tc>
          <w:tcPr>
            <w:tcW w:w="1377" w:type="dxa"/>
            <w:tcBorders>
              <w:top w:val="single" w:color="auto" w:sz="2" w:space="0"/>
              <w:left w:val="single" w:color="auto" w:sz="2" w:space="0"/>
              <w:bottom w:val="single" w:color="auto" w:sz="2" w:space="0"/>
              <w:right w:val="single" w:color="auto" w:sz="2" w:space="0"/>
            </w:tcBorders>
            <w:vAlign w:val="center"/>
          </w:tcPr>
          <w:p w14:paraId="514824AB">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33B93F4">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8D89282">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0A5C782">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8B2E15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84,877.65</w:t>
            </w:r>
          </w:p>
        </w:tc>
      </w:tr>
      <w:tr w14:paraId="162F3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238ECB6">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3CEDAD5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568,737,255.81</w:t>
            </w:r>
          </w:p>
        </w:tc>
        <w:tc>
          <w:tcPr>
            <w:tcW w:w="1377" w:type="dxa"/>
            <w:tcBorders>
              <w:top w:val="single" w:color="auto" w:sz="2" w:space="0"/>
              <w:left w:val="single" w:color="auto" w:sz="2" w:space="0"/>
              <w:bottom w:val="single" w:color="auto" w:sz="2" w:space="0"/>
              <w:right w:val="single" w:color="auto" w:sz="2" w:space="0"/>
            </w:tcBorders>
            <w:vAlign w:val="center"/>
          </w:tcPr>
          <w:p w14:paraId="53193B13">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E71B764">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E11EAAE">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F790127">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1F41B2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568,737,255.81</w:t>
            </w:r>
          </w:p>
        </w:tc>
      </w:tr>
    </w:tbl>
    <w:p w14:paraId="39E4D1C4">
      <w:pPr>
        <w:keepNext/>
        <w:keepLines/>
        <w:spacing w:before="300" w:after="300" w:line="280" w:lineRule="exact"/>
        <w:jc w:val="left"/>
        <w:outlineLvl w:val="3"/>
        <w:rPr>
          <w:rFonts w:ascii="宋体" w:hAnsi="宋体" w:eastAsia="宋体" w:cs="宋体"/>
          <w:b/>
          <w:bCs/>
          <w:sz w:val="21"/>
          <w:szCs w:val="21"/>
        </w:rPr>
      </w:pPr>
      <w:bookmarkStart w:id="320" w:name="_Toc989130"/>
      <w:r>
        <w:rPr>
          <w:rFonts w:ascii="宋体" w:hAnsi="宋体" w:eastAsia="宋体" w:cs="宋体"/>
          <w:b/>
          <w:bCs/>
          <w:sz w:val="21"/>
          <w:szCs w:val="21"/>
        </w:rPr>
        <w:t>（</w:t>
      </w:r>
      <w:r>
        <w:rPr>
          <w:rFonts w:hint="default" w:ascii="Times New Roman" w:hAnsi="Times New Roman" w:eastAsia="宋体" w:cs="Times New Roman"/>
          <w:b/>
          <w:bCs/>
          <w:sz w:val="21"/>
          <w:szCs w:val="21"/>
        </w:rPr>
        <w:t>2</w:t>
      </w:r>
      <w:r>
        <w:rPr>
          <w:rFonts w:ascii="宋体" w:hAnsi="宋体" w:eastAsia="宋体" w:cs="宋体"/>
          <w:b/>
          <w:bCs/>
          <w:sz w:val="21"/>
          <w:szCs w:val="21"/>
        </w:rPr>
        <w:t>） 商誉减值准备</w:t>
      </w:r>
      <w:bookmarkEnd w:id="320"/>
    </w:p>
    <w:p w14:paraId="70C7241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5E354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6BFAB14">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006B4B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CE659F7">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21D9D17">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A4B865D">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7B6FE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14:paraId="0D56FF01"/>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2A99896"/>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B5603B8">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vAlign w:val="center"/>
          </w:tcPr>
          <w:p w14:paraId="75DB4DBF">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FDBBFAB">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14:paraId="3EF14570">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90E3D85"/>
        </w:tc>
      </w:tr>
      <w:tr w14:paraId="4269F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4EACBCD">
            <w:pPr>
              <w:spacing w:before="0" w:after="0" w:line="240" w:lineRule="exact"/>
              <w:jc w:val="left"/>
              <w:rPr>
                <w:rFonts w:ascii="宋体" w:hAnsi="宋体" w:eastAsia="宋体" w:cs="宋体"/>
                <w:sz w:val="18"/>
                <w:szCs w:val="18"/>
              </w:rPr>
            </w:pPr>
            <w:r>
              <w:rPr>
                <w:rFonts w:ascii="宋体" w:hAnsi="宋体" w:eastAsia="宋体" w:cs="宋体"/>
                <w:sz w:val="18"/>
                <w:szCs w:val="18"/>
              </w:rPr>
              <w:t>珠海市祥乐医疗器械有限公司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21922A0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522,970,260.39</w:t>
            </w:r>
          </w:p>
        </w:tc>
        <w:tc>
          <w:tcPr>
            <w:tcW w:w="1377" w:type="dxa"/>
            <w:tcBorders>
              <w:top w:val="single" w:color="auto" w:sz="2" w:space="0"/>
              <w:left w:val="single" w:color="auto" w:sz="2" w:space="0"/>
              <w:bottom w:val="single" w:color="auto" w:sz="2" w:space="0"/>
              <w:right w:val="single" w:color="auto" w:sz="2" w:space="0"/>
            </w:tcBorders>
            <w:vAlign w:val="center"/>
          </w:tcPr>
          <w:p w14:paraId="0B8EDD33">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9253D83">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56801A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1048AA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6F9463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522,970,260.39</w:t>
            </w:r>
          </w:p>
        </w:tc>
      </w:tr>
      <w:tr w14:paraId="53584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9A2D0FA">
            <w:pPr>
              <w:spacing w:before="0" w:after="0" w:line="240" w:lineRule="exact"/>
              <w:jc w:val="left"/>
              <w:rPr>
                <w:rFonts w:ascii="宋体" w:hAnsi="宋体" w:eastAsia="宋体" w:cs="宋体"/>
                <w:sz w:val="18"/>
                <w:szCs w:val="18"/>
              </w:rPr>
            </w:pPr>
            <w:r>
              <w:rPr>
                <w:rFonts w:ascii="宋体" w:hAnsi="宋体" w:eastAsia="宋体" w:cs="宋体"/>
                <w:sz w:val="18"/>
                <w:szCs w:val="18"/>
              </w:rPr>
              <w:t>武汉北度生物科技有限公司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57F3B5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28,853,292.36</w:t>
            </w:r>
          </w:p>
        </w:tc>
        <w:tc>
          <w:tcPr>
            <w:tcW w:w="1377" w:type="dxa"/>
            <w:tcBorders>
              <w:top w:val="single" w:color="auto" w:sz="2" w:space="0"/>
              <w:left w:val="single" w:color="auto" w:sz="2" w:space="0"/>
              <w:bottom w:val="single" w:color="auto" w:sz="2" w:space="0"/>
              <w:right w:val="single" w:color="auto" w:sz="2" w:space="0"/>
            </w:tcBorders>
            <w:vAlign w:val="center"/>
          </w:tcPr>
          <w:p w14:paraId="3C2581B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B1C778A">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A5E0A1F">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41E5F0D">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679CA7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28,853,292.36</w:t>
            </w:r>
          </w:p>
        </w:tc>
      </w:tr>
      <w:tr w14:paraId="79B7D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E266241">
            <w:pPr>
              <w:spacing w:before="0" w:after="0" w:line="240" w:lineRule="exact"/>
              <w:jc w:val="left"/>
              <w:rPr>
                <w:rFonts w:ascii="宋体" w:hAnsi="宋体" w:eastAsia="宋体" w:cs="宋体"/>
                <w:sz w:val="18"/>
                <w:szCs w:val="18"/>
              </w:rPr>
            </w:pPr>
            <w:r>
              <w:rPr>
                <w:rFonts w:ascii="宋体" w:hAnsi="宋体" w:eastAsia="宋体" w:cs="宋体"/>
                <w:sz w:val="18"/>
                <w:szCs w:val="18"/>
              </w:rPr>
              <w:t>杭州明兴生物科技有限公司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61C0CFD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14,740,331.87</w:t>
            </w:r>
          </w:p>
        </w:tc>
        <w:tc>
          <w:tcPr>
            <w:tcW w:w="1377" w:type="dxa"/>
            <w:tcBorders>
              <w:top w:val="single" w:color="auto" w:sz="2" w:space="0"/>
              <w:left w:val="single" w:color="auto" w:sz="2" w:space="0"/>
              <w:bottom w:val="single" w:color="auto" w:sz="2" w:space="0"/>
              <w:right w:val="single" w:color="auto" w:sz="2" w:space="0"/>
            </w:tcBorders>
            <w:vAlign w:val="center"/>
          </w:tcPr>
          <w:p w14:paraId="231F4C4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79C47BD">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83F5602">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CB795E2">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C26B8B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14,740,331.87</w:t>
            </w:r>
          </w:p>
        </w:tc>
      </w:tr>
      <w:tr w14:paraId="0716A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7861096">
            <w:pPr>
              <w:spacing w:before="0" w:after="0" w:line="240" w:lineRule="exact"/>
              <w:jc w:val="left"/>
              <w:rPr>
                <w:rFonts w:ascii="宋体" w:hAnsi="宋体" w:eastAsia="宋体" w:cs="宋体"/>
                <w:sz w:val="18"/>
                <w:szCs w:val="18"/>
              </w:rPr>
            </w:pPr>
            <w:r>
              <w:rPr>
                <w:rFonts w:ascii="宋体" w:hAnsi="宋体" w:eastAsia="宋体" w:cs="宋体"/>
                <w:sz w:val="18"/>
                <w:szCs w:val="18"/>
              </w:rPr>
              <w:t>北京申佑医学研究有限公司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5CC948D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2,088,493.54</w:t>
            </w:r>
          </w:p>
        </w:tc>
        <w:tc>
          <w:tcPr>
            <w:tcW w:w="1377" w:type="dxa"/>
            <w:tcBorders>
              <w:top w:val="single" w:color="auto" w:sz="2" w:space="0"/>
              <w:left w:val="single" w:color="auto" w:sz="2" w:space="0"/>
              <w:bottom w:val="single" w:color="auto" w:sz="2" w:space="0"/>
              <w:right w:val="single" w:color="auto" w:sz="2" w:space="0"/>
            </w:tcBorders>
            <w:vAlign w:val="center"/>
          </w:tcPr>
          <w:p w14:paraId="36BD7EAD">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CC5F61C">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570D757">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E1C6D2C">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522386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2,088,493.54</w:t>
            </w:r>
          </w:p>
        </w:tc>
      </w:tr>
      <w:tr w14:paraId="23F60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2B3A878">
            <w:pPr>
              <w:spacing w:before="0" w:after="0" w:line="240" w:lineRule="exact"/>
              <w:jc w:val="left"/>
              <w:rPr>
                <w:rFonts w:ascii="宋体" w:hAnsi="宋体" w:eastAsia="宋体" w:cs="宋体"/>
                <w:sz w:val="18"/>
                <w:szCs w:val="18"/>
              </w:rPr>
            </w:pPr>
            <w:r>
              <w:rPr>
                <w:rFonts w:ascii="宋体" w:hAnsi="宋体" w:eastAsia="宋体" w:cs="宋体"/>
                <w:sz w:val="18"/>
                <w:szCs w:val="18"/>
              </w:rPr>
              <w:t>广州百尼夫生物科技有限公司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30E3840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84,877.65</w:t>
            </w:r>
          </w:p>
        </w:tc>
        <w:tc>
          <w:tcPr>
            <w:tcW w:w="1377" w:type="dxa"/>
            <w:tcBorders>
              <w:top w:val="single" w:color="auto" w:sz="2" w:space="0"/>
              <w:left w:val="single" w:color="auto" w:sz="2" w:space="0"/>
              <w:bottom w:val="single" w:color="auto" w:sz="2" w:space="0"/>
              <w:right w:val="single" w:color="auto" w:sz="2" w:space="0"/>
            </w:tcBorders>
            <w:vAlign w:val="center"/>
          </w:tcPr>
          <w:p w14:paraId="04DB64AE">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E7645DB">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02417C2">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342037C">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C28F5E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84,877.65</w:t>
            </w:r>
          </w:p>
        </w:tc>
      </w:tr>
      <w:tr w14:paraId="57760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0D9106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4D1698D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568,737,255.81</w:t>
            </w:r>
          </w:p>
        </w:tc>
        <w:tc>
          <w:tcPr>
            <w:tcW w:w="1377" w:type="dxa"/>
            <w:tcBorders>
              <w:top w:val="single" w:color="auto" w:sz="2" w:space="0"/>
              <w:left w:val="single" w:color="auto" w:sz="2" w:space="0"/>
              <w:bottom w:val="single" w:color="auto" w:sz="2" w:space="0"/>
              <w:right w:val="single" w:color="auto" w:sz="2" w:space="0"/>
            </w:tcBorders>
            <w:vAlign w:val="center"/>
          </w:tcPr>
          <w:p w14:paraId="0BE1F9CE">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C6A4172">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9EAC0F8">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3F8165A">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84ECD6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568,737,255.81</w:t>
            </w:r>
          </w:p>
        </w:tc>
      </w:tr>
    </w:tbl>
    <w:p w14:paraId="16808B3C">
      <w:pPr>
        <w:pStyle w:val="3"/>
        <w:keepNext/>
        <w:keepLines/>
        <w:spacing w:before="300" w:after="300" w:line="280" w:lineRule="exact"/>
        <w:jc w:val="left"/>
        <w:outlineLvl w:val="2"/>
        <w:rPr>
          <w:rFonts w:ascii="宋体" w:hAnsi="宋体" w:eastAsia="宋体" w:cs="宋体"/>
          <w:b/>
          <w:bCs/>
          <w:sz w:val="21"/>
          <w:szCs w:val="21"/>
        </w:rPr>
      </w:pPr>
      <w:bookmarkStart w:id="321" w:name="_Toc989131"/>
      <w:r>
        <w:rPr>
          <w:rFonts w:hint="default" w:ascii="Times New Roman" w:hAnsi="Times New Roman" w:eastAsia="宋体" w:cs="Times New Roman"/>
          <w:b/>
          <w:bCs/>
          <w:sz w:val="21"/>
          <w:szCs w:val="21"/>
        </w:rPr>
        <w:t>15</w:t>
      </w:r>
      <w:r>
        <w:rPr>
          <w:rFonts w:ascii="宋体" w:hAnsi="宋体" w:eastAsia="宋体" w:cs="宋体"/>
          <w:b/>
          <w:bCs/>
          <w:sz w:val="21"/>
          <w:szCs w:val="21"/>
        </w:rPr>
        <w:t>、长期待摊费用</w:t>
      </w:r>
      <w:bookmarkEnd w:id="321"/>
    </w:p>
    <w:p w14:paraId="0B44017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3302B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E22F2B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B2DD16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AD95813">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8576776">
            <w:pPr>
              <w:spacing w:before="40" w:after="40" w:line="240" w:lineRule="exact"/>
              <w:jc w:val="center"/>
              <w:rPr>
                <w:rFonts w:ascii="宋体" w:hAnsi="宋体" w:eastAsia="宋体" w:cs="宋体"/>
                <w:sz w:val="18"/>
                <w:szCs w:val="18"/>
              </w:rPr>
            </w:pPr>
            <w:r>
              <w:rPr>
                <w:rFonts w:ascii="宋体" w:hAnsi="宋体" w:eastAsia="宋体" w:cs="宋体"/>
                <w:sz w:val="18"/>
                <w:szCs w:val="18"/>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9BDC011">
            <w:pPr>
              <w:spacing w:before="40" w:after="40" w:line="240" w:lineRule="exact"/>
              <w:jc w:val="center"/>
              <w:rPr>
                <w:rFonts w:ascii="宋体" w:hAnsi="宋体" w:eastAsia="宋体" w:cs="宋体"/>
                <w:sz w:val="18"/>
                <w:szCs w:val="18"/>
              </w:rPr>
            </w:pPr>
            <w:r>
              <w:rPr>
                <w:rFonts w:ascii="宋体" w:hAnsi="宋体" w:eastAsia="宋体" w:cs="宋体"/>
                <w:sz w:val="18"/>
                <w:szCs w:val="18"/>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3AA8AEA">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71210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90D0CD8">
            <w:pPr>
              <w:spacing w:before="0" w:after="0" w:line="240" w:lineRule="exact"/>
              <w:jc w:val="left"/>
              <w:rPr>
                <w:rFonts w:ascii="宋体" w:hAnsi="宋体" w:eastAsia="宋体" w:cs="宋体"/>
                <w:sz w:val="18"/>
                <w:szCs w:val="18"/>
              </w:rPr>
            </w:pPr>
            <w:r>
              <w:rPr>
                <w:rFonts w:ascii="宋体" w:hAnsi="宋体" w:eastAsia="宋体" w:cs="宋体"/>
                <w:sz w:val="18"/>
                <w:szCs w:val="18"/>
              </w:rPr>
              <w:t>经营性租赁固定资产装修</w:t>
            </w:r>
          </w:p>
        </w:tc>
        <w:tc>
          <w:tcPr>
            <w:tcW w:w="1606" w:type="dxa"/>
            <w:tcBorders>
              <w:top w:val="single" w:color="auto" w:sz="2" w:space="0"/>
              <w:left w:val="single" w:color="auto" w:sz="2" w:space="0"/>
              <w:bottom w:val="single" w:color="auto" w:sz="2" w:space="0"/>
              <w:right w:val="single" w:color="auto" w:sz="2" w:space="0"/>
            </w:tcBorders>
            <w:vAlign w:val="center"/>
          </w:tcPr>
          <w:p w14:paraId="03FDB2A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1,437,731.64</w:t>
            </w:r>
          </w:p>
        </w:tc>
        <w:tc>
          <w:tcPr>
            <w:tcW w:w="1606" w:type="dxa"/>
            <w:tcBorders>
              <w:top w:val="single" w:color="auto" w:sz="2" w:space="0"/>
              <w:left w:val="single" w:color="auto" w:sz="2" w:space="0"/>
              <w:bottom w:val="single" w:color="auto" w:sz="2" w:space="0"/>
              <w:right w:val="single" w:color="auto" w:sz="2" w:space="0"/>
            </w:tcBorders>
            <w:vAlign w:val="center"/>
          </w:tcPr>
          <w:p w14:paraId="73DD1DE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341,948.96</w:t>
            </w:r>
          </w:p>
        </w:tc>
        <w:tc>
          <w:tcPr>
            <w:tcW w:w="1606" w:type="dxa"/>
            <w:tcBorders>
              <w:top w:val="single" w:color="auto" w:sz="2" w:space="0"/>
              <w:left w:val="single" w:color="auto" w:sz="2" w:space="0"/>
              <w:bottom w:val="single" w:color="auto" w:sz="2" w:space="0"/>
              <w:right w:val="single" w:color="auto" w:sz="2" w:space="0"/>
            </w:tcBorders>
            <w:vAlign w:val="center"/>
          </w:tcPr>
          <w:p w14:paraId="1E56503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355,227.74</w:t>
            </w:r>
          </w:p>
        </w:tc>
        <w:tc>
          <w:tcPr>
            <w:tcW w:w="1606" w:type="dxa"/>
            <w:tcBorders>
              <w:top w:val="single" w:color="auto" w:sz="2" w:space="0"/>
              <w:left w:val="single" w:color="auto" w:sz="2" w:space="0"/>
              <w:bottom w:val="single" w:color="auto" w:sz="2" w:space="0"/>
              <w:right w:val="single" w:color="auto" w:sz="2" w:space="0"/>
            </w:tcBorders>
            <w:vAlign w:val="center"/>
          </w:tcPr>
          <w:p w14:paraId="65489F37">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90BB57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1,424,452.86</w:t>
            </w:r>
          </w:p>
        </w:tc>
      </w:tr>
      <w:tr w14:paraId="361DD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7C711A3">
            <w:pPr>
              <w:spacing w:before="0" w:after="0" w:line="240" w:lineRule="exact"/>
              <w:jc w:val="left"/>
              <w:rPr>
                <w:rFonts w:ascii="宋体" w:hAnsi="宋体" w:eastAsia="宋体" w:cs="宋体"/>
                <w:sz w:val="18"/>
                <w:szCs w:val="18"/>
              </w:rPr>
            </w:pPr>
            <w:r>
              <w:rPr>
                <w:rFonts w:ascii="宋体" w:hAnsi="宋体" w:eastAsia="宋体" w:cs="宋体"/>
                <w:sz w:val="18"/>
                <w:szCs w:val="18"/>
              </w:rPr>
              <w:t>自有固定资产装修费</w:t>
            </w:r>
          </w:p>
        </w:tc>
        <w:tc>
          <w:tcPr>
            <w:tcW w:w="1606" w:type="dxa"/>
            <w:tcBorders>
              <w:top w:val="single" w:color="auto" w:sz="2" w:space="0"/>
              <w:left w:val="single" w:color="auto" w:sz="2" w:space="0"/>
              <w:bottom w:val="single" w:color="auto" w:sz="2" w:space="0"/>
              <w:right w:val="single" w:color="auto" w:sz="2" w:space="0"/>
            </w:tcBorders>
            <w:vAlign w:val="center"/>
          </w:tcPr>
          <w:p w14:paraId="7843EC0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1,822,377.08</w:t>
            </w:r>
          </w:p>
        </w:tc>
        <w:tc>
          <w:tcPr>
            <w:tcW w:w="1606" w:type="dxa"/>
            <w:tcBorders>
              <w:top w:val="single" w:color="auto" w:sz="2" w:space="0"/>
              <w:left w:val="single" w:color="auto" w:sz="2" w:space="0"/>
              <w:bottom w:val="single" w:color="auto" w:sz="2" w:space="0"/>
              <w:right w:val="single" w:color="auto" w:sz="2" w:space="0"/>
            </w:tcBorders>
            <w:vAlign w:val="center"/>
          </w:tcPr>
          <w:p w14:paraId="4B452A77">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D65F5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599,526.94</w:t>
            </w:r>
          </w:p>
        </w:tc>
        <w:tc>
          <w:tcPr>
            <w:tcW w:w="1606" w:type="dxa"/>
            <w:tcBorders>
              <w:top w:val="single" w:color="auto" w:sz="2" w:space="0"/>
              <w:left w:val="single" w:color="auto" w:sz="2" w:space="0"/>
              <w:bottom w:val="single" w:color="auto" w:sz="2" w:space="0"/>
              <w:right w:val="single" w:color="auto" w:sz="2" w:space="0"/>
            </w:tcBorders>
            <w:vAlign w:val="center"/>
          </w:tcPr>
          <w:p w14:paraId="1089376B">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EAF6BB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1,222,850.14</w:t>
            </w:r>
          </w:p>
        </w:tc>
      </w:tr>
      <w:tr w14:paraId="1B47A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9B24134">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14:paraId="42D99B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3,260,108.72</w:t>
            </w:r>
          </w:p>
        </w:tc>
        <w:tc>
          <w:tcPr>
            <w:tcW w:w="1606" w:type="dxa"/>
            <w:tcBorders>
              <w:top w:val="single" w:color="auto" w:sz="2" w:space="0"/>
              <w:left w:val="single" w:color="auto" w:sz="2" w:space="0"/>
              <w:bottom w:val="single" w:color="auto" w:sz="2" w:space="0"/>
              <w:right w:val="single" w:color="auto" w:sz="2" w:space="0"/>
            </w:tcBorders>
            <w:vAlign w:val="center"/>
          </w:tcPr>
          <w:p w14:paraId="5C6812A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341,948.96</w:t>
            </w:r>
          </w:p>
        </w:tc>
        <w:tc>
          <w:tcPr>
            <w:tcW w:w="1606" w:type="dxa"/>
            <w:tcBorders>
              <w:top w:val="single" w:color="auto" w:sz="2" w:space="0"/>
              <w:left w:val="single" w:color="auto" w:sz="2" w:space="0"/>
              <w:bottom w:val="single" w:color="auto" w:sz="2" w:space="0"/>
              <w:right w:val="single" w:color="auto" w:sz="2" w:space="0"/>
            </w:tcBorders>
            <w:vAlign w:val="center"/>
          </w:tcPr>
          <w:p w14:paraId="7D21C95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954,754.68</w:t>
            </w:r>
          </w:p>
        </w:tc>
        <w:tc>
          <w:tcPr>
            <w:tcW w:w="1606" w:type="dxa"/>
            <w:tcBorders>
              <w:top w:val="single" w:color="auto" w:sz="2" w:space="0"/>
              <w:left w:val="single" w:color="auto" w:sz="2" w:space="0"/>
              <w:bottom w:val="single" w:color="auto" w:sz="2" w:space="0"/>
              <w:right w:val="single" w:color="auto" w:sz="2" w:space="0"/>
            </w:tcBorders>
            <w:vAlign w:val="center"/>
          </w:tcPr>
          <w:p w14:paraId="2837BE50">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3BF666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2,647,303.00</w:t>
            </w:r>
          </w:p>
        </w:tc>
      </w:tr>
    </w:tbl>
    <w:p w14:paraId="3F0C3097">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3B49F5B4">
      <w:pPr>
        <w:pStyle w:val="3"/>
        <w:keepNext/>
        <w:keepLines/>
        <w:spacing w:before="300" w:after="300" w:line="280" w:lineRule="exact"/>
        <w:jc w:val="left"/>
        <w:outlineLvl w:val="2"/>
        <w:rPr>
          <w:rFonts w:ascii="宋体" w:hAnsi="宋体" w:eastAsia="宋体" w:cs="宋体"/>
          <w:b/>
          <w:bCs/>
          <w:sz w:val="21"/>
          <w:szCs w:val="21"/>
        </w:rPr>
      </w:pPr>
      <w:bookmarkStart w:id="322" w:name="_Toc989132"/>
      <w:r>
        <w:rPr>
          <w:rFonts w:hint="default" w:ascii="Times New Roman" w:hAnsi="Times New Roman" w:eastAsia="宋体" w:cs="Times New Roman"/>
          <w:b/>
          <w:bCs/>
          <w:sz w:val="21"/>
          <w:szCs w:val="21"/>
        </w:rPr>
        <w:t>16</w:t>
      </w:r>
      <w:r>
        <w:rPr>
          <w:rFonts w:ascii="宋体" w:hAnsi="宋体" w:eastAsia="宋体" w:cs="宋体"/>
          <w:b/>
          <w:bCs/>
          <w:sz w:val="21"/>
          <w:szCs w:val="21"/>
        </w:rPr>
        <w:t>、递延所得税资产/递延所得税负债</w:t>
      </w:r>
      <w:bookmarkEnd w:id="322"/>
    </w:p>
    <w:p w14:paraId="255DCBC9">
      <w:pPr>
        <w:keepNext/>
        <w:keepLines/>
        <w:spacing w:before="300" w:after="300" w:line="280" w:lineRule="exact"/>
        <w:jc w:val="left"/>
        <w:outlineLvl w:val="3"/>
        <w:rPr>
          <w:rFonts w:ascii="宋体" w:hAnsi="宋体" w:eastAsia="宋体" w:cs="宋体"/>
          <w:b/>
          <w:bCs/>
          <w:sz w:val="21"/>
          <w:szCs w:val="21"/>
        </w:rPr>
      </w:pPr>
      <w:bookmarkStart w:id="323" w:name="_Toc989133"/>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未经抵销的递延所得税资产</w:t>
      </w:r>
      <w:bookmarkEnd w:id="323"/>
    </w:p>
    <w:p w14:paraId="10C9DB9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22469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29223A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DFC2474">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157396D">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0F91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6CEE09E"/>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EBDC94D">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0255BB9">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AA11194">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D6A5158">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r>
      <w:tr w14:paraId="04310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4E87D50">
            <w:pPr>
              <w:spacing w:before="40" w:after="40" w:line="240" w:lineRule="exact"/>
              <w:jc w:val="left"/>
              <w:rPr>
                <w:rFonts w:ascii="宋体" w:hAnsi="宋体" w:eastAsia="宋体" w:cs="宋体"/>
                <w:sz w:val="18"/>
                <w:szCs w:val="18"/>
              </w:rPr>
            </w:pPr>
            <w:r>
              <w:rPr>
                <w:rFonts w:ascii="宋体" w:hAnsi="宋体" w:eastAsia="宋体" w:cs="宋体"/>
                <w:sz w:val="18"/>
                <w:szCs w:val="18"/>
              </w:rPr>
              <w:t>资产减值准备</w:t>
            </w:r>
          </w:p>
        </w:tc>
        <w:tc>
          <w:tcPr>
            <w:tcW w:w="1928" w:type="dxa"/>
            <w:tcBorders>
              <w:top w:val="single" w:color="auto" w:sz="2" w:space="0"/>
              <w:left w:val="single" w:color="auto" w:sz="2" w:space="0"/>
              <w:bottom w:val="single" w:color="auto" w:sz="2" w:space="0"/>
              <w:right w:val="single" w:color="auto" w:sz="2" w:space="0"/>
            </w:tcBorders>
            <w:vAlign w:val="center"/>
          </w:tcPr>
          <w:p w14:paraId="4510715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51,568,426.50</w:t>
            </w:r>
          </w:p>
        </w:tc>
        <w:tc>
          <w:tcPr>
            <w:tcW w:w="1928" w:type="dxa"/>
            <w:tcBorders>
              <w:top w:val="single" w:color="auto" w:sz="2" w:space="0"/>
              <w:left w:val="single" w:color="auto" w:sz="2" w:space="0"/>
              <w:bottom w:val="single" w:color="auto" w:sz="2" w:space="0"/>
              <w:right w:val="single" w:color="auto" w:sz="2" w:space="0"/>
            </w:tcBorders>
            <w:vAlign w:val="center"/>
          </w:tcPr>
          <w:p w14:paraId="07F8279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8,792,441.83</w:t>
            </w:r>
          </w:p>
        </w:tc>
        <w:tc>
          <w:tcPr>
            <w:tcW w:w="1928" w:type="dxa"/>
            <w:tcBorders>
              <w:top w:val="single" w:color="auto" w:sz="2" w:space="0"/>
              <w:left w:val="single" w:color="auto" w:sz="2" w:space="0"/>
              <w:bottom w:val="single" w:color="auto" w:sz="2" w:space="0"/>
              <w:right w:val="single" w:color="auto" w:sz="2" w:space="0"/>
            </w:tcBorders>
            <w:vAlign w:val="center"/>
          </w:tcPr>
          <w:p w14:paraId="53D33A8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48,301,737.80</w:t>
            </w:r>
          </w:p>
        </w:tc>
        <w:tc>
          <w:tcPr>
            <w:tcW w:w="1928" w:type="dxa"/>
            <w:tcBorders>
              <w:top w:val="single" w:color="auto" w:sz="2" w:space="0"/>
              <w:left w:val="single" w:color="auto" w:sz="2" w:space="0"/>
              <w:bottom w:val="single" w:color="auto" w:sz="2" w:space="0"/>
              <w:right w:val="single" w:color="auto" w:sz="2" w:space="0"/>
            </w:tcBorders>
            <w:vAlign w:val="center"/>
          </w:tcPr>
          <w:p w14:paraId="40FE568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8,235,004.54</w:t>
            </w:r>
          </w:p>
        </w:tc>
      </w:tr>
      <w:tr w14:paraId="1D4DF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1FEA596B">
            <w:pPr>
              <w:spacing w:before="0" w:after="0" w:line="240" w:lineRule="exact"/>
              <w:jc w:val="left"/>
              <w:rPr>
                <w:rFonts w:ascii="宋体" w:hAnsi="宋体" w:eastAsia="宋体" w:cs="宋体"/>
                <w:sz w:val="18"/>
                <w:szCs w:val="18"/>
              </w:rPr>
            </w:pPr>
            <w:r>
              <w:rPr>
                <w:rFonts w:ascii="宋体" w:hAnsi="宋体" w:eastAsia="宋体" w:cs="宋体"/>
                <w:sz w:val="18"/>
                <w:szCs w:val="18"/>
              </w:rPr>
              <w:t>计入其他综合收益的金融资产公允价值变动</w:t>
            </w:r>
          </w:p>
        </w:tc>
        <w:tc>
          <w:tcPr>
            <w:tcW w:w="1928" w:type="dxa"/>
            <w:tcBorders>
              <w:top w:val="single" w:color="auto" w:sz="2" w:space="0"/>
              <w:left w:val="single" w:color="auto" w:sz="2" w:space="0"/>
              <w:bottom w:val="single" w:color="auto" w:sz="2" w:space="0"/>
              <w:right w:val="single" w:color="auto" w:sz="2" w:space="0"/>
            </w:tcBorders>
            <w:vAlign w:val="center"/>
          </w:tcPr>
          <w:p w14:paraId="5370D6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50,000,000.00</w:t>
            </w:r>
          </w:p>
        </w:tc>
        <w:tc>
          <w:tcPr>
            <w:tcW w:w="1928" w:type="dxa"/>
            <w:tcBorders>
              <w:top w:val="single" w:color="auto" w:sz="2" w:space="0"/>
              <w:left w:val="single" w:color="auto" w:sz="2" w:space="0"/>
              <w:bottom w:val="single" w:color="auto" w:sz="2" w:space="0"/>
              <w:right w:val="single" w:color="auto" w:sz="2" w:space="0"/>
            </w:tcBorders>
            <w:vAlign w:val="center"/>
          </w:tcPr>
          <w:p w14:paraId="659432E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7,500,000.00</w:t>
            </w:r>
          </w:p>
        </w:tc>
        <w:tc>
          <w:tcPr>
            <w:tcW w:w="1928" w:type="dxa"/>
            <w:tcBorders>
              <w:top w:val="single" w:color="auto" w:sz="2" w:space="0"/>
              <w:left w:val="single" w:color="auto" w:sz="2" w:space="0"/>
              <w:bottom w:val="single" w:color="auto" w:sz="2" w:space="0"/>
              <w:right w:val="single" w:color="auto" w:sz="2" w:space="0"/>
            </w:tcBorders>
            <w:vAlign w:val="center"/>
          </w:tcPr>
          <w:p w14:paraId="21AD786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50,000,000.00</w:t>
            </w:r>
          </w:p>
        </w:tc>
        <w:tc>
          <w:tcPr>
            <w:tcW w:w="1928" w:type="dxa"/>
            <w:tcBorders>
              <w:top w:val="single" w:color="auto" w:sz="2" w:space="0"/>
              <w:left w:val="single" w:color="auto" w:sz="2" w:space="0"/>
              <w:bottom w:val="single" w:color="auto" w:sz="2" w:space="0"/>
              <w:right w:val="single" w:color="auto" w:sz="2" w:space="0"/>
            </w:tcBorders>
            <w:vAlign w:val="center"/>
          </w:tcPr>
          <w:p w14:paraId="035C25C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7,500,000.00</w:t>
            </w:r>
          </w:p>
        </w:tc>
      </w:tr>
      <w:tr w14:paraId="0FFEC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E6C6A06">
            <w:pPr>
              <w:spacing w:before="0" w:after="0" w:line="240" w:lineRule="exact"/>
              <w:jc w:val="left"/>
              <w:rPr>
                <w:rFonts w:ascii="宋体" w:hAnsi="宋体" w:eastAsia="宋体" w:cs="宋体"/>
                <w:sz w:val="18"/>
                <w:szCs w:val="18"/>
              </w:rPr>
            </w:pPr>
            <w:r>
              <w:rPr>
                <w:rFonts w:ascii="宋体" w:hAnsi="宋体" w:eastAsia="宋体" w:cs="宋体"/>
                <w:sz w:val="18"/>
                <w:szCs w:val="18"/>
              </w:rPr>
              <w:t>其他（租赁）</w:t>
            </w:r>
          </w:p>
        </w:tc>
        <w:tc>
          <w:tcPr>
            <w:tcW w:w="1928" w:type="dxa"/>
            <w:tcBorders>
              <w:top w:val="single" w:color="auto" w:sz="2" w:space="0"/>
              <w:left w:val="single" w:color="auto" w:sz="2" w:space="0"/>
              <w:bottom w:val="single" w:color="auto" w:sz="2" w:space="0"/>
              <w:right w:val="single" w:color="auto" w:sz="2" w:space="0"/>
            </w:tcBorders>
            <w:vAlign w:val="center"/>
          </w:tcPr>
          <w:p w14:paraId="1C7FA08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5,816,092.00</w:t>
            </w:r>
          </w:p>
        </w:tc>
        <w:tc>
          <w:tcPr>
            <w:tcW w:w="1928" w:type="dxa"/>
            <w:tcBorders>
              <w:top w:val="single" w:color="auto" w:sz="2" w:space="0"/>
              <w:left w:val="single" w:color="auto" w:sz="2" w:space="0"/>
              <w:bottom w:val="single" w:color="auto" w:sz="2" w:space="0"/>
              <w:right w:val="single" w:color="auto" w:sz="2" w:space="0"/>
            </w:tcBorders>
            <w:vAlign w:val="center"/>
          </w:tcPr>
          <w:p w14:paraId="4D1BC62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1,366,842.10</w:t>
            </w:r>
          </w:p>
        </w:tc>
        <w:tc>
          <w:tcPr>
            <w:tcW w:w="1928" w:type="dxa"/>
            <w:tcBorders>
              <w:top w:val="single" w:color="auto" w:sz="2" w:space="0"/>
              <w:left w:val="single" w:color="auto" w:sz="2" w:space="0"/>
              <w:bottom w:val="single" w:color="auto" w:sz="2" w:space="0"/>
              <w:right w:val="single" w:color="auto" w:sz="2" w:space="0"/>
            </w:tcBorders>
            <w:vAlign w:val="center"/>
          </w:tcPr>
          <w:p w14:paraId="6C3EF49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11,869,644.04</w:t>
            </w:r>
          </w:p>
        </w:tc>
        <w:tc>
          <w:tcPr>
            <w:tcW w:w="1928" w:type="dxa"/>
            <w:tcBorders>
              <w:top w:val="single" w:color="auto" w:sz="2" w:space="0"/>
              <w:left w:val="single" w:color="auto" w:sz="2" w:space="0"/>
              <w:bottom w:val="single" w:color="auto" w:sz="2" w:space="0"/>
              <w:right w:val="single" w:color="auto" w:sz="2" w:space="0"/>
            </w:tcBorders>
            <w:vAlign w:val="center"/>
          </w:tcPr>
          <w:p w14:paraId="07482F8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2,685,715.63</w:t>
            </w:r>
          </w:p>
        </w:tc>
      </w:tr>
      <w:tr w14:paraId="3068A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3EFD98D">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5113B9B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107,384,518.50</w:t>
            </w:r>
          </w:p>
        </w:tc>
        <w:tc>
          <w:tcPr>
            <w:tcW w:w="1928" w:type="dxa"/>
            <w:tcBorders>
              <w:top w:val="single" w:color="auto" w:sz="2" w:space="0"/>
              <w:left w:val="single" w:color="auto" w:sz="2" w:space="0"/>
              <w:bottom w:val="single" w:color="auto" w:sz="2" w:space="0"/>
              <w:right w:val="single" w:color="auto" w:sz="2" w:space="0"/>
            </w:tcBorders>
            <w:vAlign w:val="center"/>
          </w:tcPr>
          <w:p w14:paraId="2A8AE3F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17,659,283.93</w:t>
            </w:r>
          </w:p>
        </w:tc>
        <w:tc>
          <w:tcPr>
            <w:tcW w:w="1928" w:type="dxa"/>
            <w:tcBorders>
              <w:top w:val="single" w:color="auto" w:sz="2" w:space="0"/>
              <w:left w:val="single" w:color="auto" w:sz="2" w:space="0"/>
              <w:bottom w:val="single" w:color="auto" w:sz="2" w:space="0"/>
              <w:right w:val="single" w:color="auto" w:sz="2" w:space="0"/>
            </w:tcBorders>
            <w:vAlign w:val="center"/>
          </w:tcPr>
          <w:p w14:paraId="505CADD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110,171,381.84</w:t>
            </w:r>
          </w:p>
        </w:tc>
        <w:tc>
          <w:tcPr>
            <w:tcW w:w="1928" w:type="dxa"/>
            <w:tcBorders>
              <w:top w:val="single" w:color="auto" w:sz="2" w:space="0"/>
              <w:left w:val="single" w:color="auto" w:sz="2" w:space="0"/>
              <w:bottom w:val="single" w:color="auto" w:sz="2" w:space="0"/>
              <w:right w:val="single" w:color="auto" w:sz="2" w:space="0"/>
            </w:tcBorders>
            <w:vAlign w:val="center"/>
          </w:tcPr>
          <w:p w14:paraId="0994488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18,420,720.17</w:t>
            </w:r>
          </w:p>
        </w:tc>
      </w:tr>
    </w:tbl>
    <w:p w14:paraId="357261CE">
      <w:pPr>
        <w:keepNext/>
        <w:keepLines/>
        <w:spacing w:before="300" w:after="300" w:line="280" w:lineRule="exact"/>
        <w:jc w:val="left"/>
        <w:outlineLvl w:val="3"/>
        <w:rPr>
          <w:rFonts w:ascii="宋体" w:hAnsi="宋体" w:eastAsia="宋体" w:cs="宋体"/>
          <w:b/>
          <w:bCs/>
          <w:sz w:val="21"/>
          <w:szCs w:val="21"/>
        </w:rPr>
      </w:pPr>
      <w:bookmarkStart w:id="324" w:name="_Toc989134"/>
      <w:r>
        <w:rPr>
          <w:rFonts w:ascii="宋体" w:hAnsi="宋体" w:eastAsia="宋体" w:cs="宋体"/>
          <w:b/>
          <w:bCs/>
          <w:sz w:val="21"/>
          <w:szCs w:val="21"/>
        </w:rPr>
        <w:t>（</w:t>
      </w:r>
      <w:r>
        <w:rPr>
          <w:rFonts w:hint="default" w:ascii="Times New Roman" w:hAnsi="Times New Roman" w:eastAsia="宋体" w:cs="Times New Roman"/>
          <w:b/>
          <w:bCs/>
          <w:sz w:val="21"/>
          <w:szCs w:val="21"/>
        </w:rPr>
        <w:t>2</w:t>
      </w:r>
      <w:r>
        <w:rPr>
          <w:rFonts w:ascii="宋体" w:hAnsi="宋体" w:eastAsia="宋体" w:cs="宋体"/>
          <w:b/>
          <w:bCs/>
          <w:sz w:val="21"/>
          <w:szCs w:val="21"/>
        </w:rPr>
        <w:t>） 未经抵销的递延所得税负债</w:t>
      </w:r>
      <w:bookmarkEnd w:id="324"/>
    </w:p>
    <w:p w14:paraId="08696C2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1F761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8613CF2">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CF2B51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6F9BB1A">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5C5EF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DADAAB8"/>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DF74FF5">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6338771">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CE5A9A4">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2CAB8A3">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r>
      <w:tr w14:paraId="61DF3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1611AD85">
            <w:pPr>
              <w:spacing w:before="0" w:after="0" w:line="240" w:lineRule="exact"/>
              <w:jc w:val="left"/>
              <w:rPr>
                <w:rFonts w:ascii="宋体" w:hAnsi="宋体" w:eastAsia="宋体" w:cs="宋体"/>
                <w:sz w:val="18"/>
                <w:szCs w:val="18"/>
              </w:rPr>
            </w:pPr>
            <w:r>
              <w:rPr>
                <w:rFonts w:ascii="宋体" w:hAnsi="宋体" w:eastAsia="宋体" w:cs="宋体"/>
                <w:sz w:val="18"/>
                <w:szCs w:val="18"/>
              </w:rPr>
              <w:t>香港耀昌、香港祥乐未分配利润所得税率差异</w:t>
            </w:r>
          </w:p>
        </w:tc>
        <w:tc>
          <w:tcPr>
            <w:tcW w:w="1928" w:type="dxa"/>
            <w:tcBorders>
              <w:top w:val="single" w:color="auto" w:sz="2" w:space="0"/>
              <w:left w:val="single" w:color="auto" w:sz="2" w:space="0"/>
              <w:bottom w:val="single" w:color="auto" w:sz="2" w:space="0"/>
              <w:right w:val="single" w:color="auto" w:sz="2" w:space="0"/>
            </w:tcBorders>
            <w:vAlign w:val="center"/>
          </w:tcPr>
          <w:p w14:paraId="1FABFF2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49,016,098.35</w:t>
            </w:r>
          </w:p>
        </w:tc>
        <w:tc>
          <w:tcPr>
            <w:tcW w:w="1928" w:type="dxa"/>
            <w:tcBorders>
              <w:top w:val="single" w:color="auto" w:sz="2" w:space="0"/>
              <w:left w:val="single" w:color="auto" w:sz="2" w:space="0"/>
              <w:bottom w:val="single" w:color="auto" w:sz="2" w:space="0"/>
              <w:right w:val="single" w:color="auto" w:sz="2" w:space="0"/>
            </w:tcBorders>
            <w:vAlign w:val="center"/>
          </w:tcPr>
          <w:p w14:paraId="61989FC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4,166,368.36</w:t>
            </w:r>
          </w:p>
        </w:tc>
        <w:tc>
          <w:tcPr>
            <w:tcW w:w="1928" w:type="dxa"/>
            <w:tcBorders>
              <w:top w:val="single" w:color="auto" w:sz="2" w:space="0"/>
              <w:left w:val="single" w:color="auto" w:sz="2" w:space="0"/>
              <w:bottom w:val="single" w:color="auto" w:sz="2" w:space="0"/>
              <w:right w:val="single" w:color="auto" w:sz="2" w:space="0"/>
            </w:tcBorders>
            <w:vAlign w:val="center"/>
          </w:tcPr>
          <w:p w14:paraId="32660C1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49,535,243.53</w:t>
            </w:r>
          </w:p>
        </w:tc>
        <w:tc>
          <w:tcPr>
            <w:tcW w:w="1928" w:type="dxa"/>
            <w:tcBorders>
              <w:top w:val="single" w:color="auto" w:sz="2" w:space="0"/>
              <w:left w:val="single" w:color="auto" w:sz="2" w:space="0"/>
              <w:bottom w:val="single" w:color="auto" w:sz="2" w:space="0"/>
              <w:right w:val="single" w:color="auto" w:sz="2" w:space="0"/>
            </w:tcBorders>
            <w:vAlign w:val="center"/>
          </w:tcPr>
          <w:p w14:paraId="39DA14A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4,210,495.70</w:t>
            </w:r>
          </w:p>
        </w:tc>
      </w:tr>
      <w:tr w14:paraId="36007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6C70C97A">
            <w:pPr>
              <w:spacing w:before="0" w:after="0" w:line="240" w:lineRule="exact"/>
              <w:jc w:val="left"/>
              <w:rPr>
                <w:rFonts w:ascii="宋体" w:hAnsi="宋体" w:eastAsia="宋体" w:cs="宋体"/>
                <w:sz w:val="18"/>
                <w:szCs w:val="18"/>
              </w:rPr>
            </w:pPr>
            <w:r>
              <w:rPr>
                <w:rFonts w:ascii="宋体" w:hAnsi="宋体" w:eastAsia="宋体" w:cs="宋体"/>
                <w:sz w:val="18"/>
                <w:szCs w:val="18"/>
              </w:rPr>
              <w:t>税法允许固定资产加速折旧税前扣除</w:t>
            </w:r>
          </w:p>
        </w:tc>
        <w:tc>
          <w:tcPr>
            <w:tcW w:w="1928" w:type="dxa"/>
            <w:tcBorders>
              <w:top w:val="single" w:color="auto" w:sz="2" w:space="0"/>
              <w:left w:val="single" w:color="auto" w:sz="2" w:space="0"/>
              <w:bottom w:val="single" w:color="auto" w:sz="2" w:space="0"/>
              <w:right w:val="single" w:color="auto" w:sz="2" w:space="0"/>
            </w:tcBorders>
            <w:vAlign w:val="center"/>
          </w:tcPr>
          <w:p w14:paraId="4DB1A68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5,754,638.54</w:t>
            </w:r>
          </w:p>
        </w:tc>
        <w:tc>
          <w:tcPr>
            <w:tcW w:w="1928" w:type="dxa"/>
            <w:tcBorders>
              <w:top w:val="single" w:color="auto" w:sz="2" w:space="0"/>
              <w:left w:val="single" w:color="auto" w:sz="2" w:space="0"/>
              <w:bottom w:val="single" w:color="auto" w:sz="2" w:space="0"/>
              <w:right w:val="single" w:color="auto" w:sz="2" w:space="0"/>
            </w:tcBorders>
            <w:vAlign w:val="center"/>
          </w:tcPr>
          <w:p w14:paraId="52CE29B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1,251,360.33</w:t>
            </w:r>
          </w:p>
        </w:tc>
        <w:tc>
          <w:tcPr>
            <w:tcW w:w="1928" w:type="dxa"/>
            <w:tcBorders>
              <w:top w:val="single" w:color="auto" w:sz="2" w:space="0"/>
              <w:left w:val="single" w:color="auto" w:sz="2" w:space="0"/>
              <w:bottom w:val="single" w:color="auto" w:sz="2" w:space="0"/>
              <w:right w:val="single" w:color="auto" w:sz="2" w:space="0"/>
            </w:tcBorders>
            <w:vAlign w:val="center"/>
          </w:tcPr>
          <w:p w14:paraId="6914F9F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12,038,770.00</w:t>
            </w:r>
          </w:p>
        </w:tc>
        <w:tc>
          <w:tcPr>
            <w:tcW w:w="1928" w:type="dxa"/>
            <w:tcBorders>
              <w:top w:val="single" w:color="auto" w:sz="2" w:space="0"/>
              <w:left w:val="single" w:color="auto" w:sz="2" w:space="0"/>
              <w:bottom w:val="single" w:color="auto" w:sz="2" w:space="0"/>
              <w:right w:val="single" w:color="auto" w:sz="2" w:space="0"/>
            </w:tcBorders>
            <w:vAlign w:val="center"/>
          </w:tcPr>
          <w:p w14:paraId="40CF6E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2,562,454.33</w:t>
            </w:r>
          </w:p>
        </w:tc>
      </w:tr>
      <w:tr w14:paraId="4CAE6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470FD8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41DDBC3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54,770,736.89</w:t>
            </w:r>
          </w:p>
        </w:tc>
        <w:tc>
          <w:tcPr>
            <w:tcW w:w="1928" w:type="dxa"/>
            <w:tcBorders>
              <w:top w:val="single" w:color="auto" w:sz="2" w:space="0"/>
              <w:left w:val="single" w:color="auto" w:sz="2" w:space="0"/>
              <w:bottom w:val="single" w:color="auto" w:sz="2" w:space="0"/>
              <w:right w:val="single" w:color="auto" w:sz="2" w:space="0"/>
            </w:tcBorders>
            <w:vAlign w:val="center"/>
          </w:tcPr>
          <w:p w14:paraId="73D4F5A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5,417,728.69</w:t>
            </w:r>
          </w:p>
        </w:tc>
        <w:tc>
          <w:tcPr>
            <w:tcW w:w="1928" w:type="dxa"/>
            <w:tcBorders>
              <w:top w:val="single" w:color="auto" w:sz="2" w:space="0"/>
              <w:left w:val="single" w:color="auto" w:sz="2" w:space="0"/>
              <w:bottom w:val="single" w:color="auto" w:sz="2" w:space="0"/>
              <w:right w:val="single" w:color="auto" w:sz="2" w:space="0"/>
            </w:tcBorders>
            <w:vAlign w:val="center"/>
          </w:tcPr>
          <w:p w14:paraId="47584E4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61,574,013.53</w:t>
            </w:r>
          </w:p>
        </w:tc>
        <w:tc>
          <w:tcPr>
            <w:tcW w:w="1928" w:type="dxa"/>
            <w:tcBorders>
              <w:top w:val="single" w:color="auto" w:sz="2" w:space="0"/>
              <w:left w:val="single" w:color="auto" w:sz="2" w:space="0"/>
              <w:bottom w:val="single" w:color="auto" w:sz="2" w:space="0"/>
              <w:right w:val="single" w:color="auto" w:sz="2" w:space="0"/>
            </w:tcBorders>
            <w:vAlign w:val="center"/>
          </w:tcPr>
          <w:p w14:paraId="5DF00B2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6,772,950.03</w:t>
            </w:r>
          </w:p>
        </w:tc>
      </w:tr>
    </w:tbl>
    <w:p w14:paraId="77B98B32">
      <w:pPr>
        <w:keepNext/>
        <w:keepLines/>
        <w:spacing w:before="300" w:after="300" w:line="280" w:lineRule="exact"/>
        <w:jc w:val="left"/>
        <w:outlineLvl w:val="3"/>
        <w:rPr>
          <w:rFonts w:ascii="宋体" w:hAnsi="宋体" w:eastAsia="宋体" w:cs="宋体"/>
          <w:b/>
          <w:bCs/>
          <w:sz w:val="21"/>
          <w:szCs w:val="21"/>
        </w:rPr>
      </w:pPr>
      <w:bookmarkStart w:id="325" w:name="_Toc989135"/>
      <w:r>
        <w:rPr>
          <w:rFonts w:ascii="宋体" w:hAnsi="宋体" w:eastAsia="宋体" w:cs="宋体"/>
          <w:b/>
          <w:bCs/>
          <w:sz w:val="21"/>
          <w:szCs w:val="21"/>
        </w:rPr>
        <w:t>（</w:t>
      </w:r>
      <w:r>
        <w:rPr>
          <w:rFonts w:hint="default" w:ascii="Times New Roman" w:hAnsi="Times New Roman" w:eastAsia="宋体" w:cs="Times New Roman"/>
          <w:b/>
          <w:bCs/>
          <w:sz w:val="21"/>
          <w:szCs w:val="21"/>
        </w:rPr>
        <w:t>3</w:t>
      </w:r>
      <w:r>
        <w:rPr>
          <w:rFonts w:ascii="宋体" w:hAnsi="宋体" w:eastAsia="宋体" w:cs="宋体"/>
          <w:b/>
          <w:bCs/>
          <w:sz w:val="21"/>
          <w:szCs w:val="21"/>
        </w:rPr>
        <w:t>） 以抵销后净额列示的递延所得税资产或负债</w:t>
      </w:r>
      <w:bookmarkEnd w:id="325"/>
    </w:p>
    <w:p w14:paraId="51835DD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5B202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37517D5">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AD71998">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63CF8D8">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1D7B1C0">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5DC6F52">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抵销后递延所得税资产或负债期初余额</w:t>
            </w:r>
          </w:p>
        </w:tc>
      </w:tr>
      <w:tr w14:paraId="67EB7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6507B56">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14:paraId="729AD848">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0D522F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17,659,283.93</w:t>
            </w:r>
          </w:p>
        </w:tc>
        <w:tc>
          <w:tcPr>
            <w:tcW w:w="1928" w:type="dxa"/>
            <w:tcBorders>
              <w:top w:val="single" w:color="auto" w:sz="2" w:space="0"/>
              <w:left w:val="single" w:color="auto" w:sz="2" w:space="0"/>
              <w:bottom w:val="single" w:color="auto" w:sz="2" w:space="0"/>
              <w:right w:val="single" w:color="auto" w:sz="2" w:space="0"/>
            </w:tcBorders>
            <w:vAlign w:val="center"/>
          </w:tcPr>
          <w:p w14:paraId="64B14714">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C2790A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18,420,720.17</w:t>
            </w:r>
          </w:p>
        </w:tc>
      </w:tr>
      <w:tr w14:paraId="05EF6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48F94E7">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14:paraId="750F8C4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808E2C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5,417,728.69</w:t>
            </w:r>
          </w:p>
        </w:tc>
        <w:tc>
          <w:tcPr>
            <w:tcW w:w="1928" w:type="dxa"/>
            <w:tcBorders>
              <w:top w:val="single" w:color="auto" w:sz="2" w:space="0"/>
              <w:left w:val="single" w:color="auto" w:sz="2" w:space="0"/>
              <w:bottom w:val="single" w:color="auto" w:sz="2" w:space="0"/>
              <w:right w:val="single" w:color="auto" w:sz="2" w:space="0"/>
            </w:tcBorders>
            <w:vAlign w:val="center"/>
          </w:tcPr>
          <w:p w14:paraId="146580A5">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AFD7D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6,772,950.03</w:t>
            </w:r>
          </w:p>
        </w:tc>
      </w:tr>
    </w:tbl>
    <w:p w14:paraId="763ED794">
      <w:pPr>
        <w:keepNext/>
        <w:keepLines/>
        <w:spacing w:before="300" w:after="300" w:line="280" w:lineRule="exact"/>
        <w:jc w:val="left"/>
        <w:outlineLvl w:val="3"/>
        <w:rPr>
          <w:rFonts w:ascii="宋体" w:hAnsi="宋体" w:eastAsia="宋体" w:cs="宋体"/>
          <w:b/>
          <w:bCs/>
          <w:sz w:val="21"/>
          <w:szCs w:val="21"/>
        </w:rPr>
      </w:pPr>
      <w:bookmarkStart w:id="326" w:name="_Toc989136"/>
      <w:r>
        <w:rPr>
          <w:rFonts w:ascii="宋体" w:hAnsi="宋体" w:eastAsia="宋体" w:cs="宋体"/>
          <w:b/>
          <w:bCs/>
          <w:sz w:val="21"/>
          <w:szCs w:val="21"/>
        </w:rPr>
        <w:t>（</w:t>
      </w:r>
      <w:r>
        <w:rPr>
          <w:rFonts w:hint="default" w:ascii="Times New Roman" w:hAnsi="Times New Roman" w:eastAsia="宋体" w:cs="Times New Roman"/>
          <w:b/>
          <w:bCs/>
          <w:sz w:val="21"/>
          <w:szCs w:val="21"/>
        </w:rPr>
        <w:t>4</w:t>
      </w:r>
      <w:r>
        <w:rPr>
          <w:rFonts w:ascii="宋体" w:hAnsi="宋体" w:eastAsia="宋体" w:cs="宋体"/>
          <w:b/>
          <w:bCs/>
          <w:sz w:val="21"/>
          <w:szCs w:val="21"/>
        </w:rPr>
        <w:t>） 未确认递延所得税资产明细</w:t>
      </w:r>
      <w:bookmarkEnd w:id="326"/>
    </w:p>
    <w:p w14:paraId="35DEC6D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A533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99211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21B7F1">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EBB522">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3054C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A8AE9B">
            <w:pPr>
              <w:spacing w:before="40" w:after="40" w:line="240" w:lineRule="exact"/>
              <w:jc w:val="left"/>
              <w:rPr>
                <w:rFonts w:ascii="宋体" w:hAnsi="宋体" w:eastAsia="宋体" w:cs="宋体"/>
                <w:sz w:val="18"/>
                <w:szCs w:val="18"/>
              </w:rPr>
            </w:pPr>
            <w:r>
              <w:rPr>
                <w:rFonts w:ascii="宋体" w:hAnsi="宋体" w:eastAsia="宋体" w:cs="宋体"/>
                <w:sz w:val="18"/>
                <w:szCs w:val="18"/>
              </w:rPr>
              <w:t>可抵扣暂时性差异</w:t>
            </w:r>
          </w:p>
        </w:tc>
        <w:tc>
          <w:tcPr>
            <w:tcW w:w="3213" w:type="dxa"/>
            <w:tcBorders>
              <w:top w:val="single" w:color="auto" w:sz="2" w:space="0"/>
              <w:left w:val="single" w:color="auto" w:sz="2" w:space="0"/>
              <w:bottom w:val="single" w:color="auto" w:sz="2" w:space="0"/>
              <w:right w:val="single" w:color="auto" w:sz="2" w:space="0"/>
            </w:tcBorders>
            <w:vAlign w:val="center"/>
          </w:tcPr>
          <w:p w14:paraId="5D5BAC5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22,681,867.47</w:t>
            </w:r>
          </w:p>
        </w:tc>
        <w:tc>
          <w:tcPr>
            <w:tcW w:w="3213" w:type="dxa"/>
            <w:tcBorders>
              <w:top w:val="single" w:color="auto" w:sz="2" w:space="0"/>
              <w:left w:val="single" w:color="auto" w:sz="2" w:space="0"/>
              <w:bottom w:val="single" w:color="auto" w:sz="2" w:space="0"/>
              <w:right w:val="single" w:color="auto" w:sz="2" w:space="0"/>
            </w:tcBorders>
            <w:vAlign w:val="center"/>
          </w:tcPr>
          <w:p w14:paraId="60C206A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83,148,350.34</w:t>
            </w:r>
          </w:p>
        </w:tc>
      </w:tr>
      <w:tr w14:paraId="535C5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3F6474">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14:paraId="26773C3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383,751,656.13</w:t>
            </w:r>
          </w:p>
        </w:tc>
        <w:tc>
          <w:tcPr>
            <w:tcW w:w="3213" w:type="dxa"/>
            <w:tcBorders>
              <w:top w:val="single" w:color="auto" w:sz="2" w:space="0"/>
              <w:left w:val="single" w:color="auto" w:sz="2" w:space="0"/>
              <w:bottom w:val="single" w:color="auto" w:sz="2" w:space="0"/>
              <w:right w:val="single" w:color="auto" w:sz="2" w:space="0"/>
            </w:tcBorders>
            <w:vAlign w:val="center"/>
          </w:tcPr>
          <w:p w14:paraId="386BC3F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329,698,384.02</w:t>
            </w:r>
          </w:p>
        </w:tc>
      </w:tr>
      <w:tr w14:paraId="6ED86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B5F14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7EF7E0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406,433,523.60</w:t>
            </w:r>
          </w:p>
        </w:tc>
        <w:tc>
          <w:tcPr>
            <w:tcW w:w="3213" w:type="dxa"/>
            <w:tcBorders>
              <w:top w:val="single" w:color="auto" w:sz="2" w:space="0"/>
              <w:left w:val="single" w:color="auto" w:sz="2" w:space="0"/>
              <w:bottom w:val="single" w:color="auto" w:sz="2" w:space="0"/>
              <w:right w:val="single" w:color="auto" w:sz="2" w:space="0"/>
            </w:tcBorders>
            <w:vAlign w:val="center"/>
          </w:tcPr>
          <w:p w14:paraId="1421CB0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412,846,734.36</w:t>
            </w:r>
          </w:p>
        </w:tc>
      </w:tr>
    </w:tbl>
    <w:p w14:paraId="58D29BC2">
      <w:pPr>
        <w:keepNext/>
        <w:keepLines/>
        <w:spacing w:before="300" w:after="300" w:line="280" w:lineRule="exact"/>
        <w:jc w:val="left"/>
        <w:outlineLvl w:val="3"/>
        <w:rPr>
          <w:rFonts w:ascii="宋体" w:hAnsi="宋体" w:eastAsia="宋体" w:cs="宋体"/>
          <w:b/>
          <w:bCs/>
          <w:sz w:val="21"/>
          <w:szCs w:val="21"/>
        </w:rPr>
      </w:pPr>
      <w:bookmarkStart w:id="327" w:name="_Toc989137"/>
      <w:r>
        <w:rPr>
          <w:rFonts w:ascii="宋体" w:hAnsi="宋体" w:eastAsia="宋体" w:cs="宋体"/>
          <w:b/>
          <w:bCs/>
          <w:sz w:val="21"/>
          <w:szCs w:val="21"/>
        </w:rPr>
        <w:t>（</w:t>
      </w:r>
      <w:r>
        <w:rPr>
          <w:rFonts w:hint="default" w:ascii="Times New Roman" w:hAnsi="Times New Roman" w:eastAsia="宋体" w:cs="Times New Roman"/>
          <w:b/>
          <w:bCs/>
          <w:sz w:val="21"/>
          <w:szCs w:val="21"/>
        </w:rPr>
        <w:t>5</w:t>
      </w:r>
      <w:r>
        <w:rPr>
          <w:rFonts w:ascii="宋体" w:hAnsi="宋体" w:eastAsia="宋体" w:cs="宋体"/>
          <w:b/>
          <w:bCs/>
          <w:sz w:val="21"/>
          <w:szCs w:val="21"/>
        </w:rPr>
        <w:t>） 未确认递延所得税资产的可抵扣亏损将于以下年度到期</w:t>
      </w:r>
      <w:bookmarkEnd w:id="327"/>
    </w:p>
    <w:p w14:paraId="4BD3936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2C045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746B9E8">
            <w:pPr>
              <w:spacing w:before="40" w:after="40" w:line="240" w:lineRule="exact"/>
              <w:jc w:val="center"/>
              <w:rPr>
                <w:rFonts w:ascii="宋体" w:hAnsi="宋体" w:eastAsia="宋体" w:cs="宋体"/>
                <w:sz w:val="18"/>
                <w:szCs w:val="18"/>
              </w:rPr>
            </w:pPr>
            <w:r>
              <w:rPr>
                <w:rFonts w:ascii="宋体" w:hAnsi="宋体" w:eastAsia="宋体" w:cs="宋体"/>
                <w:sz w:val="18"/>
                <w:szCs w:val="18"/>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F9BC9EC">
            <w:pPr>
              <w:spacing w:before="40" w:after="40" w:line="240" w:lineRule="exact"/>
              <w:jc w:val="center"/>
              <w:rPr>
                <w:rFonts w:ascii="宋体" w:hAnsi="宋体" w:eastAsia="宋体" w:cs="宋体"/>
                <w:sz w:val="18"/>
                <w:szCs w:val="18"/>
              </w:rPr>
            </w:pPr>
            <w:r>
              <w:rPr>
                <w:rFonts w:ascii="宋体" w:hAnsi="宋体" w:eastAsia="宋体" w:cs="宋体"/>
                <w:sz w:val="18"/>
                <w:szCs w:val="18"/>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EFF6F06">
            <w:pPr>
              <w:spacing w:before="40" w:after="40" w:line="240" w:lineRule="exact"/>
              <w:jc w:val="center"/>
              <w:rPr>
                <w:rFonts w:ascii="宋体" w:hAnsi="宋体" w:eastAsia="宋体" w:cs="宋体"/>
                <w:sz w:val="18"/>
                <w:szCs w:val="18"/>
              </w:rPr>
            </w:pPr>
            <w:r>
              <w:rPr>
                <w:rFonts w:ascii="宋体" w:hAnsi="宋体" w:eastAsia="宋体" w:cs="宋体"/>
                <w:sz w:val="18"/>
                <w:szCs w:val="18"/>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45E181A">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14:paraId="4FE9C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C073A46">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2025</w:t>
            </w:r>
            <w:r>
              <w:rPr>
                <w:rFonts w:ascii="宋体" w:hAnsi="宋体" w:eastAsia="宋体" w:cs="宋体"/>
                <w:sz w:val="18"/>
                <w:szCs w:val="18"/>
              </w:rPr>
              <w:t>年</w:t>
            </w:r>
          </w:p>
        </w:tc>
        <w:tc>
          <w:tcPr>
            <w:tcW w:w="2410" w:type="dxa"/>
            <w:tcBorders>
              <w:top w:val="single" w:color="auto" w:sz="2" w:space="0"/>
              <w:left w:val="single" w:color="auto" w:sz="2" w:space="0"/>
              <w:bottom w:val="single" w:color="auto" w:sz="2" w:space="0"/>
              <w:right w:val="single" w:color="auto" w:sz="2" w:space="0"/>
            </w:tcBorders>
            <w:vAlign w:val="center"/>
          </w:tcPr>
          <w:p w14:paraId="21843A39">
            <w:pPr>
              <w:spacing w:before="0" w:after="0" w:line="240" w:lineRule="exact"/>
              <w:jc w:val="right"/>
              <w:rPr>
                <w:rFonts w:hint="default"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0DBC27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26,285,209.70</w:t>
            </w:r>
          </w:p>
        </w:tc>
        <w:tc>
          <w:tcPr>
            <w:tcW w:w="2410" w:type="dxa"/>
            <w:tcBorders>
              <w:top w:val="single" w:color="auto" w:sz="2" w:space="0"/>
              <w:left w:val="single" w:color="auto" w:sz="2" w:space="0"/>
              <w:bottom w:val="single" w:color="auto" w:sz="2" w:space="0"/>
              <w:right w:val="single" w:color="auto" w:sz="2" w:space="0"/>
            </w:tcBorders>
            <w:vAlign w:val="center"/>
          </w:tcPr>
          <w:p w14:paraId="0D9B6C2D">
            <w:pPr>
              <w:spacing w:before="0" w:after="0" w:line="240" w:lineRule="exact"/>
              <w:jc w:val="left"/>
              <w:rPr>
                <w:rFonts w:ascii="宋体" w:hAnsi="宋体" w:eastAsia="宋体" w:cs="宋体"/>
                <w:sz w:val="18"/>
                <w:szCs w:val="18"/>
              </w:rPr>
            </w:pPr>
          </w:p>
        </w:tc>
      </w:tr>
      <w:tr w14:paraId="3213F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7CA2699">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2026</w:t>
            </w:r>
            <w:r>
              <w:rPr>
                <w:rFonts w:ascii="宋体" w:hAnsi="宋体" w:eastAsia="宋体" w:cs="宋体"/>
                <w:sz w:val="18"/>
                <w:szCs w:val="18"/>
              </w:rPr>
              <w:t>年</w:t>
            </w:r>
          </w:p>
        </w:tc>
        <w:tc>
          <w:tcPr>
            <w:tcW w:w="2410" w:type="dxa"/>
            <w:tcBorders>
              <w:top w:val="single" w:color="auto" w:sz="2" w:space="0"/>
              <w:left w:val="single" w:color="auto" w:sz="2" w:space="0"/>
              <w:bottom w:val="single" w:color="auto" w:sz="2" w:space="0"/>
              <w:right w:val="single" w:color="auto" w:sz="2" w:space="0"/>
            </w:tcBorders>
            <w:vAlign w:val="center"/>
          </w:tcPr>
          <w:p w14:paraId="7C19CDF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32,503,165.78</w:t>
            </w:r>
          </w:p>
        </w:tc>
        <w:tc>
          <w:tcPr>
            <w:tcW w:w="2410" w:type="dxa"/>
            <w:tcBorders>
              <w:top w:val="single" w:color="auto" w:sz="2" w:space="0"/>
              <w:left w:val="single" w:color="auto" w:sz="2" w:space="0"/>
              <w:bottom w:val="single" w:color="auto" w:sz="2" w:space="0"/>
              <w:right w:val="single" w:color="auto" w:sz="2" w:space="0"/>
            </w:tcBorders>
            <w:vAlign w:val="center"/>
          </w:tcPr>
          <w:p w14:paraId="520F7AE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29,429,322.29</w:t>
            </w:r>
          </w:p>
        </w:tc>
        <w:tc>
          <w:tcPr>
            <w:tcW w:w="2410" w:type="dxa"/>
            <w:tcBorders>
              <w:top w:val="single" w:color="auto" w:sz="2" w:space="0"/>
              <w:left w:val="single" w:color="auto" w:sz="2" w:space="0"/>
              <w:bottom w:val="single" w:color="auto" w:sz="2" w:space="0"/>
              <w:right w:val="single" w:color="auto" w:sz="2" w:space="0"/>
            </w:tcBorders>
            <w:vAlign w:val="center"/>
          </w:tcPr>
          <w:p w14:paraId="02DAD571">
            <w:pPr>
              <w:spacing w:before="0" w:after="0" w:line="240" w:lineRule="exact"/>
              <w:jc w:val="left"/>
              <w:rPr>
                <w:rFonts w:ascii="宋体" w:hAnsi="宋体" w:eastAsia="宋体" w:cs="宋体"/>
                <w:sz w:val="18"/>
                <w:szCs w:val="18"/>
              </w:rPr>
            </w:pPr>
          </w:p>
        </w:tc>
      </w:tr>
      <w:tr w14:paraId="6BE94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4009DB8">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2027</w:t>
            </w:r>
            <w:r>
              <w:rPr>
                <w:rFonts w:ascii="宋体" w:hAnsi="宋体" w:eastAsia="宋体" w:cs="宋体"/>
                <w:sz w:val="18"/>
                <w:szCs w:val="18"/>
              </w:rPr>
              <w:t>年</w:t>
            </w:r>
          </w:p>
        </w:tc>
        <w:tc>
          <w:tcPr>
            <w:tcW w:w="2410" w:type="dxa"/>
            <w:tcBorders>
              <w:top w:val="single" w:color="auto" w:sz="2" w:space="0"/>
              <w:left w:val="single" w:color="auto" w:sz="2" w:space="0"/>
              <w:bottom w:val="single" w:color="auto" w:sz="2" w:space="0"/>
              <w:right w:val="single" w:color="auto" w:sz="2" w:space="0"/>
            </w:tcBorders>
            <w:vAlign w:val="center"/>
          </w:tcPr>
          <w:p w14:paraId="5AE28C8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56,728,280.82</w:t>
            </w:r>
          </w:p>
        </w:tc>
        <w:tc>
          <w:tcPr>
            <w:tcW w:w="2410" w:type="dxa"/>
            <w:tcBorders>
              <w:top w:val="single" w:color="auto" w:sz="2" w:space="0"/>
              <w:left w:val="single" w:color="auto" w:sz="2" w:space="0"/>
              <w:bottom w:val="single" w:color="auto" w:sz="2" w:space="0"/>
              <w:right w:val="single" w:color="auto" w:sz="2" w:space="0"/>
            </w:tcBorders>
            <w:vAlign w:val="center"/>
          </w:tcPr>
          <w:p w14:paraId="6A94B4B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55,488,103.07</w:t>
            </w:r>
          </w:p>
        </w:tc>
        <w:tc>
          <w:tcPr>
            <w:tcW w:w="2410" w:type="dxa"/>
            <w:tcBorders>
              <w:top w:val="single" w:color="auto" w:sz="2" w:space="0"/>
              <w:left w:val="single" w:color="auto" w:sz="2" w:space="0"/>
              <w:bottom w:val="single" w:color="auto" w:sz="2" w:space="0"/>
              <w:right w:val="single" w:color="auto" w:sz="2" w:space="0"/>
            </w:tcBorders>
            <w:vAlign w:val="center"/>
          </w:tcPr>
          <w:p w14:paraId="4AF5889A">
            <w:pPr>
              <w:spacing w:before="0" w:after="0" w:line="240" w:lineRule="exact"/>
              <w:jc w:val="left"/>
              <w:rPr>
                <w:rFonts w:ascii="宋体" w:hAnsi="宋体" w:eastAsia="宋体" w:cs="宋体"/>
                <w:sz w:val="18"/>
                <w:szCs w:val="18"/>
              </w:rPr>
            </w:pPr>
          </w:p>
        </w:tc>
      </w:tr>
      <w:tr w14:paraId="7C373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308AA1F">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2028</w:t>
            </w:r>
            <w:r>
              <w:rPr>
                <w:rFonts w:ascii="宋体" w:hAnsi="宋体" w:eastAsia="宋体" w:cs="宋体"/>
                <w:sz w:val="18"/>
                <w:szCs w:val="18"/>
              </w:rPr>
              <w:t>年</w:t>
            </w:r>
          </w:p>
        </w:tc>
        <w:tc>
          <w:tcPr>
            <w:tcW w:w="2410" w:type="dxa"/>
            <w:tcBorders>
              <w:top w:val="single" w:color="auto" w:sz="2" w:space="0"/>
              <w:left w:val="single" w:color="auto" w:sz="2" w:space="0"/>
              <w:bottom w:val="single" w:color="auto" w:sz="2" w:space="0"/>
              <w:right w:val="single" w:color="auto" w:sz="2" w:space="0"/>
            </w:tcBorders>
            <w:vAlign w:val="center"/>
          </w:tcPr>
          <w:p w14:paraId="099CF48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38,209,239.01</w:t>
            </w:r>
          </w:p>
        </w:tc>
        <w:tc>
          <w:tcPr>
            <w:tcW w:w="2410" w:type="dxa"/>
            <w:tcBorders>
              <w:top w:val="single" w:color="auto" w:sz="2" w:space="0"/>
              <w:left w:val="single" w:color="auto" w:sz="2" w:space="0"/>
              <w:bottom w:val="single" w:color="auto" w:sz="2" w:space="0"/>
              <w:right w:val="single" w:color="auto" w:sz="2" w:space="0"/>
            </w:tcBorders>
            <w:vAlign w:val="center"/>
          </w:tcPr>
          <w:p w14:paraId="7699202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37,104,994.85</w:t>
            </w:r>
          </w:p>
        </w:tc>
        <w:tc>
          <w:tcPr>
            <w:tcW w:w="2410" w:type="dxa"/>
            <w:tcBorders>
              <w:top w:val="single" w:color="auto" w:sz="2" w:space="0"/>
              <w:left w:val="single" w:color="auto" w:sz="2" w:space="0"/>
              <w:bottom w:val="single" w:color="auto" w:sz="2" w:space="0"/>
              <w:right w:val="single" w:color="auto" w:sz="2" w:space="0"/>
            </w:tcBorders>
            <w:vAlign w:val="center"/>
          </w:tcPr>
          <w:p w14:paraId="16C3E531">
            <w:pPr>
              <w:spacing w:before="0" w:after="0" w:line="240" w:lineRule="exact"/>
              <w:jc w:val="left"/>
              <w:rPr>
                <w:rFonts w:ascii="宋体" w:hAnsi="宋体" w:eastAsia="宋体" w:cs="宋体"/>
                <w:sz w:val="18"/>
                <w:szCs w:val="18"/>
              </w:rPr>
            </w:pPr>
          </w:p>
        </w:tc>
      </w:tr>
      <w:tr w14:paraId="516C6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5C190B4">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2029</w:t>
            </w:r>
            <w:r>
              <w:rPr>
                <w:rFonts w:ascii="宋体" w:hAnsi="宋体" w:eastAsia="宋体" w:cs="宋体"/>
                <w:sz w:val="18"/>
                <w:szCs w:val="18"/>
              </w:rPr>
              <w:t>年</w:t>
            </w:r>
          </w:p>
        </w:tc>
        <w:tc>
          <w:tcPr>
            <w:tcW w:w="2410" w:type="dxa"/>
            <w:tcBorders>
              <w:top w:val="single" w:color="auto" w:sz="2" w:space="0"/>
              <w:left w:val="single" w:color="auto" w:sz="2" w:space="0"/>
              <w:bottom w:val="single" w:color="auto" w:sz="2" w:space="0"/>
              <w:right w:val="single" w:color="auto" w:sz="2" w:space="0"/>
            </w:tcBorders>
            <w:vAlign w:val="center"/>
          </w:tcPr>
          <w:p w14:paraId="491DC1F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61,038,043.89</w:t>
            </w:r>
          </w:p>
        </w:tc>
        <w:tc>
          <w:tcPr>
            <w:tcW w:w="2410" w:type="dxa"/>
            <w:tcBorders>
              <w:top w:val="single" w:color="auto" w:sz="2" w:space="0"/>
              <w:left w:val="single" w:color="auto" w:sz="2" w:space="0"/>
              <w:bottom w:val="single" w:color="auto" w:sz="2" w:space="0"/>
              <w:right w:val="single" w:color="auto" w:sz="2" w:space="0"/>
            </w:tcBorders>
            <w:vAlign w:val="center"/>
          </w:tcPr>
          <w:p w14:paraId="20B0DAE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59,099,193.48</w:t>
            </w:r>
          </w:p>
        </w:tc>
        <w:tc>
          <w:tcPr>
            <w:tcW w:w="2410" w:type="dxa"/>
            <w:tcBorders>
              <w:top w:val="single" w:color="auto" w:sz="2" w:space="0"/>
              <w:left w:val="single" w:color="auto" w:sz="2" w:space="0"/>
              <w:bottom w:val="single" w:color="auto" w:sz="2" w:space="0"/>
              <w:right w:val="single" w:color="auto" w:sz="2" w:space="0"/>
            </w:tcBorders>
            <w:vAlign w:val="center"/>
          </w:tcPr>
          <w:p w14:paraId="5C57AD13">
            <w:pPr>
              <w:spacing w:before="0" w:after="0" w:line="240" w:lineRule="exact"/>
              <w:jc w:val="left"/>
              <w:rPr>
                <w:rFonts w:ascii="宋体" w:hAnsi="宋体" w:eastAsia="宋体" w:cs="宋体"/>
                <w:sz w:val="18"/>
                <w:szCs w:val="18"/>
              </w:rPr>
            </w:pPr>
          </w:p>
        </w:tc>
      </w:tr>
      <w:tr w14:paraId="13AF0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5E5CE9D">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2030</w:t>
            </w:r>
            <w:r>
              <w:rPr>
                <w:rFonts w:ascii="宋体" w:hAnsi="宋体" w:eastAsia="宋体" w:cs="宋体"/>
                <w:sz w:val="18"/>
                <w:szCs w:val="18"/>
              </w:rPr>
              <w:t>年</w:t>
            </w:r>
          </w:p>
        </w:tc>
        <w:tc>
          <w:tcPr>
            <w:tcW w:w="2410" w:type="dxa"/>
            <w:tcBorders>
              <w:top w:val="single" w:color="auto" w:sz="2" w:space="0"/>
              <w:left w:val="single" w:color="auto" w:sz="2" w:space="0"/>
              <w:bottom w:val="single" w:color="auto" w:sz="2" w:space="0"/>
              <w:right w:val="single" w:color="auto" w:sz="2" w:space="0"/>
            </w:tcBorders>
            <w:vAlign w:val="center"/>
          </w:tcPr>
          <w:p w14:paraId="182D40D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55,133,054.56</w:t>
            </w:r>
          </w:p>
        </w:tc>
        <w:tc>
          <w:tcPr>
            <w:tcW w:w="2410" w:type="dxa"/>
            <w:tcBorders>
              <w:top w:val="single" w:color="auto" w:sz="2" w:space="0"/>
              <w:left w:val="single" w:color="auto" w:sz="2" w:space="0"/>
              <w:bottom w:val="single" w:color="auto" w:sz="2" w:space="0"/>
              <w:right w:val="single" w:color="auto" w:sz="2" w:space="0"/>
            </w:tcBorders>
            <w:vAlign w:val="center"/>
          </w:tcPr>
          <w:p w14:paraId="23E15E8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55,133,054.56</w:t>
            </w:r>
          </w:p>
        </w:tc>
        <w:tc>
          <w:tcPr>
            <w:tcW w:w="2410" w:type="dxa"/>
            <w:tcBorders>
              <w:top w:val="single" w:color="auto" w:sz="2" w:space="0"/>
              <w:left w:val="single" w:color="auto" w:sz="2" w:space="0"/>
              <w:bottom w:val="single" w:color="auto" w:sz="2" w:space="0"/>
              <w:right w:val="single" w:color="auto" w:sz="2" w:space="0"/>
            </w:tcBorders>
            <w:vAlign w:val="center"/>
          </w:tcPr>
          <w:p w14:paraId="693ACCE9">
            <w:pPr>
              <w:spacing w:before="0" w:after="0" w:line="240" w:lineRule="exact"/>
              <w:jc w:val="left"/>
              <w:rPr>
                <w:rFonts w:ascii="宋体" w:hAnsi="宋体" w:eastAsia="宋体" w:cs="宋体"/>
                <w:sz w:val="18"/>
                <w:szCs w:val="18"/>
              </w:rPr>
            </w:pPr>
          </w:p>
        </w:tc>
      </w:tr>
      <w:tr w14:paraId="6C03A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43F0AD4">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2031</w:t>
            </w:r>
            <w:r>
              <w:rPr>
                <w:rFonts w:ascii="宋体" w:hAnsi="宋体" w:eastAsia="宋体" w:cs="宋体"/>
                <w:sz w:val="18"/>
                <w:szCs w:val="18"/>
              </w:rPr>
              <w:t>年及以后年度（适用于高新技术企业和科技型中小企业）</w:t>
            </w:r>
          </w:p>
        </w:tc>
        <w:tc>
          <w:tcPr>
            <w:tcW w:w="2410" w:type="dxa"/>
            <w:tcBorders>
              <w:top w:val="single" w:color="auto" w:sz="2" w:space="0"/>
              <w:left w:val="single" w:color="auto" w:sz="2" w:space="0"/>
              <w:bottom w:val="single" w:color="auto" w:sz="2" w:space="0"/>
              <w:right w:val="single" w:color="auto" w:sz="2" w:space="0"/>
            </w:tcBorders>
            <w:vAlign w:val="center"/>
          </w:tcPr>
          <w:p w14:paraId="7362D84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140,139,872.07</w:t>
            </w:r>
          </w:p>
        </w:tc>
        <w:tc>
          <w:tcPr>
            <w:tcW w:w="2410" w:type="dxa"/>
            <w:tcBorders>
              <w:top w:val="single" w:color="auto" w:sz="2" w:space="0"/>
              <w:left w:val="single" w:color="auto" w:sz="2" w:space="0"/>
              <w:bottom w:val="single" w:color="auto" w:sz="2" w:space="0"/>
              <w:right w:val="single" w:color="auto" w:sz="2" w:space="0"/>
            </w:tcBorders>
            <w:vAlign w:val="center"/>
          </w:tcPr>
          <w:p w14:paraId="39016FA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67,158,506.07</w:t>
            </w:r>
          </w:p>
        </w:tc>
        <w:tc>
          <w:tcPr>
            <w:tcW w:w="2410" w:type="dxa"/>
            <w:tcBorders>
              <w:top w:val="single" w:color="auto" w:sz="2" w:space="0"/>
              <w:left w:val="single" w:color="auto" w:sz="2" w:space="0"/>
              <w:bottom w:val="single" w:color="auto" w:sz="2" w:space="0"/>
              <w:right w:val="single" w:color="auto" w:sz="2" w:space="0"/>
            </w:tcBorders>
            <w:vAlign w:val="center"/>
          </w:tcPr>
          <w:p w14:paraId="03E4E963">
            <w:pPr>
              <w:spacing w:before="0" w:after="0" w:line="240" w:lineRule="exact"/>
              <w:jc w:val="left"/>
              <w:rPr>
                <w:rFonts w:ascii="宋体" w:hAnsi="宋体" w:eastAsia="宋体" w:cs="宋体"/>
                <w:sz w:val="18"/>
                <w:szCs w:val="18"/>
              </w:rPr>
            </w:pPr>
          </w:p>
        </w:tc>
      </w:tr>
      <w:tr w14:paraId="74CFD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A2C21E4">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0ADA68C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383,751,656.13</w:t>
            </w:r>
          </w:p>
        </w:tc>
        <w:tc>
          <w:tcPr>
            <w:tcW w:w="2410" w:type="dxa"/>
            <w:tcBorders>
              <w:top w:val="single" w:color="auto" w:sz="2" w:space="0"/>
              <w:left w:val="single" w:color="auto" w:sz="2" w:space="0"/>
              <w:bottom w:val="single" w:color="auto" w:sz="2" w:space="0"/>
              <w:right w:val="single" w:color="auto" w:sz="2" w:space="0"/>
            </w:tcBorders>
            <w:vAlign w:val="center"/>
          </w:tcPr>
          <w:p w14:paraId="2A87C4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329,698,384.02</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BBB84D3"/>
        </w:tc>
      </w:tr>
    </w:tbl>
    <w:p w14:paraId="786BE124">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4B94E307">
      <w:pPr>
        <w:pStyle w:val="3"/>
        <w:keepNext/>
        <w:keepLines/>
        <w:spacing w:before="300" w:after="300" w:line="280" w:lineRule="exact"/>
        <w:jc w:val="left"/>
        <w:outlineLvl w:val="2"/>
        <w:rPr>
          <w:rFonts w:ascii="宋体" w:hAnsi="宋体" w:eastAsia="宋体" w:cs="宋体"/>
          <w:b/>
          <w:bCs/>
          <w:sz w:val="21"/>
          <w:szCs w:val="21"/>
        </w:rPr>
      </w:pPr>
      <w:bookmarkStart w:id="328" w:name="_Toc989138"/>
      <w:r>
        <w:rPr>
          <w:rFonts w:hint="default" w:ascii="Times New Roman" w:hAnsi="Times New Roman" w:eastAsia="宋体" w:cs="Times New Roman"/>
          <w:b/>
          <w:bCs/>
          <w:sz w:val="21"/>
          <w:szCs w:val="21"/>
        </w:rPr>
        <w:t>17</w:t>
      </w:r>
      <w:r>
        <w:rPr>
          <w:rFonts w:ascii="宋体" w:hAnsi="宋体" w:eastAsia="宋体" w:cs="宋体"/>
          <w:b/>
          <w:bCs/>
          <w:sz w:val="21"/>
          <w:szCs w:val="21"/>
        </w:rPr>
        <w:t>、其他非流动资产</w:t>
      </w:r>
      <w:bookmarkEnd w:id="328"/>
    </w:p>
    <w:p w14:paraId="686BC38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1DD94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30AB62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020BE45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20CDE20D">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30F0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7ED7D35"/>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69128A5">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67823FB">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2223D60">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BBC98D9">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9B6EA27">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83412AF">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29E91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7A4ACC3">
            <w:pPr>
              <w:spacing w:before="0" w:after="0" w:line="240" w:lineRule="exact"/>
              <w:jc w:val="left"/>
              <w:rPr>
                <w:rFonts w:ascii="宋体" w:hAnsi="宋体" w:eastAsia="宋体" w:cs="宋体"/>
                <w:sz w:val="18"/>
                <w:szCs w:val="18"/>
              </w:rPr>
            </w:pPr>
            <w:r>
              <w:rPr>
                <w:rFonts w:ascii="宋体" w:hAnsi="宋体" w:eastAsia="宋体" w:cs="宋体"/>
                <w:sz w:val="18"/>
                <w:szCs w:val="18"/>
              </w:rPr>
              <w:t>预付股权投资款</w:t>
            </w:r>
          </w:p>
        </w:tc>
        <w:tc>
          <w:tcPr>
            <w:tcW w:w="1377" w:type="dxa"/>
            <w:tcBorders>
              <w:top w:val="single" w:color="auto" w:sz="2" w:space="0"/>
              <w:left w:val="single" w:color="auto" w:sz="2" w:space="0"/>
              <w:bottom w:val="single" w:color="auto" w:sz="2" w:space="0"/>
              <w:right w:val="single" w:color="auto" w:sz="2" w:space="0"/>
            </w:tcBorders>
            <w:vAlign w:val="center"/>
          </w:tcPr>
          <w:p w14:paraId="3FE3414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B952FCA">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B2B95F0">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56B634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2,281,026.87</w:t>
            </w:r>
          </w:p>
        </w:tc>
        <w:tc>
          <w:tcPr>
            <w:tcW w:w="1377" w:type="dxa"/>
            <w:tcBorders>
              <w:top w:val="single" w:color="auto" w:sz="2" w:space="0"/>
              <w:left w:val="single" w:color="auto" w:sz="2" w:space="0"/>
              <w:bottom w:val="single" w:color="auto" w:sz="2" w:space="0"/>
              <w:right w:val="single" w:color="auto" w:sz="2" w:space="0"/>
            </w:tcBorders>
            <w:vAlign w:val="center"/>
          </w:tcPr>
          <w:p w14:paraId="3D9EBDC9">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5A219A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2,281,026.87</w:t>
            </w:r>
          </w:p>
        </w:tc>
      </w:tr>
      <w:tr w14:paraId="57E09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02EBA98">
            <w:pPr>
              <w:spacing w:before="0" w:after="0" w:line="240" w:lineRule="exact"/>
              <w:jc w:val="left"/>
              <w:rPr>
                <w:rFonts w:ascii="宋体" w:hAnsi="宋体" w:eastAsia="宋体" w:cs="宋体"/>
                <w:sz w:val="18"/>
                <w:szCs w:val="18"/>
              </w:rPr>
            </w:pPr>
            <w:r>
              <w:rPr>
                <w:rFonts w:ascii="宋体" w:hAnsi="宋体" w:eastAsia="宋体" w:cs="宋体"/>
                <w:sz w:val="18"/>
                <w:szCs w:val="18"/>
              </w:rPr>
              <w:t>预付长期资产购置款</w:t>
            </w:r>
          </w:p>
        </w:tc>
        <w:tc>
          <w:tcPr>
            <w:tcW w:w="1377" w:type="dxa"/>
            <w:tcBorders>
              <w:top w:val="single" w:color="auto" w:sz="2" w:space="0"/>
              <w:left w:val="single" w:color="auto" w:sz="2" w:space="0"/>
              <w:bottom w:val="single" w:color="auto" w:sz="2" w:space="0"/>
              <w:right w:val="single" w:color="auto" w:sz="2" w:space="0"/>
            </w:tcBorders>
            <w:vAlign w:val="center"/>
          </w:tcPr>
          <w:p w14:paraId="2752E84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1,795,467.20</w:t>
            </w:r>
          </w:p>
        </w:tc>
        <w:tc>
          <w:tcPr>
            <w:tcW w:w="1377" w:type="dxa"/>
            <w:tcBorders>
              <w:top w:val="single" w:color="auto" w:sz="2" w:space="0"/>
              <w:left w:val="single" w:color="auto" w:sz="2" w:space="0"/>
              <w:bottom w:val="single" w:color="auto" w:sz="2" w:space="0"/>
              <w:right w:val="single" w:color="auto" w:sz="2" w:space="0"/>
            </w:tcBorders>
            <w:vAlign w:val="center"/>
          </w:tcPr>
          <w:p w14:paraId="0ACF78AE">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7C5696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1,795,467.20</w:t>
            </w:r>
          </w:p>
        </w:tc>
        <w:tc>
          <w:tcPr>
            <w:tcW w:w="1377" w:type="dxa"/>
            <w:tcBorders>
              <w:top w:val="single" w:color="auto" w:sz="2" w:space="0"/>
              <w:left w:val="single" w:color="auto" w:sz="2" w:space="0"/>
              <w:bottom w:val="single" w:color="auto" w:sz="2" w:space="0"/>
              <w:right w:val="single" w:color="auto" w:sz="2" w:space="0"/>
            </w:tcBorders>
            <w:vAlign w:val="center"/>
          </w:tcPr>
          <w:p w14:paraId="500174A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1,800,528.96</w:t>
            </w:r>
          </w:p>
        </w:tc>
        <w:tc>
          <w:tcPr>
            <w:tcW w:w="1377" w:type="dxa"/>
            <w:tcBorders>
              <w:top w:val="single" w:color="auto" w:sz="2" w:space="0"/>
              <w:left w:val="single" w:color="auto" w:sz="2" w:space="0"/>
              <w:bottom w:val="single" w:color="auto" w:sz="2" w:space="0"/>
              <w:right w:val="single" w:color="auto" w:sz="2" w:space="0"/>
            </w:tcBorders>
            <w:vAlign w:val="center"/>
          </w:tcPr>
          <w:p w14:paraId="7CF7F26E">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D62D7D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1,800,528.96</w:t>
            </w:r>
          </w:p>
        </w:tc>
      </w:tr>
      <w:tr w14:paraId="71BA5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D3B8EF5">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2F17A57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1,795,467.20</w:t>
            </w:r>
          </w:p>
        </w:tc>
        <w:tc>
          <w:tcPr>
            <w:tcW w:w="1377" w:type="dxa"/>
            <w:tcBorders>
              <w:top w:val="single" w:color="auto" w:sz="2" w:space="0"/>
              <w:left w:val="single" w:color="auto" w:sz="2" w:space="0"/>
              <w:bottom w:val="single" w:color="auto" w:sz="2" w:space="0"/>
              <w:right w:val="single" w:color="auto" w:sz="2" w:space="0"/>
            </w:tcBorders>
            <w:vAlign w:val="center"/>
          </w:tcPr>
          <w:p w14:paraId="6BFE7E24">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410E0C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1,795,467.20</w:t>
            </w:r>
          </w:p>
        </w:tc>
        <w:tc>
          <w:tcPr>
            <w:tcW w:w="1377" w:type="dxa"/>
            <w:tcBorders>
              <w:top w:val="single" w:color="auto" w:sz="2" w:space="0"/>
              <w:left w:val="single" w:color="auto" w:sz="2" w:space="0"/>
              <w:bottom w:val="single" w:color="auto" w:sz="2" w:space="0"/>
              <w:right w:val="single" w:color="auto" w:sz="2" w:space="0"/>
            </w:tcBorders>
            <w:vAlign w:val="center"/>
          </w:tcPr>
          <w:p w14:paraId="49F93CF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4,081,555.83</w:t>
            </w:r>
          </w:p>
        </w:tc>
        <w:tc>
          <w:tcPr>
            <w:tcW w:w="1377" w:type="dxa"/>
            <w:tcBorders>
              <w:top w:val="single" w:color="auto" w:sz="2" w:space="0"/>
              <w:left w:val="single" w:color="auto" w:sz="2" w:space="0"/>
              <w:bottom w:val="single" w:color="auto" w:sz="2" w:space="0"/>
              <w:right w:val="single" w:color="auto" w:sz="2" w:space="0"/>
            </w:tcBorders>
            <w:vAlign w:val="center"/>
          </w:tcPr>
          <w:p w14:paraId="2C65B1FE">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402A5A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4,081,555.83</w:t>
            </w:r>
          </w:p>
        </w:tc>
      </w:tr>
    </w:tbl>
    <w:p w14:paraId="56174C33">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0D65387F">
      <w:pPr>
        <w:pStyle w:val="3"/>
        <w:keepNext/>
        <w:keepLines/>
        <w:spacing w:before="300" w:after="300" w:line="280" w:lineRule="exact"/>
        <w:jc w:val="left"/>
        <w:outlineLvl w:val="2"/>
        <w:rPr>
          <w:rFonts w:ascii="宋体" w:hAnsi="宋体" w:eastAsia="宋体" w:cs="宋体"/>
          <w:b/>
          <w:bCs/>
          <w:sz w:val="21"/>
          <w:szCs w:val="21"/>
        </w:rPr>
      </w:pPr>
      <w:bookmarkStart w:id="329" w:name="_Toc989139"/>
      <w:r>
        <w:rPr>
          <w:rFonts w:hint="default" w:ascii="Times New Roman" w:hAnsi="Times New Roman" w:eastAsia="宋体" w:cs="Times New Roman"/>
          <w:b/>
          <w:bCs/>
          <w:sz w:val="21"/>
          <w:szCs w:val="21"/>
        </w:rPr>
        <w:t>18</w:t>
      </w:r>
      <w:r>
        <w:rPr>
          <w:rFonts w:ascii="宋体" w:hAnsi="宋体" w:eastAsia="宋体" w:cs="宋体"/>
          <w:b/>
          <w:bCs/>
          <w:sz w:val="21"/>
          <w:szCs w:val="21"/>
        </w:rPr>
        <w:t>、所有权或使用权受到限制的资产</w:t>
      </w:r>
      <w:bookmarkEnd w:id="329"/>
    </w:p>
    <w:p w14:paraId="149C544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101DE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6D4638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05FAF11C">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3A4107C1">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r>
      <w:tr w14:paraId="5253D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B713A9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E25C97F">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8F719A9">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1556E46">
            <w:pPr>
              <w:spacing w:before="40" w:after="40" w:line="240" w:lineRule="exact"/>
              <w:jc w:val="center"/>
              <w:rPr>
                <w:rFonts w:ascii="宋体" w:hAnsi="宋体" w:eastAsia="宋体" w:cs="宋体"/>
                <w:sz w:val="18"/>
                <w:szCs w:val="18"/>
              </w:rPr>
            </w:pPr>
            <w:r>
              <w:rPr>
                <w:rFonts w:ascii="宋体" w:hAnsi="宋体" w:eastAsia="宋体" w:cs="宋体"/>
                <w:sz w:val="18"/>
                <w:szCs w:val="18"/>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BC56778">
            <w:pPr>
              <w:spacing w:before="40" w:after="40" w:line="240" w:lineRule="exact"/>
              <w:jc w:val="center"/>
              <w:rPr>
                <w:rFonts w:ascii="宋体" w:hAnsi="宋体" w:eastAsia="宋体" w:cs="宋体"/>
                <w:sz w:val="18"/>
                <w:szCs w:val="18"/>
              </w:rPr>
            </w:pPr>
            <w:r>
              <w:rPr>
                <w:rFonts w:ascii="宋体" w:hAnsi="宋体" w:eastAsia="宋体" w:cs="宋体"/>
                <w:sz w:val="18"/>
                <w:szCs w:val="18"/>
              </w:rPr>
              <w:t>受限情况</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4B1C894">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C7C2E15">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0AAA13D">
            <w:pPr>
              <w:spacing w:before="40" w:after="40" w:line="240" w:lineRule="exact"/>
              <w:jc w:val="center"/>
              <w:rPr>
                <w:rFonts w:ascii="宋体" w:hAnsi="宋体" w:eastAsia="宋体" w:cs="宋体"/>
                <w:sz w:val="18"/>
                <w:szCs w:val="18"/>
              </w:rPr>
            </w:pPr>
            <w:r>
              <w:rPr>
                <w:rFonts w:ascii="宋体" w:hAnsi="宋体" w:eastAsia="宋体" w:cs="宋体"/>
                <w:sz w:val="18"/>
                <w:szCs w:val="18"/>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50A80A3">
            <w:pPr>
              <w:spacing w:before="40" w:after="40" w:line="240" w:lineRule="exact"/>
              <w:jc w:val="center"/>
              <w:rPr>
                <w:rFonts w:ascii="宋体" w:hAnsi="宋体" w:eastAsia="宋体" w:cs="宋体"/>
                <w:sz w:val="18"/>
                <w:szCs w:val="18"/>
              </w:rPr>
            </w:pPr>
            <w:r>
              <w:rPr>
                <w:rFonts w:ascii="宋体" w:hAnsi="宋体" w:eastAsia="宋体" w:cs="宋体"/>
                <w:sz w:val="18"/>
                <w:szCs w:val="18"/>
              </w:rPr>
              <w:t>受限情况</w:t>
            </w:r>
          </w:p>
        </w:tc>
      </w:tr>
      <w:tr w14:paraId="28693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AC2F12D">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071" w:type="dxa"/>
            <w:tcBorders>
              <w:top w:val="single" w:color="auto" w:sz="2" w:space="0"/>
              <w:left w:val="single" w:color="auto" w:sz="2" w:space="0"/>
              <w:bottom w:val="single" w:color="auto" w:sz="2" w:space="0"/>
              <w:right w:val="single" w:color="auto" w:sz="2" w:space="0"/>
            </w:tcBorders>
            <w:vAlign w:val="center"/>
          </w:tcPr>
          <w:p w14:paraId="01510BE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2,000.00</w:t>
            </w:r>
          </w:p>
        </w:tc>
        <w:tc>
          <w:tcPr>
            <w:tcW w:w="1071" w:type="dxa"/>
            <w:tcBorders>
              <w:top w:val="single" w:color="auto" w:sz="2" w:space="0"/>
              <w:left w:val="single" w:color="auto" w:sz="2" w:space="0"/>
              <w:bottom w:val="single" w:color="auto" w:sz="2" w:space="0"/>
              <w:right w:val="single" w:color="auto" w:sz="2" w:space="0"/>
            </w:tcBorders>
            <w:vAlign w:val="center"/>
          </w:tcPr>
          <w:p w14:paraId="4A1A104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2,000.00</w:t>
            </w:r>
          </w:p>
        </w:tc>
        <w:tc>
          <w:tcPr>
            <w:tcW w:w="1071" w:type="dxa"/>
            <w:tcBorders>
              <w:top w:val="single" w:color="auto" w:sz="2" w:space="0"/>
              <w:left w:val="single" w:color="auto" w:sz="2" w:space="0"/>
              <w:bottom w:val="single" w:color="auto" w:sz="2" w:space="0"/>
              <w:right w:val="single" w:color="auto" w:sz="2" w:space="0"/>
            </w:tcBorders>
            <w:vAlign w:val="center"/>
          </w:tcPr>
          <w:p w14:paraId="446408EA">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14:paraId="1C9BC185">
            <w:pPr>
              <w:spacing w:before="0" w:after="0" w:line="240" w:lineRule="exact"/>
              <w:jc w:val="left"/>
              <w:rPr>
                <w:rFonts w:ascii="宋体" w:hAnsi="宋体" w:eastAsia="宋体" w:cs="宋体"/>
                <w:sz w:val="18"/>
                <w:szCs w:val="18"/>
              </w:rPr>
            </w:pPr>
            <w:r>
              <w:rPr>
                <w:rFonts w:ascii="宋体" w:hAnsi="宋体" w:eastAsia="宋体" w:cs="宋体"/>
                <w:sz w:val="18"/>
                <w:szCs w:val="18"/>
              </w:rPr>
              <w:t>业务冻结</w:t>
            </w:r>
          </w:p>
        </w:tc>
        <w:tc>
          <w:tcPr>
            <w:tcW w:w="1071" w:type="dxa"/>
            <w:tcBorders>
              <w:top w:val="single" w:color="auto" w:sz="2" w:space="0"/>
              <w:left w:val="single" w:color="auto" w:sz="2" w:space="0"/>
              <w:bottom w:val="single" w:color="auto" w:sz="2" w:space="0"/>
              <w:right w:val="single" w:color="auto" w:sz="2" w:space="0"/>
            </w:tcBorders>
            <w:vAlign w:val="center"/>
          </w:tcPr>
          <w:p w14:paraId="610260B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2,296,352.04</w:t>
            </w:r>
          </w:p>
        </w:tc>
        <w:tc>
          <w:tcPr>
            <w:tcW w:w="1071" w:type="dxa"/>
            <w:tcBorders>
              <w:top w:val="single" w:color="auto" w:sz="2" w:space="0"/>
              <w:left w:val="single" w:color="auto" w:sz="2" w:space="0"/>
              <w:bottom w:val="single" w:color="auto" w:sz="2" w:space="0"/>
              <w:right w:val="single" w:color="auto" w:sz="2" w:space="0"/>
            </w:tcBorders>
            <w:vAlign w:val="center"/>
          </w:tcPr>
          <w:p w14:paraId="12451C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2,296,352.04</w:t>
            </w:r>
          </w:p>
        </w:tc>
        <w:tc>
          <w:tcPr>
            <w:tcW w:w="1071" w:type="dxa"/>
            <w:tcBorders>
              <w:top w:val="single" w:color="auto" w:sz="2" w:space="0"/>
              <w:left w:val="single" w:color="auto" w:sz="2" w:space="0"/>
              <w:bottom w:val="single" w:color="auto" w:sz="2" w:space="0"/>
              <w:right w:val="single" w:color="auto" w:sz="2" w:space="0"/>
            </w:tcBorders>
            <w:vAlign w:val="center"/>
          </w:tcPr>
          <w:p w14:paraId="56535D99">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14:paraId="3059FF1F">
            <w:pPr>
              <w:spacing w:before="0" w:after="0" w:line="240" w:lineRule="exact"/>
              <w:jc w:val="left"/>
              <w:rPr>
                <w:rFonts w:ascii="宋体" w:hAnsi="宋体" w:eastAsia="宋体" w:cs="宋体"/>
                <w:sz w:val="18"/>
                <w:szCs w:val="18"/>
              </w:rPr>
            </w:pPr>
            <w:r>
              <w:rPr>
                <w:rFonts w:ascii="宋体" w:hAnsi="宋体" w:eastAsia="宋体" w:cs="宋体"/>
                <w:sz w:val="18"/>
                <w:szCs w:val="18"/>
              </w:rPr>
              <w:t>司法冻结</w:t>
            </w:r>
          </w:p>
        </w:tc>
      </w:tr>
      <w:tr w14:paraId="097C7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8B1CB85">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14:paraId="7A71349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2,000.00</w:t>
            </w:r>
          </w:p>
        </w:tc>
        <w:tc>
          <w:tcPr>
            <w:tcW w:w="1071" w:type="dxa"/>
            <w:tcBorders>
              <w:top w:val="single" w:color="auto" w:sz="2" w:space="0"/>
              <w:left w:val="single" w:color="auto" w:sz="2" w:space="0"/>
              <w:bottom w:val="single" w:color="auto" w:sz="2" w:space="0"/>
              <w:right w:val="single" w:color="auto" w:sz="2" w:space="0"/>
            </w:tcBorders>
            <w:vAlign w:val="center"/>
          </w:tcPr>
          <w:p w14:paraId="0036090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2,000.00</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9160A5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018F899"/>
        </w:tc>
        <w:tc>
          <w:tcPr>
            <w:tcW w:w="1071" w:type="dxa"/>
            <w:tcBorders>
              <w:top w:val="single" w:color="auto" w:sz="2" w:space="0"/>
              <w:left w:val="single" w:color="auto" w:sz="2" w:space="0"/>
              <w:bottom w:val="single" w:color="auto" w:sz="2" w:space="0"/>
              <w:right w:val="single" w:color="auto" w:sz="2" w:space="0"/>
            </w:tcBorders>
            <w:vAlign w:val="center"/>
          </w:tcPr>
          <w:p w14:paraId="206FE83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2,296,352.04</w:t>
            </w:r>
          </w:p>
        </w:tc>
        <w:tc>
          <w:tcPr>
            <w:tcW w:w="1071" w:type="dxa"/>
            <w:tcBorders>
              <w:top w:val="single" w:color="auto" w:sz="2" w:space="0"/>
              <w:left w:val="single" w:color="auto" w:sz="2" w:space="0"/>
              <w:bottom w:val="single" w:color="auto" w:sz="2" w:space="0"/>
              <w:right w:val="single" w:color="auto" w:sz="2" w:space="0"/>
            </w:tcBorders>
            <w:vAlign w:val="center"/>
          </w:tcPr>
          <w:p w14:paraId="6985D75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2,296,352.04</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6BB120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2D65ACD"/>
        </w:tc>
      </w:tr>
    </w:tbl>
    <w:p w14:paraId="6EF66D7C">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65886635">
      <w:pPr>
        <w:pStyle w:val="3"/>
        <w:keepNext/>
        <w:keepLines/>
        <w:spacing w:before="300" w:after="300" w:line="280" w:lineRule="exact"/>
        <w:jc w:val="left"/>
        <w:outlineLvl w:val="2"/>
        <w:rPr>
          <w:rFonts w:ascii="宋体" w:hAnsi="宋体" w:eastAsia="宋体" w:cs="宋体"/>
          <w:b/>
          <w:bCs/>
          <w:sz w:val="21"/>
          <w:szCs w:val="21"/>
        </w:rPr>
      </w:pPr>
      <w:bookmarkStart w:id="330" w:name="_Toc989140"/>
      <w:r>
        <w:rPr>
          <w:rFonts w:hint="default" w:ascii="Times New Roman" w:hAnsi="Times New Roman" w:eastAsia="宋体" w:cs="Times New Roman"/>
          <w:b/>
          <w:bCs/>
          <w:sz w:val="21"/>
          <w:szCs w:val="21"/>
        </w:rPr>
        <w:t>19</w:t>
      </w:r>
      <w:r>
        <w:rPr>
          <w:rFonts w:ascii="宋体" w:hAnsi="宋体" w:eastAsia="宋体" w:cs="宋体"/>
          <w:b/>
          <w:bCs/>
          <w:sz w:val="21"/>
          <w:szCs w:val="21"/>
        </w:rPr>
        <w:t>、短期借款</w:t>
      </w:r>
      <w:bookmarkEnd w:id="330"/>
    </w:p>
    <w:p w14:paraId="4D1271A4">
      <w:pPr>
        <w:keepNext/>
        <w:keepLines/>
        <w:spacing w:before="300" w:after="300" w:line="280" w:lineRule="exact"/>
        <w:jc w:val="left"/>
        <w:outlineLvl w:val="3"/>
        <w:rPr>
          <w:rFonts w:ascii="宋体" w:hAnsi="宋体" w:eastAsia="宋体" w:cs="宋体"/>
          <w:b/>
          <w:bCs/>
          <w:sz w:val="21"/>
          <w:szCs w:val="21"/>
        </w:rPr>
      </w:pPr>
      <w:bookmarkStart w:id="331" w:name="_Toc989141"/>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短期借款分类</w:t>
      </w:r>
      <w:bookmarkEnd w:id="331"/>
    </w:p>
    <w:p w14:paraId="2CCF110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9200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7867C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F2CAEA">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082F2D">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55F4E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6FEBD5">
            <w:pPr>
              <w:spacing w:before="40" w:after="40" w:line="240" w:lineRule="exact"/>
              <w:jc w:val="left"/>
              <w:rPr>
                <w:rFonts w:ascii="宋体" w:hAnsi="宋体" w:eastAsia="宋体" w:cs="宋体"/>
                <w:sz w:val="18"/>
                <w:szCs w:val="18"/>
              </w:rPr>
            </w:pPr>
            <w:r>
              <w:rPr>
                <w:rFonts w:ascii="宋体" w:hAnsi="宋体" w:eastAsia="宋体" w:cs="宋体"/>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14:paraId="79D2BC9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15,000,390.65</w:t>
            </w:r>
          </w:p>
        </w:tc>
        <w:tc>
          <w:tcPr>
            <w:tcW w:w="3213" w:type="dxa"/>
            <w:tcBorders>
              <w:top w:val="single" w:color="auto" w:sz="2" w:space="0"/>
              <w:left w:val="single" w:color="auto" w:sz="2" w:space="0"/>
              <w:bottom w:val="single" w:color="auto" w:sz="2" w:space="0"/>
              <w:right w:val="single" w:color="auto" w:sz="2" w:space="0"/>
            </w:tcBorders>
            <w:vAlign w:val="center"/>
          </w:tcPr>
          <w:p w14:paraId="69F591B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20,014,583.21</w:t>
            </w:r>
          </w:p>
        </w:tc>
      </w:tr>
      <w:tr w14:paraId="206F3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C1259A">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19CCA9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15,000,390.65</w:t>
            </w:r>
          </w:p>
        </w:tc>
        <w:tc>
          <w:tcPr>
            <w:tcW w:w="3213" w:type="dxa"/>
            <w:tcBorders>
              <w:top w:val="single" w:color="auto" w:sz="2" w:space="0"/>
              <w:left w:val="single" w:color="auto" w:sz="2" w:space="0"/>
              <w:bottom w:val="single" w:color="auto" w:sz="2" w:space="0"/>
              <w:right w:val="single" w:color="auto" w:sz="2" w:space="0"/>
            </w:tcBorders>
            <w:vAlign w:val="center"/>
          </w:tcPr>
          <w:p w14:paraId="12A1FA5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20,014,583.21</w:t>
            </w:r>
          </w:p>
        </w:tc>
      </w:tr>
    </w:tbl>
    <w:p w14:paraId="641508A0">
      <w:pPr>
        <w:spacing w:before="100" w:after="100" w:line="240" w:lineRule="exact"/>
        <w:jc w:val="left"/>
        <w:rPr>
          <w:rFonts w:ascii="宋体" w:hAnsi="宋体" w:eastAsia="宋体" w:cs="宋体"/>
          <w:sz w:val="18"/>
          <w:szCs w:val="18"/>
        </w:rPr>
      </w:pPr>
      <w:r>
        <w:rPr>
          <w:rFonts w:ascii="宋体" w:hAnsi="宋体" w:eastAsia="宋体" w:cs="宋体"/>
          <w:sz w:val="18"/>
          <w:szCs w:val="18"/>
        </w:rPr>
        <w:t>短期借款分类的说明：</w:t>
      </w:r>
    </w:p>
    <w:p w14:paraId="7598F99B">
      <w:pPr>
        <w:pStyle w:val="3"/>
        <w:keepNext/>
        <w:keepLines/>
        <w:spacing w:before="300" w:after="300" w:line="280" w:lineRule="exact"/>
        <w:jc w:val="left"/>
        <w:outlineLvl w:val="2"/>
        <w:rPr>
          <w:rFonts w:ascii="宋体" w:hAnsi="宋体" w:eastAsia="宋体" w:cs="宋体"/>
          <w:b/>
          <w:bCs/>
          <w:sz w:val="21"/>
          <w:szCs w:val="21"/>
        </w:rPr>
      </w:pPr>
      <w:bookmarkStart w:id="332" w:name="_Toc989142"/>
      <w:r>
        <w:rPr>
          <w:rFonts w:hint="default" w:ascii="Times New Roman" w:hAnsi="Times New Roman" w:eastAsia="宋体" w:cs="Times New Roman"/>
          <w:b/>
          <w:bCs/>
          <w:sz w:val="21"/>
          <w:szCs w:val="21"/>
        </w:rPr>
        <w:t>20</w:t>
      </w:r>
      <w:r>
        <w:rPr>
          <w:rFonts w:ascii="宋体" w:hAnsi="宋体" w:eastAsia="宋体" w:cs="宋体"/>
          <w:b/>
          <w:bCs/>
          <w:sz w:val="21"/>
          <w:szCs w:val="21"/>
        </w:rPr>
        <w:t>、应付账款</w:t>
      </w:r>
      <w:bookmarkEnd w:id="332"/>
    </w:p>
    <w:p w14:paraId="6F7E36B5">
      <w:pPr>
        <w:keepNext/>
        <w:keepLines/>
        <w:spacing w:before="300" w:after="300" w:line="280" w:lineRule="exact"/>
        <w:jc w:val="left"/>
        <w:outlineLvl w:val="3"/>
        <w:rPr>
          <w:rFonts w:ascii="宋体" w:hAnsi="宋体" w:eastAsia="宋体" w:cs="宋体"/>
          <w:b/>
          <w:bCs/>
          <w:sz w:val="18"/>
          <w:szCs w:val="18"/>
        </w:rPr>
      </w:pPr>
      <w:bookmarkStart w:id="333" w:name="_Toc989143"/>
      <w:r>
        <w:rPr>
          <w:rFonts w:ascii="宋体" w:hAnsi="宋体" w:eastAsia="宋体" w:cs="宋体"/>
          <w:b/>
          <w:bCs/>
          <w:sz w:val="18"/>
          <w:szCs w:val="18"/>
        </w:rPr>
        <w:t>（</w:t>
      </w:r>
      <w:r>
        <w:rPr>
          <w:rFonts w:hint="default" w:ascii="Times New Roman" w:hAnsi="Times New Roman" w:eastAsia="宋体" w:cs="Times New Roman"/>
          <w:b/>
          <w:bCs/>
          <w:sz w:val="18"/>
          <w:szCs w:val="18"/>
        </w:rPr>
        <w:t>1</w:t>
      </w:r>
      <w:r>
        <w:rPr>
          <w:rFonts w:ascii="宋体" w:hAnsi="宋体" w:eastAsia="宋体" w:cs="宋体"/>
          <w:b/>
          <w:bCs/>
          <w:sz w:val="18"/>
          <w:szCs w:val="18"/>
        </w:rPr>
        <w:t>） 应付账款列示</w:t>
      </w:r>
      <w:bookmarkEnd w:id="333"/>
    </w:p>
    <w:p w14:paraId="53CC7C3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BAE2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8769B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1EB28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2F818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1F5FD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5B5D5A2">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年以内（含</w:t>
            </w:r>
            <w:r>
              <w:rPr>
                <w:rFonts w:hint="default" w:ascii="Times New Roman" w:hAnsi="Times New Roman" w:eastAsia="宋体" w:cs="Times New Roman"/>
                <w:sz w:val="18"/>
                <w:szCs w:val="18"/>
              </w:rPr>
              <w:t>1</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1CB8D1D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8,770,448.16</w:t>
            </w:r>
          </w:p>
        </w:tc>
        <w:tc>
          <w:tcPr>
            <w:tcW w:w="3213" w:type="dxa"/>
            <w:tcBorders>
              <w:top w:val="single" w:color="auto" w:sz="2" w:space="0"/>
              <w:left w:val="single" w:color="auto" w:sz="2" w:space="0"/>
              <w:bottom w:val="single" w:color="auto" w:sz="2" w:space="0"/>
              <w:right w:val="single" w:color="auto" w:sz="2" w:space="0"/>
            </w:tcBorders>
            <w:vAlign w:val="center"/>
          </w:tcPr>
          <w:p w14:paraId="0D80F25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34,500,147.21</w:t>
            </w:r>
          </w:p>
        </w:tc>
      </w:tr>
      <w:tr w14:paraId="5CEBD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82CAED7">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年以上</w:t>
            </w:r>
          </w:p>
        </w:tc>
        <w:tc>
          <w:tcPr>
            <w:tcW w:w="3213" w:type="dxa"/>
            <w:tcBorders>
              <w:top w:val="single" w:color="auto" w:sz="2" w:space="0"/>
              <w:left w:val="single" w:color="auto" w:sz="2" w:space="0"/>
              <w:bottom w:val="single" w:color="auto" w:sz="2" w:space="0"/>
              <w:right w:val="single" w:color="auto" w:sz="2" w:space="0"/>
            </w:tcBorders>
            <w:vAlign w:val="center"/>
          </w:tcPr>
          <w:p w14:paraId="454110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11,359,038.75</w:t>
            </w:r>
          </w:p>
        </w:tc>
        <w:tc>
          <w:tcPr>
            <w:tcW w:w="3213" w:type="dxa"/>
            <w:tcBorders>
              <w:top w:val="single" w:color="auto" w:sz="2" w:space="0"/>
              <w:left w:val="single" w:color="auto" w:sz="2" w:space="0"/>
              <w:bottom w:val="single" w:color="auto" w:sz="2" w:space="0"/>
              <w:right w:val="single" w:color="auto" w:sz="2" w:space="0"/>
            </w:tcBorders>
            <w:vAlign w:val="center"/>
          </w:tcPr>
          <w:p w14:paraId="3736B46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1,149,719.00</w:t>
            </w:r>
          </w:p>
        </w:tc>
      </w:tr>
      <w:tr w14:paraId="295D1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4702A1">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F6766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20,129,486.91</w:t>
            </w:r>
          </w:p>
        </w:tc>
        <w:tc>
          <w:tcPr>
            <w:tcW w:w="3213" w:type="dxa"/>
            <w:tcBorders>
              <w:top w:val="single" w:color="auto" w:sz="2" w:space="0"/>
              <w:left w:val="single" w:color="auto" w:sz="2" w:space="0"/>
              <w:bottom w:val="single" w:color="auto" w:sz="2" w:space="0"/>
              <w:right w:val="single" w:color="auto" w:sz="2" w:space="0"/>
            </w:tcBorders>
            <w:vAlign w:val="center"/>
          </w:tcPr>
          <w:p w14:paraId="1BB3020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35,649,866.21</w:t>
            </w:r>
          </w:p>
        </w:tc>
      </w:tr>
    </w:tbl>
    <w:p w14:paraId="68C490FC">
      <w:pPr>
        <w:keepNext/>
        <w:keepLines/>
        <w:spacing w:before="300" w:after="300" w:line="280" w:lineRule="exact"/>
        <w:jc w:val="left"/>
        <w:outlineLvl w:val="3"/>
        <w:rPr>
          <w:rFonts w:ascii="宋体" w:hAnsi="宋体" w:eastAsia="宋体" w:cs="宋体"/>
          <w:b/>
          <w:bCs/>
          <w:sz w:val="18"/>
          <w:szCs w:val="18"/>
        </w:rPr>
      </w:pPr>
      <w:bookmarkStart w:id="334" w:name="_Toc989144"/>
      <w:r>
        <w:rPr>
          <w:rFonts w:ascii="宋体" w:hAnsi="宋体" w:eastAsia="宋体" w:cs="宋体"/>
          <w:b/>
          <w:bCs/>
          <w:sz w:val="18"/>
          <w:szCs w:val="18"/>
        </w:rPr>
        <w:t>（</w:t>
      </w:r>
      <w:r>
        <w:rPr>
          <w:rFonts w:hint="default" w:ascii="Times New Roman" w:hAnsi="Times New Roman" w:eastAsia="宋体" w:cs="Times New Roman"/>
          <w:b/>
          <w:bCs/>
          <w:sz w:val="18"/>
          <w:szCs w:val="18"/>
        </w:rPr>
        <w:t>2</w:t>
      </w:r>
      <w:r>
        <w:rPr>
          <w:rFonts w:ascii="宋体" w:hAnsi="宋体" w:eastAsia="宋体" w:cs="宋体"/>
          <w:b/>
          <w:bCs/>
          <w:sz w:val="18"/>
          <w:szCs w:val="18"/>
        </w:rPr>
        <w:t>） 账龄超过</w:t>
      </w:r>
      <w:r>
        <w:rPr>
          <w:rFonts w:hint="default" w:ascii="Times New Roman" w:hAnsi="Times New Roman" w:eastAsia="宋体" w:cs="Times New Roman"/>
          <w:b/>
          <w:bCs/>
          <w:sz w:val="18"/>
          <w:szCs w:val="18"/>
        </w:rPr>
        <w:t>1</w:t>
      </w:r>
      <w:r>
        <w:rPr>
          <w:rFonts w:ascii="宋体" w:hAnsi="宋体" w:eastAsia="宋体" w:cs="宋体"/>
          <w:b/>
          <w:bCs/>
          <w:sz w:val="18"/>
          <w:szCs w:val="18"/>
        </w:rPr>
        <w:t>年或逾期的重要应付账款</w:t>
      </w:r>
      <w:bookmarkEnd w:id="334"/>
    </w:p>
    <w:p w14:paraId="239391C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F0C6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C68E8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724F17">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D24815">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r w14:paraId="59EAA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4476EA0">
            <w:pPr>
              <w:spacing w:before="0" w:after="0" w:line="240" w:lineRule="exact"/>
              <w:jc w:val="left"/>
              <w:rPr>
                <w:rFonts w:ascii="宋体" w:hAnsi="宋体" w:eastAsia="宋体" w:cs="宋体"/>
                <w:sz w:val="18"/>
                <w:szCs w:val="18"/>
              </w:rPr>
            </w:pPr>
            <w:r>
              <w:rPr>
                <w:rFonts w:ascii="宋体" w:hAnsi="宋体" w:eastAsia="宋体" w:cs="宋体"/>
                <w:sz w:val="18"/>
                <w:szCs w:val="18"/>
              </w:rPr>
              <w:t>中铁十二局集团华南工程有限公司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3FD1767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10,367,834.59</w:t>
            </w:r>
          </w:p>
        </w:tc>
        <w:tc>
          <w:tcPr>
            <w:tcW w:w="3213" w:type="dxa"/>
            <w:tcBorders>
              <w:top w:val="single" w:color="auto" w:sz="2" w:space="0"/>
              <w:left w:val="single" w:color="auto" w:sz="2" w:space="0"/>
              <w:bottom w:val="single" w:color="auto" w:sz="2" w:space="0"/>
              <w:right w:val="single" w:color="auto" w:sz="2" w:space="0"/>
            </w:tcBorders>
            <w:vAlign w:val="center"/>
          </w:tcPr>
          <w:p w14:paraId="62D93AF7">
            <w:pPr>
              <w:spacing w:before="0" w:after="0" w:line="240" w:lineRule="exact"/>
              <w:jc w:val="left"/>
              <w:rPr>
                <w:rFonts w:ascii="宋体" w:hAnsi="宋体" w:eastAsia="宋体" w:cs="宋体"/>
                <w:sz w:val="18"/>
                <w:szCs w:val="18"/>
              </w:rPr>
            </w:pPr>
            <w:r>
              <w:rPr>
                <w:rFonts w:ascii="宋体" w:hAnsi="宋体" w:eastAsia="宋体" w:cs="宋体"/>
                <w:sz w:val="18"/>
                <w:szCs w:val="18"/>
              </w:rPr>
              <w:t>尚未达到付款节点</w:t>
            </w:r>
          </w:p>
        </w:tc>
      </w:tr>
      <w:tr w14:paraId="4C8F4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3BDBBD">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238BEF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10,367,834.59</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CD4F01"/>
        </w:tc>
      </w:tr>
    </w:tbl>
    <w:p w14:paraId="5ACDC6E5">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2030FAFD">
      <w:pPr>
        <w:keepNext/>
        <w:keepLines/>
        <w:spacing w:before="300" w:after="300" w:line="280" w:lineRule="exact"/>
        <w:jc w:val="left"/>
        <w:outlineLvl w:val="3"/>
        <w:rPr>
          <w:rFonts w:ascii="宋体" w:hAnsi="宋体" w:eastAsia="宋体" w:cs="宋体"/>
          <w:b/>
          <w:bCs/>
          <w:sz w:val="18"/>
          <w:szCs w:val="18"/>
        </w:rPr>
      </w:pPr>
      <w:bookmarkStart w:id="335" w:name="_Toc989145"/>
      <w:r>
        <w:rPr>
          <w:rFonts w:ascii="宋体" w:hAnsi="宋体" w:eastAsia="宋体" w:cs="宋体"/>
          <w:b/>
          <w:bCs/>
          <w:sz w:val="18"/>
          <w:szCs w:val="18"/>
        </w:rPr>
        <w:t>（</w:t>
      </w:r>
      <w:r>
        <w:rPr>
          <w:rFonts w:hint="default" w:ascii="Times New Roman" w:hAnsi="Times New Roman" w:eastAsia="宋体" w:cs="Times New Roman"/>
          <w:b/>
          <w:bCs/>
          <w:sz w:val="18"/>
          <w:szCs w:val="18"/>
        </w:rPr>
        <w:t>3</w:t>
      </w:r>
      <w:r>
        <w:rPr>
          <w:rFonts w:ascii="宋体" w:hAnsi="宋体" w:eastAsia="宋体" w:cs="宋体"/>
          <w:b/>
          <w:bCs/>
          <w:sz w:val="18"/>
          <w:szCs w:val="18"/>
        </w:rPr>
        <w:t>） 是否存在逾期尚未支付中小企业款项的情况</w:t>
      </w:r>
      <w:bookmarkEnd w:id="335"/>
    </w:p>
    <w:p w14:paraId="685F7C51">
      <w:pPr>
        <w:spacing w:before="100" w:after="100" w:line="240" w:lineRule="exact"/>
        <w:jc w:val="left"/>
        <w:rPr>
          <w:rFonts w:ascii="宋体" w:hAnsi="宋体" w:eastAsia="宋体" w:cs="宋体"/>
          <w:sz w:val="18"/>
          <w:szCs w:val="18"/>
        </w:rPr>
      </w:pPr>
      <w:r>
        <w:rPr>
          <w:rFonts w:ascii="宋体" w:hAnsi="宋体" w:eastAsia="宋体" w:cs="宋体"/>
          <w:sz w:val="18"/>
          <w:szCs w:val="18"/>
        </w:rPr>
        <w:t>是否属于大型企业</w:t>
      </w:r>
    </w:p>
    <w:p w14:paraId="2D1490D9">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113A190B">
      <w:pPr>
        <w:pStyle w:val="3"/>
        <w:keepNext/>
        <w:keepLines/>
        <w:spacing w:before="300" w:after="300" w:line="280" w:lineRule="exact"/>
        <w:jc w:val="left"/>
        <w:outlineLvl w:val="2"/>
        <w:rPr>
          <w:rFonts w:ascii="宋体" w:hAnsi="宋体" w:eastAsia="宋体" w:cs="宋体"/>
          <w:b/>
          <w:bCs/>
          <w:sz w:val="21"/>
          <w:szCs w:val="21"/>
        </w:rPr>
      </w:pPr>
      <w:bookmarkStart w:id="336" w:name="_Toc989146"/>
      <w:r>
        <w:rPr>
          <w:rFonts w:hint="default" w:ascii="Times New Roman" w:hAnsi="Times New Roman" w:eastAsia="宋体" w:cs="Times New Roman"/>
          <w:b/>
          <w:bCs/>
          <w:sz w:val="21"/>
          <w:szCs w:val="21"/>
        </w:rPr>
        <w:t>21</w:t>
      </w:r>
      <w:r>
        <w:rPr>
          <w:rFonts w:ascii="宋体" w:hAnsi="宋体" w:eastAsia="宋体" w:cs="宋体"/>
          <w:b/>
          <w:bCs/>
          <w:sz w:val="21"/>
          <w:szCs w:val="21"/>
        </w:rPr>
        <w:t>、其他应付款</w:t>
      </w:r>
      <w:bookmarkEnd w:id="336"/>
    </w:p>
    <w:p w14:paraId="622EFB5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C710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08912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D4F045">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D24729">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0647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E982C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14:paraId="6A90BA7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63,969,948.68</w:t>
            </w:r>
          </w:p>
        </w:tc>
        <w:tc>
          <w:tcPr>
            <w:tcW w:w="3213" w:type="dxa"/>
            <w:tcBorders>
              <w:top w:val="single" w:color="auto" w:sz="2" w:space="0"/>
              <w:left w:val="single" w:color="auto" w:sz="2" w:space="0"/>
              <w:bottom w:val="single" w:color="auto" w:sz="2" w:space="0"/>
              <w:right w:val="single" w:color="auto" w:sz="2" w:space="0"/>
            </w:tcBorders>
            <w:vAlign w:val="center"/>
          </w:tcPr>
          <w:p w14:paraId="0C99F15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58,625,557.85</w:t>
            </w:r>
          </w:p>
        </w:tc>
      </w:tr>
      <w:tr w14:paraId="710E0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45EFC8">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1794E9D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63,969,948.68</w:t>
            </w:r>
          </w:p>
        </w:tc>
        <w:tc>
          <w:tcPr>
            <w:tcW w:w="3213" w:type="dxa"/>
            <w:tcBorders>
              <w:top w:val="single" w:color="auto" w:sz="2" w:space="0"/>
              <w:left w:val="single" w:color="auto" w:sz="2" w:space="0"/>
              <w:bottom w:val="single" w:color="auto" w:sz="2" w:space="0"/>
              <w:right w:val="single" w:color="auto" w:sz="2" w:space="0"/>
            </w:tcBorders>
            <w:vAlign w:val="center"/>
          </w:tcPr>
          <w:p w14:paraId="3BE9F00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58,625,557.85</w:t>
            </w:r>
          </w:p>
        </w:tc>
      </w:tr>
    </w:tbl>
    <w:p w14:paraId="2F6B2406">
      <w:pPr>
        <w:keepNext/>
        <w:keepLines/>
        <w:spacing w:before="300" w:after="300" w:line="280" w:lineRule="exact"/>
        <w:jc w:val="left"/>
        <w:outlineLvl w:val="3"/>
        <w:rPr>
          <w:rFonts w:ascii="宋体" w:hAnsi="宋体" w:eastAsia="宋体" w:cs="宋体"/>
          <w:b/>
          <w:bCs/>
          <w:sz w:val="18"/>
          <w:szCs w:val="18"/>
        </w:rPr>
      </w:pPr>
      <w:bookmarkStart w:id="337" w:name="_Toc989147"/>
      <w:r>
        <w:rPr>
          <w:rFonts w:hint="default" w:ascii="Times New Roman" w:hAnsi="Times New Roman" w:eastAsia="宋体" w:cs="Times New Roman"/>
          <w:b/>
          <w:bCs/>
          <w:sz w:val="18"/>
          <w:szCs w:val="18"/>
        </w:rPr>
        <w:t>（1） 其他应付款</w:t>
      </w:r>
      <w:bookmarkEnd w:id="337"/>
    </w:p>
    <w:p w14:paraId="230F64C3">
      <w:pPr>
        <w:keepNext/>
        <w:keepLines/>
        <w:spacing w:before="300" w:after="300" w:line="280" w:lineRule="exact"/>
        <w:jc w:val="left"/>
        <w:outlineLvl w:val="4"/>
        <w:rPr>
          <w:rFonts w:ascii="宋体" w:hAnsi="宋体" w:eastAsia="宋体" w:cs="宋体"/>
          <w:b/>
          <w:bCs/>
          <w:sz w:val="18"/>
          <w:szCs w:val="18"/>
        </w:rPr>
      </w:pPr>
      <w:bookmarkStart w:id="338" w:name="_Toc989148"/>
      <w:r>
        <w:rPr>
          <w:rFonts w:hint="default" w:ascii="Times New Roman" w:hAnsi="Times New Roman" w:eastAsia="宋体" w:cs="Times New Roman"/>
          <w:b/>
          <w:bCs/>
          <w:sz w:val="18"/>
          <w:szCs w:val="18"/>
        </w:rPr>
        <w:t>1</w:t>
      </w:r>
      <w:r>
        <w:rPr>
          <w:rFonts w:ascii="宋体" w:hAnsi="宋体" w:eastAsia="宋体" w:cs="宋体"/>
          <w:b/>
          <w:bCs/>
          <w:sz w:val="18"/>
          <w:szCs w:val="18"/>
        </w:rPr>
        <w:t>） 按款项性质列示其他应付款</w:t>
      </w:r>
      <w:bookmarkEnd w:id="338"/>
    </w:p>
    <w:p w14:paraId="6AB4283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9FBA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27649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C03257">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BF213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1758E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6076AAD">
            <w:pPr>
              <w:spacing w:before="0" w:after="0" w:line="240" w:lineRule="exact"/>
              <w:jc w:val="left"/>
              <w:rPr>
                <w:rFonts w:ascii="宋体" w:hAnsi="宋体" w:eastAsia="宋体" w:cs="宋体"/>
                <w:sz w:val="18"/>
                <w:szCs w:val="18"/>
              </w:rPr>
            </w:pPr>
            <w:r>
              <w:rPr>
                <w:rFonts w:ascii="宋体" w:hAnsi="宋体" w:eastAsia="宋体" w:cs="宋体"/>
                <w:sz w:val="18"/>
                <w:szCs w:val="18"/>
              </w:rPr>
              <w:t>代理商押金</w:t>
            </w:r>
          </w:p>
        </w:tc>
        <w:tc>
          <w:tcPr>
            <w:tcW w:w="3213" w:type="dxa"/>
            <w:tcBorders>
              <w:top w:val="single" w:color="auto" w:sz="2" w:space="0"/>
              <w:left w:val="single" w:color="auto" w:sz="2" w:space="0"/>
              <w:bottom w:val="single" w:color="auto" w:sz="2" w:space="0"/>
              <w:right w:val="single" w:color="auto" w:sz="2" w:space="0"/>
            </w:tcBorders>
            <w:vAlign w:val="center"/>
          </w:tcPr>
          <w:p w14:paraId="3A62EF2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11,078,817.53</w:t>
            </w:r>
          </w:p>
        </w:tc>
        <w:tc>
          <w:tcPr>
            <w:tcW w:w="3213" w:type="dxa"/>
            <w:tcBorders>
              <w:top w:val="single" w:color="auto" w:sz="2" w:space="0"/>
              <w:left w:val="single" w:color="auto" w:sz="2" w:space="0"/>
              <w:bottom w:val="single" w:color="auto" w:sz="2" w:space="0"/>
              <w:right w:val="single" w:color="auto" w:sz="2" w:space="0"/>
            </w:tcBorders>
            <w:vAlign w:val="center"/>
          </w:tcPr>
          <w:p w14:paraId="6BA9E44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11,340,712.56</w:t>
            </w:r>
          </w:p>
        </w:tc>
      </w:tr>
      <w:tr w14:paraId="6EE33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08E9C2E">
            <w:pPr>
              <w:spacing w:before="0" w:after="0" w:line="240" w:lineRule="exact"/>
              <w:jc w:val="left"/>
              <w:rPr>
                <w:rFonts w:ascii="宋体" w:hAnsi="宋体" w:eastAsia="宋体" w:cs="宋体"/>
                <w:sz w:val="18"/>
                <w:szCs w:val="18"/>
              </w:rPr>
            </w:pPr>
            <w:r>
              <w:rPr>
                <w:rFonts w:ascii="宋体" w:hAnsi="宋体" w:eastAsia="宋体" w:cs="宋体"/>
                <w:sz w:val="18"/>
                <w:szCs w:val="18"/>
              </w:rPr>
              <w:t>预提市场服务费及其他费用</w:t>
            </w:r>
          </w:p>
        </w:tc>
        <w:tc>
          <w:tcPr>
            <w:tcW w:w="3213" w:type="dxa"/>
            <w:tcBorders>
              <w:top w:val="single" w:color="auto" w:sz="2" w:space="0"/>
              <w:left w:val="single" w:color="auto" w:sz="2" w:space="0"/>
              <w:bottom w:val="single" w:color="auto" w:sz="2" w:space="0"/>
              <w:right w:val="single" w:color="auto" w:sz="2" w:space="0"/>
            </w:tcBorders>
            <w:vAlign w:val="center"/>
          </w:tcPr>
          <w:p w14:paraId="43A64D4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39,437,948.14</w:t>
            </w:r>
          </w:p>
        </w:tc>
        <w:tc>
          <w:tcPr>
            <w:tcW w:w="3213" w:type="dxa"/>
            <w:tcBorders>
              <w:top w:val="single" w:color="auto" w:sz="2" w:space="0"/>
              <w:left w:val="single" w:color="auto" w:sz="2" w:space="0"/>
              <w:bottom w:val="single" w:color="auto" w:sz="2" w:space="0"/>
              <w:right w:val="single" w:color="auto" w:sz="2" w:space="0"/>
            </w:tcBorders>
            <w:vAlign w:val="center"/>
          </w:tcPr>
          <w:p w14:paraId="1C0AD02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38,057,135.12</w:t>
            </w:r>
          </w:p>
        </w:tc>
      </w:tr>
      <w:tr w14:paraId="705EF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2BEDB8C">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07BE20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13,453,183.01</w:t>
            </w:r>
          </w:p>
        </w:tc>
        <w:tc>
          <w:tcPr>
            <w:tcW w:w="3213" w:type="dxa"/>
            <w:tcBorders>
              <w:top w:val="single" w:color="auto" w:sz="2" w:space="0"/>
              <w:left w:val="single" w:color="auto" w:sz="2" w:space="0"/>
              <w:bottom w:val="single" w:color="auto" w:sz="2" w:space="0"/>
              <w:right w:val="single" w:color="auto" w:sz="2" w:space="0"/>
            </w:tcBorders>
            <w:vAlign w:val="center"/>
          </w:tcPr>
          <w:p w14:paraId="3218B1B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9,227,710.17</w:t>
            </w:r>
          </w:p>
        </w:tc>
      </w:tr>
      <w:tr w14:paraId="15F76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F85A27">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1C96C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63,969,948.68</w:t>
            </w:r>
          </w:p>
        </w:tc>
        <w:tc>
          <w:tcPr>
            <w:tcW w:w="3213" w:type="dxa"/>
            <w:tcBorders>
              <w:top w:val="single" w:color="auto" w:sz="2" w:space="0"/>
              <w:left w:val="single" w:color="auto" w:sz="2" w:space="0"/>
              <w:bottom w:val="single" w:color="auto" w:sz="2" w:space="0"/>
              <w:right w:val="single" w:color="auto" w:sz="2" w:space="0"/>
            </w:tcBorders>
            <w:vAlign w:val="center"/>
          </w:tcPr>
          <w:p w14:paraId="686D39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58,625,557.85</w:t>
            </w:r>
          </w:p>
        </w:tc>
      </w:tr>
    </w:tbl>
    <w:p w14:paraId="619E59C0">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33F803CD">
      <w:pPr>
        <w:pStyle w:val="3"/>
        <w:keepNext/>
        <w:keepLines/>
        <w:spacing w:before="300" w:after="300" w:line="280" w:lineRule="exact"/>
        <w:jc w:val="left"/>
        <w:outlineLvl w:val="2"/>
        <w:rPr>
          <w:rFonts w:ascii="宋体" w:hAnsi="宋体" w:eastAsia="宋体" w:cs="宋体"/>
          <w:b/>
          <w:bCs/>
          <w:sz w:val="21"/>
          <w:szCs w:val="21"/>
        </w:rPr>
      </w:pPr>
      <w:bookmarkStart w:id="339" w:name="_Toc989149"/>
      <w:r>
        <w:rPr>
          <w:rFonts w:hint="default" w:ascii="Times New Roman" w:hAnsi="Times New Roman" w:eastAsia="宋体" w:cs="Times New Roman"/>
          <w:b/>
          <w:bCs/>
          <w:sz w:val="21"/>
          <w:szCs w:val="21"/>
        </w:rPr>
        <w:t>22</w:t>
      </w:r>
      <w:r>
        <w:rPr>
          <w:rFonts w:ascii="宋体" w:hAnsi="宋体" w:eastAsia="宋体" w:cs="宋体"/>
          <w:b/>
          <w:bCs/>
          <w:sz w:val="21"/>
          <w:szCs w:val="21"/>
        </w:rPr>
        <w:t>、预收款项</w:t>
      </w:r>
      <w:bookmarkEnd w:id="339"/>
    </w:p>
    <w:p w14:paraId="0376AA87">
      <w:pPr>
        <w:keepNext/>
        <w:keepLines/>
        <w:spacing w:before="300" w:after="300" w:line="280" w:lineRule="exact"/>
        <w:jc w:val="left"/>
        <w:outlineLvl w:val="3"/>
        <w:rPr>
          <w:rFonts w:ascii="宋体" w:hAnsi="宋体" w:eastAsia="宋体" w:cs="宋体"/>
          <w:b/>
          <w:bCs/>
          <w:sz w:val="18"/>
          <w:szCs w:val="18"/>
        </w:rPr>
      </w:pPr>
      <w:bookmarkStart w:id="340" w:name="_Toc989150"/>
      <w:r>
        <w:rPr>
          <w:rFonts w:ascii="宋体" w:hAnsi="宋体" w:eastAsia="宋体" w:cs="宋体"/>
          <w:b/>
          <w:bCs/>
          <w:sz w:val="18"/>
          <w:szCs w:val="18"/>
        </w:rPr>
        <w:t>（</w:t>
      </w:r>
      <w:r>
        <w:rPr>
          <w:rFonts w:hint="default" w:ascii="Times New Roman" w:hAnsi="Times New Roman" w:eastAsia="宋体" w:cs="Times New Roman"/>
          <w:b/>
          <w:bCs/>
          <w:sz w:val="18"/>
          <w:szCs w:val="18"/>
        </w:rPr>
        <w:t>1</w:t>
      </w:r>
      <w:r>
        <w:rPr>
          <w:rFonts w:ascii="宋体" w:hAnsi="宋体" w:eastAsia="宋体" w:cs="宋体"/>
          <w:b/>
          <w:bCs/>
          <w:sz w:val="18"/>
          <w:szCs w:val="18"/>
        </w:rPr>
        <w:t>） 预收款项列示</w:t>
      </w:r>
      <w:bookmarkEnd w:id="340"/>
    </w:p>
    <w:p w14:paraId="6720990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7E79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8F53C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98E106">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FE68F3">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2DD6D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9DEE9E8">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年以内（含</w:t>
            </w:r>
            <w:r>
              <w:rPr>
                <w:rFonts w:hint="default" w:ascii="Times New Roman" w:hAnsi="Times New Roman" w:eastAsia="宋体" w:cs="Times New Roman"/>
                <w:sz w:val="18"/>
                <w:szCs w:val="18"/>
              </w:rPr>
              <w:t>1</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5F1FAA5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171,651.14</w:t>
            </w:r>
          </w:p>
        </w:tc>
        <w:tc>
          <w:tcPr>
            <w:tcW w:w="3213" w:type="dxa"/>
            <w:tcBorders>
              <w:top w:val="single" w:color="auto" w:sz="2" w:space="0"/>
              <w:left w:val="single" w:color="auto" w:sz="2" w:space="0"/>
              <w:bottom w:val="single" w:color="auto" w:sz="2" w:space="0"/>
              <w:right w:val="single" w:color="auto" w:sz="2" w:space="0"/>
            </w:tcBorders>
            <w:vAlign w:val="center"/>
          </w:tcPr>
          <w:p w14:paraId="3878E79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720,874.08</w:t>
            </w:r>
          </w:p>
        </w:tc>
      </w:tr>
      <w:tr w14:paraId="0CB54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31AFF94">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年以上</w:t>
            </w:r>
          </w:p>
        </w:tc>
        <w:tc>
          <w:tcPr>
            <w:tcW w:w="3213" w:type="dxa"/>
            <w:tcBorders>
              <w:top w:val="single" w:color="auto" w:sz="2" w:space="0"/>
              <w:left w:val="single" w:color="auto" w:sz="2" w:space="0"/>
              <w:bottom w:val="single" w:color="auto" w:sz="2" w:space="0"/>
              <w:right w:val="single" w:color="auto" w:sz="2" w:space="0"/>
            </w:tcBorders>
            <w:vAlign w:val="center"/>
          </w:tcPr>
          <w:p w14:paraId="34F7C4A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720,874.08</w:t>
            </w:r>
          </w:p>
        </w:tc>
        <w:tc>
          <w:tcPr>
            <w:tcW w:w="3213" w:type="dxa"/>
            <w:tcBorders>
              <w:top w:val="single" w:color="auto" w:sz="2" w:space="0"/>
              <w:left w:val="single" w:color="auto" w:sz="2" w:space="0"/>
              <w:bottom w:val="single" w:color="auto" w:sz="2" w:space="0"/>
              <w:right w:val="single" w:color="auto" w:sz="2" w:space="0"/>
            </w:tcBorders>
            <w:vAlign w:val="center"/>
          </w:tcPr>
          <w:p w14:paraId="3EE5B5C0">
            <w:pPr>
              <w:spacing w:before="0" w:after="0" w:line="240" w:lineRule="exact"/>
              <w:jc w:val="right"/>
              <w:rPr>
                <w:rFonts w:hint="default" w:ascii="Times New Roman" w:hAnsi="Times New Roman" w:eastAsia="宋体" w:cs="Times New Roman"/>
                <w:sz w:val="18"/>
                <w:szCs w:val="18"/>
              </w:rPr>
            </w:pPr>
          </w:p>
        </w:tc>
      </w:tr>
      <w:tr w14:paraId="68353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60F1C0">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46DC71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892,525.22</w:t>
            </w:r>
          </w:p>
        </w:tc>
        <w:tc>
          <w:tcPr>
            <w:tcW w:w="3213" w:type="dxa"/>
            <w:tcBorders>
              <w:top w:val="single" w:color="auto" w:sz="2" w:space="0"/>
              <w:left w:val="single" w:color="auto" w:sz="2" w:space="0"/>
              <w:bottom w:val="single" w:color="auto" w:sz="2" w:space="0"/>
              <w:right w:val="single" w:color="auto" w:sz="2" w:space="0"/>
            </w:tcBorders>
            <w:vAlign w:val="center"/>
          </w:tcPr>
          <w:p w14:paraId="26DE063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720,874.08</w:t>
            </w:r>
          </w:p>
        </w:tc>
      </w:tr>
    </w:tbl>
    <w:p w14:paraId="6388037A">
      <w:pPr>
        <w:pStyle w:val="3"/>
        <w:keepNext/>
        <w:keepLines/>
        <w:spacing w:before="300" w:after="300" w:line="280" w:lineRule="exact"/>
        <w:jc w:val="left"/>
        <w:outlineLvl w:val="2"/>
        <w:rPr>
          <w:rFonts w:ascii="宋体" w:hAnsi="宋体" w:eastAsia="宋体" w:cs="宋体"/>
          <w:b/>
          <w:bCs/>
          <w:sz w:val="21"/>
          <w:szCs w:val="21"/>
        </w:rPr>
      </w:pPr>
      <w:bookmarkStart w:id="341" w:name="_Toc989151"/>
      <w:r>
        <w:rPr>
          <w:rFonts w:hint="default" w:ascii="Times New Roman" w:hAnsi="Times New Roman" w:eastAsia="宋体" w:cs="Times New Roman"/>
          <w:b/>
          <w:bCs/>
          <w:sz w:val="21"/>
          <w:szCs w:val="21"/>
        </w:rPr>
        <w:t>23</w:t>
      </w:r>
      <w:r>
        <w:rPr>
          <w:rFonts w:ascii="宋体" w:hAnsi="宋体" w:eastAsia="宋体" w:cs="宋体"/>
          <w:b/>
          <w:bCs/>
          <w:sz w:val="21"/>
          <w:szCs w:val="21"/>
        </w:rPr>
        <w:t>、合同负债</w:t>
      </w:r>
      <w:bookmarkEnd w:id="341"/>
    </w:p>
    <w:p w14:paraId="600EB2C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ED91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10324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AB11E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2D786B">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380E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EF89170">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年以内（含</w:t>
            </w:r>
            <w:r>
              <w:rPr>
                <w:rFonts w:hint="default" w:ascii="Times New Roman" w:hAnsi="Times New Roman" w:eastAsia="宋体" w:cs="Times New Roman"/>
                <w:sz w:val="18"/>
                <w:szCs w:val="18"/>
              </w:rPr>
              <w:t>1</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39E570F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14,908,631.02</w:t>
            </w:r>
          </w:p>
        </w:tc>
        <w:tc>
          <w:tcPr>
            <w:tcW w:w="3213" w:type="dxa"/>
            <w:tcBorders>
              <w:top w:val="single" w:color="auto" w:sz="2" w:space="0"/>
              <w:left w:val="single" w:color="auto" w:sz="2" w:space="0"/>
              <w:bottom w:val="single" w:color="auto" w:sz="2" w:space="0"/>
              <w:right w:val="single" w:color="auto" w:sz="2" w:space="0"/>
            </w:tcBorders>
            <w:vAlign w:val="center"/>
          </w:tcPr>
          <w:p w14:paraId="6E29EEA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17,176,545.32</w:t>
            </w:r>
          </w:p>
        </w:tc>
      </w:tr>
      <w:tr w14:paraId="45F14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34E2E84">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年以上</w:t>
            </w:r>
          </w:p>
        </w:tc>
        <w:tc>
          <w:tcPr>
            <w:tcW w:w="3213" w:type="dxa"/>
            <w:tcBorders>
              <w:top w:val="single" w:color="auto" w:sz="2" w:space="0"/>
              <w:left w:val="single" w:color="auto" w:sz="2" w:space="0"/>
              <w:bottom w:val="single" w:color="auto" w:sz="2" w:space="0"/>
              <w:right w:val="single" w:color="auto" w:sz="2" w:space="0"/>
            </w:tcBorders>
            <w:vAlign w:val="center"/>
          </w:tcPr>
          <w:p w14:paraId="23EA398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16,802,545.41</w:t>
            </w:r>
          </w:p>
        </w:tc>
        <w:tc>
          <w:tcPr>
            <w:tcW w:w="3213" w:type="dxa"/>
            <w:tcBorders>
              <w:top w:val="single" w:color="auto" w:sz="2" w:space="0"/>
              <w:left w:val="single" w:color="auto" w:sz="2" w:space="0"/>
              <w:bottom w:val="single" w:color="auto" w:sz="2" w:space="0"/>
              <w:right w:val="single" w:color="auto" w:sz="2" w:space="0"/>
            </w:tcBorders>
            <w:vAlign w:val="center"/>
          </w:tcPr>
          <w:p w14:paraId="6C61FF2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11,586,225.42</w:t>
            </w:r>
          </w:p>
        </w:tc>
      </w:tr>
      <w:tr w14:paraId="44544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0E5BA4">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188C682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31,711,176.43</w:t>
            </w:r>
          </w:p>
        </w:tc>
        <w:tc>
          <w:tcPr>
            <w:tcW w:w="3213" w:type="dxa"/>
            <w:tcBorders>
              <w:top w:val="single" w:color="auto" w:sz="2" w:space="0"/>
              <w:left w:val="single" w:color="auto" w:sz="2" w:space="0"/>
              <w:bottom w:val="single" w:color="auto" w:sz="2" w:space="0"/>
              <w:right w:val="single" w:color="auto" w:sz="2" w:space="0"/>
            </w:tcBorders>
            <w:vAlign w:val="center"/>
          </w:tcPr>
          <w:p w14:paraId="264FBF5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28,762,770.74</w:t>
            </w:r>
          </w:p>
        </w:tc>
      </w:tr>
    </w:tbl>
    <w:p w14:paraId="132CB959">
      <w:pPr>
        <w:spacing w:before="0" w:after="0" w:line="240" w:lineRule="exact"/>
        <w:jc w:val="left"/>
        <w:rPr>
          <w:rFonts w:ascii="宋体" w:hAnsi="宋体" w:eastAsia="宋体" w:cs="宋体"/>
          <w:sz w:val="18"/>
          <w:szCs w:val="18"/>
        </w:rPr>
      </w:pPr>
      <w:r>
        <w:rPr>
          <w:rFonts w:ascii="宋体" w:hAnsi="宋体" w:eastAsia="宋体" w:cs="宋体"/>
          <w:sz w:val="18"/>
          <w:szCs w:val="18"/>
        </w:rPr>
        <w:t>账龄超过</w:t>
      </w:r>
      <w:r>
        <w:rPr>
          <w:rFonts w:hint="default" w:ascii="Times New Roman" w:hAnsi="Times New Roman" w:eastAsia="宋体" w:cs="Times New Roman"/>
          <w:sz w:val="18"/>
          <w:szCs w:val="18"/>
        </w:rPr>
        <w:t>1</w:t>
      </w:r>
      <w:r>
        <w:rPr>
          <w:rFonts w:ascii="宋体" w:hAnsi="宋体" w:eastAsia="宋体" w:cs="宋体"/>
          <w:sz w:val="18"/>
          <w:szCs w:val="18"/>
        </w:rPr>
        <w:t>年的重要合同负债</w:t>
      </w:r>
    </w:p>
    <w:p w14:paraId="46EF294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2A72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C5CF0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1A467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13D005">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14:paraId="5721AAD0">
      <w:pPr>
        <w:spacing w:before="0" w:after="0" w:line="240" w:lineRule="exact"/>
        <w:jc w:val="left"/>
        <w:rPr>
          <w:rFonts w:ascii="宋体" w:hAnsi="宋体" w:eastAsia="宋体" w:cs="宋体"/>
          <w:sz w:val="18"/>
          <w:szCs w:val="18"/>
        </w:rPr>
      </w:pPr>
      <w:r>
        <w:rPr>
          <w:rFonts w:ascii="宋体" w:hAnsi="宋体" w:eastAsia="宋体" w:cs="宋体"/>
          <w:sz w:val="18"/>
          <w:szCs w:val="18"/>
        </w:rPr>
        <w:t>报告期内账面价值发生重大变动的金额和原因</w:t>
      </w:r>
    </w:p>
    <w:p w14:paraId="51DC41D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43C8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ED9C8E">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CD2D4E">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67F72F">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14:paraId="3A5E135B">
      <w:pPr>
        <w:pStyle w:val="3"/>
        <w:keepNext/>
        <w:keepLines/>
        <w:spacing w:before="300" w:after="300" w:line="280" w:lineRule="exact"/>
        <w:jc w:val="left"/>
        <w:outlineLvl w:val="2"/>
        <w:rPr>
          <w:rFonts w:ascii="宋体" w:hAnsi="宋体" w:eastAsia="宋体" w:cs="宋体"/>
          <w:b/>
          <w:bCs/>
          <w:sz w:val="21"/>
          <w:szCs w:val="21"/>
        </w:rPr>
      </w:pPr>
      <w:bookmarkStart w:id="342" w:name="_Toc989152"/>
      <w:r>
        <w:rPr>
          <w:rFonts w:hint="default" w:ascii="Times New Roman" w:hAnsi="Times New Roman" w:eastAsia="宋体" w:cs="Times New Roman"/>
          <w:b/>
          <w:bCs/>
          <w:sz w:val="21"/>
          <w:szCs w:val="21"/>
        </w:rPr>
        <w:t>24</w:t>
      </w:r>
      <w:r>
        <w:rPr>
          <w:rFonts w:ascii="宋体" w:hAnsi="宋体" w:eastAsia="宋体" w:cs="宋体"/>
          <w:b/>
          <w:bCs/>
          <w:sz w:val="21"/>
          <w:szCs w:val="21"/>
        </w:rPr>
        <w:t>、应付职工薪酬</w:t>
      </w:r>
      <w:bookmarkEnd w:id="342"/>
    </w:p>
    <w:p w14:paraId="7A327C2D">
      <w:pPr>
        <w:keepNext/>
        <w:keepLines/>
        <w:spacing w:before="300" w:after="300" w:line="280" w:lineRule="exact"/>
        <w:jc w:val="left"/>
        <w:outlineLvl w:val="3"/>
        <w:rPr>
          <w:rFonts w:ascii="宋体" w:hAnsi="宋体" w:eastAsia="宋体" w:cs="宋体"/>
          <w:b/>
          <w:bCs/>
          <w:sz w:val="21"/>
          <w:szCs w:val="21"/>
        </w:rPr>
      </w:pPr>
      <w:bookmarkStart w:id="343" w:name="_Toc989153"/>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应付职工薪酬列示</w:t>
      </w:r>
      <w:bookmarkEnd w:id="343"/>
    </w:p>
    <w:p w14:paraId="7809FE4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64481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15BA99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F96A264">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A2FA336">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2A6A3F2">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A168E20">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78338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EEEA402">
            <w:pPr>
              <w:spacing w:before="40" w:after="40" w:line="240" w:lineRule="exact"/>
              <w:jc w:val="left"/>
              <w:rPr>
                <w:rFonts w:ascii="宋体" w:hAnsi="宋体" w:eastAsia="宋体" w:cs="宋体"/>
                <w:sz w:val="18"/>
                <w:szCs w:val="18"/>
              </w:rPr>
            </w:pPr>
            <w:r>
              <w:rPr>
                <w:rFonts w:ascii="宋体" w:hAnsi="宋体" w:eastAsia="宋体" w:cs="宋体"/>
                <w:sz w:val="18"/>
                <w:szCs w:val="18"/>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14:paraId="058739F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18,214,405.72</w:t>
            </w:r>
          </w:p>
        </w:tc>
        <w:tc>
          <w:tcPr>
            <w:tcW w:w="1928" w:type="dxa"/>
            <w:tcBorders>
              <w:top w:val="single" w:color="auto" w:sz="2" w:space="0"/>
              <w:left w:val="single" w:color="auto" w:sz="2" w:space="0"/>
              <w:bottom w:val="single" w:color="auto" w:sz="2" w:space="0"/>
              <w:right w:val="single" w:color="auto" w:sz="2" w:space="0"/>
            </w:tcBorders>
            <w:vAlign w:val="center"/>
          </w:tcPr>
          <w:p w14:paraId="262FC9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95,643,215.87</w:t>
            </w:r>
          </w:p>
        </w:tc>
        <w:tc>
          <w:tcPr>
            <w:tcW w:w="1928" w:type="dxa"/>
            <w:tcBorders>
              <w:top w:val="single" w:color="auto" w:sz="2" w:space="0"/>
              <w:left w:val="single" w:color="auto" w:sz="2" w:space="0"/>
              <w:bottom w:val="single" w:color="auto" w:sz="2" w:space="0"/>
              <w:right w:val="single" w:color="auto" w:sz="2" w:space="0"/>
            </w:tcBorders>
            <w:vAlign w:val="center"/>
          </w:tcPr>
          <w:p w14:paraId="6C82343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94,131,630.77</w:t>
            </w:r>
          </w:p>
        </w:tc>
        <w:tc>
          <w:tcPr>
            <w:tcW w:w="1928" w:type="dxa"/>
            <w:tcBorders>
              <w:top w:val="single" w:color="auto" w:sz="2" w:space="0"/>
              <w:left w:val="single" w:color="auto" w:sz="2" w:space="0"/>
              <w:bottom w:val="single" w:color="auto" w:sz="2" w:space="0"/>
              <w:right w:val="single" w:color="auto" w:sz="2" w:space="0"/>
            </w:tcBorders>
            <w:vAlign w:val="center"/>
          </w:tcPr>
          <w:p w14:paraId="314C07E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19,725,990.82</w:t>
            </w:r>
          </w:p>
        </w:tc>
      </w:tr>
      <w:tr w14:paraId="17C35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4D8B757">
            <w:pPr>
              <w:spacing w:before="40" w:after="40" w:line="240" w:lineRule="exact"/>
              <w:jc w:val="left"/>
              <w:rPr>
                <w:rFonts w:ascii="宋体" w:hAnsi="宋体" w:eastAsia="宋体" w:cs="宋体"/>
                <w:sz w:val="18"/>
                <w:szCs w:val="18"/>
              </w:rPr>
            </w:pPr>
            <w:r>
              <w:rPr>
                <w:rFonts w:ascii="宋体" w:hAnsi="宋体" w:eastAsia="宋体" w:cs="宋体"/>
                <w:sz w:val="18"/>
                <w:szCs w:val="18"/>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14:paraId="4CD9093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141,694.25</w:t>
            </w:r>
          </w:p>
        </w:tc>
        <w:tc>
          <w:tcPr>
            <w:tcW w:w="1928" w:type="dxa"/>
            <w:tcBorders>
              <w:top w:val="single" w:color="auto" w:sz="2" w:space="0"/>
              <w:left w:val="single" w:color="auto" w:sz="2" w:space="0"/>
              <w:bottom w:val="single" w:color="auto" w:sz="2" w:space="0"/>
              <w:right w:val="single" w:color="auto" w:sz="2" w:space="0"/>
            </w:tcBorders>
            <w:vAlign w:val="center"/>
          </w:tcPr>
          <w:p w14:paraId="3297602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10,795,929.09</w:t>
            </w:r>
          </w:p>
        </w:tc>
        <w:tc>
          <w:tcPr>
            <w:tcW w:w="1928" w:type="dxa"/>
            <w:tcBorders>
              <w:top w:val="single" w:color="auto" w:sz="2" w:space="0"/>
              <w:left w:val="single" w:color="auto" w:sz="2" w:space="0"/>
              <w:bottom w:val="single" w:color="auto" w:sz="2" w:space="0"/>
              <w:right w:val="single" w:color="auto" w:sz="2" w:space="0"/>
            </w:tcBorders>
            <w:vAlign w:val="center"/>
          </w:tcPr>
          <w:p w14:paraId="3268A14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10,706,224.45</w:t>
            </w:r>
          </w:p>
        </w:tc>
        <w:tc>
          <w:tcPr>
            <w:tcW w:w="1928" w:type="dxa"/>
            <w:tcBorders>
              <w:top w:val="single" w:color="auto" w:sz="2" w:space="0"/>
              <w:left w:val="single" w:color="auto" w:sz="2" w:space="0"/>
              <w:bottom w:val="single" w:color="auto" w:sz="2" w:space="0"/>
              <w:right w:val="single" w:color="auto" w:sz="2" w:space="0"/>
            </w:tcBorders>
            <w:vAlign w:val="center"/>
          </w:tcPr>
          <w:p w14:paraId="3CD8147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231,398.89</w:t>
            </w:r>
          </w:p>
        </w:tc>
      </w:tr>
      <w:tr w14:paraId="22005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2DD5A4C">
            <w:pPr>
              <w:spacing w:before="40" w:after="40" w:line="240" w:lineRule="exact"/>
              <w:jc w:val="left"/>
              <w:rPr>
                <w:rFonts w:ascii="宋体" w:hAnsi="宋体" w:eastAsia="宋体" w:cs="宋体"/>
                <w:sz w:val="18"/>
                <w:szCs w:val="18"/>
              </w:rPr>
            </w:pPr>
            <w:r>
              <w:rPr>
                <w:rFonts w:ascii="宋体" w:hAnsi="宋体" w:eastAsia="宋体" w:cs="宋体"/>
                <w:sz w:val="18"/>
                <w:szCs w:val="18"/>
              </w:rPr>
              <w:t>三、辞退福利</w:t>
            </w:r>
          </w:p>
        </w:tc>
        <w:tc>
          <w:tcPr>
            <w:tcW w:w="1928" w:type="dxa"/>
            <w:tcBorders>
              <w:top w:val="single" w:color="auto" w:sz="2" w:space="0"/>
              <w:left w:val="single" w:color="auto" w:sz="2" w:space="0"/>
              <w:bottom w:val="single" w:color="auto" w:sz="2" w:space="0"/>
              <w:right w:val="single" w:color="auto" w:sz="2" w:space="0"/>
            </w:tcBorders>
            <w:vAlign w:val="center"/>
          </w:tcPr>
          <w:p w14:paraId="61663FF8">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B529C0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543,241.67</w:t>
            </w:r>
          </w:p>
        </w:tc>
        <w:tc>
          <w:tcPr>
            <w:tcW w:w="1928" w:type="dxa"/>
            <w:tcBorders>
              <w:top w:val="single" w:color="auto" w:sz="2" w:space="0"/>
              <w:left w:val="single" w:color="auto" w:sz="2" w:space="0"/>
              <w:bottom w:val="single" w:color="auto" w:sz="2" w:space="0"/>
              <w:right w:val="single" w:color="auto" w:sz="2" w:space="0"/>
            </w:tcBorders>
            <w:vAlign w:val="center"/>
          </w:tcPr>
          <w:p w14:paraId="080C34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198,667.23</w:t>
            </w:r>
          </w:p>
        </w:tc>
        <w:tc>
          <w:tcPr>
            <w:tcW w:w="1928" w:type="dxa"/>
            <w:tcBorders>
              <w:top w:val="single" w:color="auto" w:sz="2" w:space="0"/>
              <w:left w:val="single" w:color="auto" w:sz="2" w:space="0"/>
              <w:bottom w:val="single" w:color="auto" w:sz="2" w:space="0"/>
              <w:right w:val="single" w:color="auto" w:sz="2" w:space="0"/>
            </w:tcBorders>
            <w:vAlign w:val="center"/>
          </w:tcPr>
          <w:p w14:paraId="7AEE01F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344,574.44</w:t>
            </w:r>
          </w:p>
        </w:tc>
      </w:tr>
      <w:tr w14:paraId="7FF6F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3DA0CFB">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488E4A1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18,356,099.97</w:t>
            </w:r>
          </w:p>
        </w:tc>
        <w:tc>
          <w:tcPr>
            <w:tcW w:w="1928" w:type="dxa"/>
            <w:tcBorders>
              <w:top w:val="single" w:color="auto" w:sz="2" w:space="0"/>
              <w:left w:val="single" w:color="auto" w:sz="2" w:space="0"/>
              <w:bottom w:val="single" w:color="auto" w:sz="2" w:space="0"/>
              <w:right w:val="single" w:color="auto" w:sz="2" w:space="0"/>
            </w:tcBorders>
            <w:vAlign w:val="center"/>
          </w:tcPr>
          <w:p w14:paraId="23F3AA8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106,982,386.63</w:t>
            </w:r>
          </w:p>
        </w:tc>
        <w:tc>
          <w:tcPr>
            <w:tcW w:w="1928" w:type="dxa"/>
            <w:tcBorders>
              <w:top w:val="single" w:color="auto" w:sz="2" w:space="0"/>
              <w:left w:val="single" w:color="auto" w:sz="2" w:space="0"/>
              <w:bottom w:val="single" w:color="auto" w:sz="2" w:space="0"/>
              <w:right w:val="single" w:color="auto" w:sz="2" w:space="0"/>
            </w:tcBorders>
            <w:vAlign w:val="center"/>
          </w:tcPr>
          <w:p w14:paraId="177C076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105,036,522.45</w:t>
            </w:r>
          </w:p>
        </w:tc>
        <w:tc>
          <w:tcPr>
            <w:tcW w:w="1928" w:type="dxa"/>
            <w:tcBorders>
              <w:top w:val="single" w:color="auto" w:sz="2" w:space="0"/>
              <w:left w:val="single" w:color="auto" w:sz="2" w:space="0"/>
              <w:bottom w:val="single" w:color="auto" w:sz="2" w:space="0"/>
              <w:right w:val="single" w:color="auto" w:sz="2" w:space="0"/>
            </w:tcBorders>
            <w:vAlign w:val="center"/>
          </w:tcPr>
          <w:p w14:paraId="7A66591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20,301,964.15</w:t>
            </w:r>
          </w:p>
        </w:tc>
      </w:tr>
    </w:tbl>
    <w:p w14:paraId="78208277">
      <w:pPr>
        <w:keepNext/>
        <w:keepLines/>
        <w:spacing w:before="300" w:after="300" w:line="280" w:lineRule="exact"/>
        <w:jc w:val="left"/>
        <w:outlineLvl w:val="3"/>
        <w:rPr>
          <w:rFonts w:ascii="宋体" w:hAnsi="宋体" w:eastAsia="宋体" w:cs="宋体"/>
          <w:b/>
          <w:bCs/>
          <w:sz w:val="21"/>
          <w:szCs w:val="21"/>
        </w:rPr>
      </w:pPr>
      <w:bookmarkStart w:id="344" w:name="_Toc989154"/>
      <w:r>
        <w:rPr>
          <w:rFonts w:ascii="宋体" w:hAnsi="宋体" w:eastAsia="宋体" w:cs="宋体"/>
          <w:b/>
          <w:bCs/>
          <w:sz w:val="21"/>
          <w:szCs w:val="21"/>
        </w:rPr>
        <w:t>（</w:t>
      </w:r>
      <w:r>
        <w:rPr>
          <w:rFonts w:hint="default" w:ascii="Times New Roman" w:hAnsi="Times New Roman" w:eastAsia="宋体" w:cs="Times New Roman"/>
          <w:b/>
          <w:bCs/>
          <w:sz w:val="21"/>
          <w:szCs w:val="21"/>
        </w:rPr>
        <w:t>2</w:t>
      </w:r>
      <w:r>
        <w:rPr>
          <w:rFonts w:ascii="宋体" w:hAnsi="宋体" w:eastAsia="宋体" w:cs="宋体"/>
          <w:b/>
          <w:bCs/>
          <w:sz w:val="21"/>
          <w:szCs w:val="21"/>
        </w:rPr>
        <w:t>） 短期薪酬列示</w:t>
      </w:r>
      <w:bookmarkEnd w:id="344"/>
    </w:p>
    <w:p w14:paraId="1443E1B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16864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520EA77">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67B574D">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7F0F9B4">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D976DDF">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8F8B1F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2381C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471FEB6">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14:paraId="6238125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18,088,768.77</w:t>
            </w:r>
          </w:p>
        </w:tc>
        <w:tc>
          <w:tcPr>
            <w:tcW w:w="1928" w:type="dxa"/>
            <w:tcBorders>
              <w:top w:val="single" w:color="auto" w:sz="2" w:space="0"/>
              <w:left w:val="single" w:color="auto" w:sz="2" w:space="0"/>
              <w:bottom w:val="single" w:color="auto" w:sz="2" w:space="0"/>
              <w:right w:val="single" w:color="auto" w:sz="2" w:space="0"/>
            </w:tcBorders>
            <w:vAlign w:val="center"/>
          </w:tcPr>
          <w:p w14:paraId="46099D1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83,051,102.01</w:t>
            </w:r>
          </w:p>
        </w:tc>
        <w:tc>
          <w:tcPr>
            <w:tcW w:w="1928" w:type="dxa"/>
            <w:tcBorders>
              <w:top w:val="single" w:color="auto" w:sz="2" w:space="0"/>
              <w:left w:val="single" w:color="auto" w:sz="2" w:space="0"/>
              <w:bottom w:val="single" w:color="auto" w:sz="2" w:space="0"/>
              <w:right w:val="single" w:color="auto" w:sz="2" w:space="0"/>
            </w:tcBorders>
            <w:vAlign w:val="center"/>
          </w:tcPr>
          <w:p w14:paraId="74A1676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81,608,074.48</w:t>
            </w:r>
          </w:p>
        </w:tc>
        <w:tc>
          <w:tcPr>
            <w:tcW w:w="1928" w:type="dxa"/>
            <w:tcBorders>
              <w:top w:val="single" w:color="auto" w:sz="2" w:space="0"/>
              <w:left w:val="single" w:color="auto" w:sz="2" w:space="0"/>
              <w:bottom w:val="single" w:color="auto" w:sz="2" w:space="0"/>
              <w:right w:val="single" w:color="auto" w:sz="2" w:space="0"/>
            </w:tcBorders>
            <w:vAlign w:val="center"/>
          </w:tcPr>
          <w:p w14:paraId="7A1DF10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19,531,796.30</w:t>
            </w:r>
          </w:p>
        </w:tc>
      </w:tr>
      <w:tr w14:paraId="44BE1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55DBC12">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、职工福利费</w:t>
            </w:r>
          </w:p>
        </w:tc>
        <w:tc>
          <w:tcPr>
            <w:tcW w:w="1928" w:type="dxa"/>
            <w:tcBorders>
              <w:top w:val="single" w:color="auto" w:sz="2" w:space="0"/>
              <w:left w:val="single" w:color="auto" w:sz="2" w:space="0"/>
              <w:bottom w:val="single" w:color="auto" w:sz="2" w:space="0"/>
              <w:right w:val="single" w:color="auto" w:sz="2" w:space="0"/>
            </w:tcBorders>
            <w:vAlign w:val="center"/>
          </w:tcPr>
          <w:p w14:paraId="2E44D2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22,372.80</w:t>
            </w:r>
          </w:p>
        </w:tc>
        <w:tc>
          <w:tcPr>
            <w:tcW w:w="1928" w:type="dxa"/>
            <w:tcBorders>
              <w:top w:val="single" w:color="auto" w:sz="2" w:space="0"/>
              <w:left w:val="single" w:color="auto" w:sz="2" w:space="0"/>
              <w:bottom w:val="single" w:color="auto" w:sz="2" w:space="0"/>
              <w:right w:val="single" w:color="auto" w:sz="2" w:space="0"/>
            </w:tcBorders>
            <w:vAlign w:val="center"/>
          </w:tcPr>
          <w:p w14:paraId="714A34E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2,027,477.33</w:t>
            </w:r>
          </w:p>
        </w:tc>
        <w:tc>
          <w:tcPr>
            <w:tcW w:w="1928" w:type="dxa"/>
            <w:tcBorders>
              <w:top w:val="single" w:color="auto" w:sz="2" w:space="0"/>
              <w:left w:val="single" w:color="auto" w:sz="2" w:space="0"/>
              <w:bottom w:val="single" w:color="auto" w:sz="2" w:space="0"/>
              <w:right w:val="single" w:color="auto" w:sz="2" w:space="0"/>
            </w:tcBorders>
            <w:vAlign w:val="center"/>
          </w:tcPr>
          <w:p w14:paraId="092C695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2,049,850.13</w:t>
            </w:r>
          </w:p>
        </w:tc>
        <w:tc>
          <w:tcPr>
            <w:tcW w:w="1928" w:type="dxa"/>
            <w:tcBorders>
              <w:top w:val="single" w:color="auto" w:sz="2" w:space="0"/>
              <w:left w:val="single" w:color="auto" w:sz="2" w:space="0"/>
              <w:bottom w:val="single" w:color="auto" w:sz="2" w:space="0"/>
              <w:right w:val="single" w:color="auto" w:sz="2" w:space="0"/>
            </w:tcBorders>
            <w:vAlign w:val="center"/>
          </w:tcPr>
          <w:p w14:paraId="3710DBE7">
            <w:pPr>
              <w:spacing w:before="0" w:after="0" w:line="240" w:lineRule="exact"/>
              <w:jc w:val="right"/>
              <w:rPr>
                <w:rFonts w:hint="default" w:ascii="Times New Roman" w:hAnsi="Times New Roman" w:eastAsia="宋体" w:cs="Times New Roman"/>
                <w:sz w:val="18"/>
                <w:szCs w:val="18"/>
              </w:rPr>
            </w:pPr>
          </w:p>
        </w:tc>
      </w:tr>
      <w:tr w14:paraId="10988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DB565DC">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、社会保险费</w:t>
            </w:r>
          </w:p>
        </w:tc>
        <w:tc>
          <w:tcPr>
            <w:tcW w:w="1928" w:type="dxa"/>
            <w:tcBorders>
              <w:top w:val="single" w:color="auto" w:sz="2" w:space="0"/>
              <w:left w:val="single" w:color="auto" w:sz="2" w:space="0"/>
              <w:bottom w:val="single" w:color="auto" w:sz="2" w:space="0"/>
              <w:right w:val="single" w:color="auto" w:sz="2" w:space="0"/>
            </w:tcBorders>
            <w:vAlign w:val="center"/>
          </w:tcPr>
          <w:p w14:paraId="0F1E482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77,824.15</w:t>
            </w:r>
          </w:p>
        </w:tc>
        <w:tc>
          <w:tcPr>
            <w:tcW w:w="1928" w:type="dxa"/>
            <w:tcBorders>
              <w:top w:val="single" w:color="auto" w:sz="2" w:space="0"/>
              <w:left w:val="single" w:color="auto" w:sz="2" w:space="0"/>
              <w:bottom w:val="single" w:color="auto" w:sz="2" w:space="0"/>
              <w:right w:val="single" w:color="auto" w:sz="2" w:space="0"/>
            </w:tcBorders>
            <w:vAlign w:val="center"/>
          </w:tcPr>
          <w:p w14:paraId="331B2D9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4,773,620.50</w:t>
            </w:r>
          </w:p>
        </w:tc>
        <w:tc>
          <w:tcPr>
            <w:tcW w:w="1928" w:type="dxa"/>
            <w:tcBorders>
              <w:top w:val="single" w:color="auto" w:sz="2" w:space="0"/>
              <w:left w:val="single" w:color="auto" w:sz="2" w:space="0"/>
              <w:bottom w:val="single" w:color="auto" w:sz="2" w:space="0"/>
              <w:right w:val="single" w:color="auto" w:sz="2" w:space="0"/>
            </w:tcBorders>
            <w:vAlign w:val="center"/>
          </w:tcPr>
          <w:p w14:paraId="4EEE954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4,715,514.13</w:t>
            </w:r>
          </w:p>
        </w:tc>
        <w:tc>
          <w:tcPr>
            <w:tcW w:w="1928" w:type="dxa"/>
            <w:tcBorders>
              <w:top w:val="single" w:color="auto" w:sz="2" w:space="0"/>
              <w:left w:val="single" w:color="auto" w:sz="2" w:space="0"/>
              <w:bottom w:val="single" w:color="auto" w:sz="2" w:space="0"/>
              <w:right w:val="single" w:color="auto" w:sz="2" w:space="0"/>
            </w:tcBorders>
            <w:vAlign w:val="center"/>
          </w:tcPr>
          <w:p w14:paraId="1496AB3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135,930.52</w:t>
            </w:r>
          </w:p>
        </w:tc>
      </w:tr>
      <w:tr w14:paraId="0D911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CD25167">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其中：医疗保险费</w:t>
            </w:r>
          </w:p>
        </w:tc>
        <w:tc>
          <w:tcPr>
            <w:tcW w:w="1928" w:type="dxa"/>
            <w:tcBorders>
              <w:top w:val="single" w:color="auto" w:sz="2" w:space="0"/>
              <w:left w:val="single" w:color="auto" w:sz="2" w:space="0"/>
              <w:bottom w:val="single" w:color="auto" w:sz="2" w:space="0"/>
              <w:right w:val="single" w:color="auto" w:sz="2" w:space="0"/>
            </w:tcBorders>
            <w:vAlign w:val="center"/>
          </w:tcPr>
          <w:p w14:paraId="1CD5853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75,723.97</w:t>
            </w:r>
          </w:p>
        </w:tc>
        <w:tc>
          <w:tcPr>
            <w:tcW w:w="1928" w:type="dxa"/>
            <w:tcBorders>
              <w:top w:val="single" w:color="auto" w:sz="2" w:space="0"/>
              <w:left w:val="single" w:color="auto" w:sz="2" w:space="0"/>
              <w:bottom w:val="single" w:color="auto" w:sz="2" w:space="0"/>
              <w:right w:val="single" w:color="auto" w:sz="2" w:space="0"/>
            </w:tcBorders>
            <w:vAlign w:val="center"/>
          </w:tcPr>
          <w:p w14:paraId="10F21A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4,358,251.24</w:t>
            </w:r>
          </w:p>
        </w:tc>
        <w:tc>
          <w:tcPr>
            <w:tcW w:w="1928" w:type="dxa"/>
            <w:tcBorders>
              <w:top w:val="single" w:color="auto" w:sz="2" w:space="0"/>
              <w:left w:val="single" w:color="auto" w:sz="2" w:space="0"/>
              <w:bottom w:val="single" w:color="auto" w:sz="2" w:space="0"/>
              <w:right w:val="single" w:color="auto" w:sz="2" w:space="0"/>
            </w:tcBorders>
            <w:vAlign w:val="center"/>
          </w:tcPr>
          <w:p w14:paraId="73FC24E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4,302,692.04</w:t>
            </w:r>
          </w:p>
        </w:tc>
        <w:tc>
          <w:tcPr>
            <w:tcW w:w="1928" w:type="dxa"/>
            <w:tcBorders>
              <w:top w:val="single" w:color="auto" w:sz="2" w:space="0"/>
              <w:left w:val="single" w:color="auto" w:sz="2" w:space="0"/>
              <w:bottom w:val="single" w:color="auto" w:sz="2" w:space="0"/>
              <w:right w:val="single" w:color="auto" w:sz="2" w:space="0"/>
            </w:tcBorders>
            <w:vAlign w:val="center"/>
          </w:tcPr>
          <w:p w14:paraId="0B01D46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131,283.17</w:t>
            </w:r>
          </w:p>
        </w:tc>
      </w:tr>
      <w:tr w14:paraId="1CE18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69C4B0E">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14:paraId="7149605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2,100.18</w:t>
            </w:r>
          </w:p>
        </w:tc>
        <w:tc>
          <w:tcPr>
            <w:tcW w:w="1928" w:type="dxa"/>
            <w:tcBorders>
              <w:top w:val="single" w:color="auto" w:sz="2" w:space="0"/>
              <w:left w:val="single" w:color="auto" w:sz="2" w:space="0"/>
              <w:bottom w:val="single" w:color="auto" w:sz="2" w:space="0"/>
              <w:right w:val="single" w:color="auto" w:sz="2" w:space="0"/>
            </w:tcBorders>
            <w:vAlign w:val="center"/>
          </w:tcPr>
          <w:p w14:paraId="1587ED6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376,460.65</w:t>
            </w:r>
          </w:p>
        </w:tc>
        <w:tc>
          <w:tcPr>
            <w:tcW w:w="1928" w:type="dxa"/>
            <w:tcBorders>
              <w:top w:val="single" w:color="auto" w:sz="2" w:space="0"/>
              <w:left w:val="single" w:color="auto" w:sz="2" w:space="0"/>
              <w:bottom w:val="single" w:color="auto" w:sz="2" w:space="0"/>
              <w:right w:val="single" w:color="auto" w:sz="2" w:space="0"/>
            </w:tcBorders>
            <w:vAlign w:val="center"/>
          </w:tcPr>
          <w:p w14:paraId="4E021D5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373,913.48</w:t>
            </w:r>
          </w:p>
        </w:tc>
        <w:tc>
          <w:tcPr>
            <w:tcW w:w="1928" w:type="dxa"/>
            <w:tcBorders>
              <w:top w:val="single" w:color="auto" w:sz="2" w:space="0"/>
              <w:left w:val="single" w:color="auto" w:sz="2" w:space="0"/>
              <w:bottom w:val="single" w:color="auto" w:sz="2" w:space="0"/>
              <w:right w:val="single" w:color="auto" w:sz="2" w:space="0"/>
            </w:tcBorders>
            <w:vAlign w:val="center"/>
          </w:tcPr>
          <w:p w14:paraId="10E7904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4,647.35</w:t>
            </w:r>
          </w:p>
        </w:tc>
      </w:tr>
      <w:tr w14:paraId="2CC65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40DB8DE">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生育保险费</w:t>
            </w:r>
          </w:p>
        </w:tc>
        <w:tc>
          <w:tcPr>
            <w:tcW w:w="1928" w:type="dxa"/>
            <w:tcBorders>
              <w:top w:val="single" w:color="auto" w:sz="2" w:space="0"/>
              <w:left w:val="single" w:color="auto" w:sz="2" w:space="0"/>
              <w:bottom w:val="single" w:color="auto" w:sz="2" w:space="0"/>
              <w:right w:val="single" w:color="auto" w:sz="2" w:space="0"/>
            </w:tcBorders>
            <w:vAlign w:val="center"/>
          </w:tcPr>
          <w:p w14:paraId="4A3B255F">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C44CD1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38,908.61</w:t>
            </w:r>
          </w:p>
        </w:tc>
        <w:tc>
          <w:tcPr>
            <w:tcW w:w="1928" w:type="dxa"/>
            <w:tcBorders>
              <w:top w:val="single" w:color="auto" w:sz="2" w:space="0"/>
              <w:left w:val="single" w:color="auto" w:sz="2" w:space="0"/>
              <w:bottom w:val="single" w:color="auto" w:sz="2" w:space="0"/>
              <w:right w:val="single" w:color="auto" w:sz="2" w:space="0"/>
            </w:tcBorders>
            <w:vAlign w:val="center"/>
          </w:tcPr>
          <w:p w14:paraId="6D56981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38,908.61</w:t>
            </w:r>
          </w:p>
        </w:tc>
        <w:tc>
          <w:tcPr>
            <w:tcW w:w="1928" w:type="dxa"/>
            <w:tcBorders>
              <w:top w:val="single" w:color="auto" w:sz="2" w:space="0"/>
              <w:left w:val="single" w:color="auto" w:sz="2" w:space="0"/>
              <w:bottom w:val="single" w:color="auto" w:sz="2" w:space="0"/>
              <w:right w:val="single" w:color="auto" w:sz="2" w:space="0"/>
            </w:tcBorders>
            <w:vAlign w:val="center"/>
          </w:tcPr>
          <w:p w14:paraId="322BC780">
            <w:pPr>
              <w:spacing w:before="0" w:after="0" w:line="240" w:lineRule="exact"/>
              <w:jc w:val="right"/>
              <w:rPr>
                <w:rFonts w:hint="default" w:ascii="Times New Roman" w:hAnsi="Times New Roman" w:eastAsia="宋体" w:cs="Times New Roman"/>
                <w:sz w:val="18"/>
                <w:szCs w:val="18"/>
              </w:rPr>
            </w:pPr>
          </w:p>
        </w:tc>
      </w:tr>
      <w:tr w14:paraId="6C4C3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BD3B42F">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、住房公积金</w:t>
            </w:r>
          </w:p>
        </w:tc>
        <w:tc>
          <w:tcPr>
            <w:tcW w:w="1928" w:type="dxa"/>
            <w:tcBorders>
              <w:top w:val="single" w:color="auto" w:sz="2" w:space="0"/>
              <w:left w:val="single" w:color="auto" w:sz="2" w:space="0"/>
              <w:bottom w:val="single" w:color="auto" w:sz="2" w:space="0"/>
              <w:right w:val="single" w:color="auto" w:sz="2" w:space="0"/>
            </w:tcBorders>
            <w:vAlign w:val="center"/>
          </w:tcPr>
          <w:p w14:paraId="25834E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25,440.00</w:t>
            </w:r>
          </w:p>
        </w:tc>
        <w:tc>
          <w:tcPr>
            <w:tcW w:w="1928" w:type="dxa"/>
            <w:tcBorders>
              <w:top w:val="single" w:color="auto" w:sz="2" w:space="0"/>
              <w:left w:val="single" w:color="auto" w:sz="2" w:space="0"/>
              <w:bottom w:val="single" w:color="auto" w:sz="2" w:space="0"/>
              <w:right w:val="single" w:color="auto" w:sz="2" w:space="0"/>
            </w:tcBorders>
            <w:vAlign w:val="center"/>
          </w:tcPr>
          <w:p w14:paraId="075C82C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5,145,243.52</w:t>
            </w:r>
          </w:p>
        </w:tc>
        <w:tc>
          <w:tcPr>
            <w:tcW w:w="1928" w:type="dxa"/>
            <w:tcBorders>
              <w:top w:val="single" w:color="auto" w:sz="2" w:space="0"/>
              <w:left w:val="single" w:color="auto" w:sz="2" w:space="0"/>
              <w:bottom w:val="single" w:color="auto" w:sz="2" w:space="0"/>
              <w:right w:val="single" w:color="auto" w:sz="2" w:space="0"/>
            </w:tcBorders>
            <w:vAlign w:val="center"/>
          </w:tcPr>
          <w:p w14:paraId="64B6F6B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5,112,419.52</w:t>
            </w:r>
          </w:p>
        </w:tc>
        <w:tc>
          <w:tcPr>
            <w:tcW w:w="1928" w:type="dxa"/>
            <w:tcBorders>
              <w:top w:val="single" w:color="auto" w:sz="2" w:space="0"/>
              <w:left w:val="single" w:color="auto" w:sz="2" w:space="0"/>
              <w:bottom w:val="single" w:color="auto" w:sz="2" w:space="0"/>
              <w:right w:val="single" w:color="auto" w:sz="2" w:space="0"/>
            </w:tcBorders>
            <w:vAlign w:val="center"/>
          </w:tcPr>
          <w:p w14:paraId="094843F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58,264.00</w:t>
            </w:r>
          </w:p>
        </w:tc>
      </w:tr>
      <w:tr w14:paraId="03142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380E515">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5</w:t>
            </w:r>
            <w:r>
              <w:rPr>
                <w:rFonts w:ascii="宋体" w:hAnsi="宋体" w:eastAsia="宋体" w:cs="宋体"/>
                <w:sz w:val="18"/>
                <w:szCs w:val="18"/>
              </w:rPr>
              <w:t>、工会经费和职工教育经费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14:paraId="55EC39A5">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151F2B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645,772.51</w:t>
            </w:r>
          </w:p>
        </w:tc>
        <w:tc>
          <w:tcPr>
            <w:tcW w:w="1928" w:type="dxa"/>
            <w:tcBorders>
              <w:top w:val="single" w:color="auto" w:sz="2" w:space="0"/>
              <w:left w:val="single" w:color="auto" w:sz="2" w:space="0"/>
              <w:bottom w:val="single" w:color="auto" w:sz="2" w:space="0"/>
              <w:right w:val="single" w:color="auto" w:sz="2" w:space="0"/>
            </w:tcBorders>
            <w:vAlign w:val="center"/>
          </w:tcPr>
          <w:p w14:paraId="5BA0FEC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645,772.51</w:t>
            </w:r>
          </w:p>
        </w:tc>
        <w:tc>
          <w:tcPr>
            <w:tcW w:w="1928" w:type="dxa"/>
            <w:tcBorders>
              <w:top w:val="single" w:color="auto" w:sz="2" w:space="0"/>
              <w:left w:val="single" w:color="auto" w:sz="2" w:space="0"/>
              <w:bottom w:val="single" w:color="auto" w:sz="2" w:space="0"/>
              <w:right w:val="single" w:color="auto" w:sz="2" w:space="0"/>
            </w:tcBorders>
            <w:vAlign w:val="center"/>
          </w:tcPr>
          <w:p w14:paraId="5C9DF55C">
            <w:pPr>
              <w:spacing w:before="0" w:after="0" w:line="240" w:lineRule="exact"/>
              <w:jc w:val="right"/>
              <w:rPr>
                <w:rFonts w:hint="default" w:ascii="Times New Roman" w:hAnsi="Times New Roman" w:eastAsia="宋体" w:cs="Times New Roman"/>
                <w:sz w:val="18"/>
                <w:szCs w:val="18"/>
              </w:rPr>
            </w:pPr>
          </w:p>
        </w:tc>
      </w:tr>
      <w:tr w14:paraId="7FA53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7BCA113">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7E02A1B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18,214,405.72</w:t>
            </w:r>
          </w:p>
        </w:tc>
        <w:tc>
          <w:tcPr>
            <w:tcW w:w="1928" w:type="dxa"/>
            <w:tcBorders>
              <w:top w:val="single" w:color="auto" w:sz="2" w:space="0"/>
              <w:left w:val="single" w:color="auto" w:sz="2" w:space="0"/>
              <w:bottom w:val="single" w:color="auto" w:sz="2" w:space="0"/>
              <w:right w:val="single" w:color="auto" w:sz="2" w:space="0"/>
            </w:tcBorders>
            <w:vAlign w:val="center"/>
          </w:tcPr>
          <w:p w14:paraId="66F38A8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95,643,215.87</w:t>
            </w:r>
          </w:p>
        </w:tc>
        <w:tc>
          <w:tcPr>
            <w:tcW w:w="1928" w:type="dxa"/>
            <w:tcBorders>
              <w:top w:val="single" w:color="auto" w:sz="2" w:space="0"/>
              <w:left w:val="single" w:color="auto" w:sz="2" w:space="0"/>
              <w:bottom w:val="single" w:color="auto" w:sz="2" w:space="0"/>
              <w:right w:val="single" w:color="auto" w:sz="2" w:space="0"/>
            </w:tcBorders>
            <w:vAlign w:val="center"/>
          </w:tcPr>
          <w:p w14:paraId="74A9A71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94,131,630.77</w:t>
            </w:r>
          </w:p>
        </w:tc>
        <w:tc>
          <w:tcPr>
            <w:tcW w:w="1928" w:type="dxa"/>
            <w:tcBorders>
              <w:top w:val="single" w:color="auto" w:sz="2" w:space="0"/>
              <w:left w:val="single" w:color="auto" w:sz="2" w:space="0"/>
              <w:bottom w:val="single" w:color="auto" w:sz="2" w:space="0"/>
              <w:right w:val="single" w:color="auto" w:sz="2" w:space="0"/>
            </w:tcBorders>
            <w:vAlign w:val="center"/>
          </w:tcPr>
          <w:p w14:paraId="7C83C4D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19,725,990.82</w:t>
            </w:r>
          </w:p>
        </w:tc>
      </w:tr>
    </w:tbl>
    <w:p w14:paraId="77ED487F">
      <w:pPr>
        <w:keepNext/>
        <w:keepLines/>
        <w:spacing w:before="300" w:after="300" w:line="280" w:lineRule="exact"/>
        <w:jc w:val="left"/>
        <w:outlineLvl w:val="3"/>
        <w:rPr>
          <w:rFonts w:ascii="宋体" w:hAnsi="宋体" w:eastAsia="宋体" w:cs="宋体"/>
          <w:b/>
          <w:bCs/>
          <w:sz w:val="21"/>
          <w:szCs w:val="21"/>
        </w:rPr>
      </w:pPr>
      <w:bookmarkStart w:id="345" w:name="_Toc989155"/>
      <w:r>
        <w:rPr>
          <w:rFonts w:ascii="宋体" w:hAnsi="宋体" w:eastAsia="宋体" w:cs="宋体"/>
          <w:b/>
          <w:bCs/>
          <w:sz w:val="21"/>
          <w:szCs w:val="21"/>
        </w:rPr>
        <w:t>（</w:t>
      </w:r>
      <w:r>
        <w:rPr>
          <w:rFonts w:hint="default" w:ascii="Times New Roman" w:hAnsi="Times New Roman" w:eastAsia="宋体" w:cs="Times New Roman"/>
          <w:b/>
          <w:bCs/>
          <w:sz w:val="21"/>
          <w:szCs w:val="21"/>
        </w:rPr>
        <w:t>3</w:t>
      </w:r>
      <w:r>
        <w:rPr>
          <w:rFonts w:ascii="宋体" w:hAnsi="宋体" w:eastAsia="宋体" w:cs="宋体"/>
          <w:b/>
          <w:bCs/>
          <w:sz w:val="21"/>
          <w:szCs w:val="21"/>
        </w:rPr>
        <w:t>） 设定提存计划列示</w:t>
      </w:r>
      <w:bookmarkEnd w:id="345"/>
    </w:p>
    <w:p w14:paraId="5CA68A6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5F2B3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0E8E1B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04AF464">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A5AF5CC">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73FEBA7">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49FF27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79F5C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DAD7C18">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、基本养老保险</w:t>
            </w:r>
          </w:p>
        </w:tc>
        <w:tc>
          <w:tcPr>
            <w:tcW w:w="1928" w:type="dxa"/>
            <w:tcBorders>
              <w:top w:val="single" w:color="auto" w:sz="2" w:space="0"/>
              <w:left w:val="single" w:color="auto" w:sz="2" w:space="0"/>
              <w:bottom w:val="single" w:color="auto" w:sz="2" w:space="0"/>
              <w:right w:val="single" w:color="auto" w:sz="2" w:space="0"/>
            </w:tcBorders>
            <w:vAlign w:val="center"/>
          </w:tcPr>
          <w:p w14:paraId="4C762DD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137,752.30</w:t>
            </w:r>
          </w:p>
        </w:tc>
        <w:tc>
          <w:tcPr>
            <w:tcW w:w="1928" w:type="dxa"/>
            <w:tcBorders>
              <w:top w:val="single" w:color="auto" w:sz="2" w:space="0"/>
              <w:left w:val="single" w:color="auto" w:sz="2" w:space="0"/>
              <w:bottom w:val="single" w:color="auto" w:sz="2" w:space="0"/>
              <w:right w:val="single" w:color="auto" w:sz="2" w:space="0"/>
            </w:tcBorders>
            <w:vAlign w:val="center"/>
          </w:tcPr>
          <w:p w14:paraId="556DBF3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10,335,877.78</w:t>
            </w:r>
          </w:p>
        </w:tc>
        <w:tc>
          <w:tcPr>
            <w:tcW w:w="1928" w:type="dxa"/>
            <w:tcBorders>
              <w:top w:val="single" w:color="auto" w:sz="2" w:space="0"/>
              <w:left w:val="single" w:color="auto" w:sz="2" w:space="0"/>
              <w:bottom w:val="single" w:color="auto" w:sz="2" w:space="0"/>
              <w:right w:val="single" w:color="auto" w:sz="2" w:space="0"/>
            </w:tcBorders>
            <w:vAlign w:val="center"/>
          </w:tcPr>
          <w:p w14:paraId="2EEBB04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10,249,243.28</w:t>
            </w:r>
          </w:p>
        </w:tc>
        <w:tc>
          <w:tcPr>
            <w:tcW w:w="1928" w:type="dxa"/>
            <w:tcBorders>
              <w:top w:val="single" w:color="auto" w:sz="2" w:space="0"/>
              <w:left w:val="single" w:color="auto" w:sz="2" w:space="0"/>
              <w:bottom w:val="single" w:color="auto" w:sz="2" w:space="0"/>
              <w:right w:val="single" w:color="auto" w:sz="2" w:space="0"/>
            </w:tcBorders>
            <w:vAlign w:val="center"/>
          </w:tcPr>
          <w:p w14:paraId="4D542BD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224,386.80</w:t>
            </w:r>
          </w:p>
        </w:tc>
      </w:tr>
      <w:tr w14:paraId="3D440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B667C91">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、失业保险费</w:t>
            </w:r>
          </w:p>
        </w:tc>
        <w:tc>
          <w:tcPr>
            <w:tcW w:w="1928" w:type="dxa"/>
            <w:tcBorders>
              <w:top w:val="single" w:color="auto" w:sz="2" w:space="0"/>
              <w:left w:val="single" w:color="auto" w:sz="2" w:space="0"/>
              <w:bottom w:val="single" w:color="auto" w:sz="2" w:space="0"/>
              <w:right w:val="single" w:color="auto" w:sz="2" w:space="0"/>
            </w:tcBorders>
            <w:vAlign w:val="center"/>
          </w:tcPr>
          <w:p w14:paraId="4B02E5D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3,941.95</w:t>
            </w:r>
          </w:p>
        </w:tc>
        <w:tc>
          <w:tcPr>
            <w:tcW w:w="1928" w:type="dxa"/>
            <w:tcBorders>
              <w:top w:val="single" w:color="auto" w:sz="2" w:space="0"/>
              <w:left w:val="single" w:color="auto" w:sz="2" w:space="0"/>
              <w:bottom w:val="single" w:color="auto" w:sz="2" w:space="0"/>
              <w:right w:val="single" w:color="auto" w:sz="2" w:space="0"/>
            </w:tcBorders>
            <w:vAlign w:val="center"/>
          </w:tcPr>
          <w:p w14:paraId="3AC4C68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460,051.31</w:t>
            </w:r>
          </w:p>
        </w:tc>
        <w:tc>
          <w:tcPr>
            <w:tcW w:w="1928" w:type="dxa"/>
            <w:tcBorders>
              <w:top w:val="single" w:color="auto" w:sz="2" w:space="0"/>
              <w:left w:val="single" w:color="auto" w:sz="2" w:space="0"/>
              <w:bottom w:val="single" w:color="auto" w:sz="2" w:space="0"/>
              <w:right w:val="single" w:color="auto" w:sz="2" w:space="0"/>
            </w:tcBorders>
            <w:vAlign w:val="center"/>
          </w:tcPr>
          <w:p w14:paraId="286B685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456,981.17</w:t>
            </w:r>
          </w:p>
        </w:tc>
        <w:tc>
          <w:tcPr>
            <w:tcW w:w="1928" w:type="dxa"/>
            <w:tcBorders>
              <w:top w:val="single" w:color="auto" w:sz="2" w:space="0"/>
              <w:left w:val="single" w:color="auto" w:sz="2" w:space="0"/>
              <w:bottom w:val="single" w:color="auto" w:sz="2" w:space="0"/>
              <w:right w:val="single" w:color="auto" w:sz="2" w:space="0"/>
            </w:tcBorders>
            <w:vAlign w:val="center"/>
          </w:tcPr>
          <w:p w14:paraId="22889EA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7,012.09</w:t>
            </w:r>
          </w:p>
        </w:tc>
      </w:tr>
      <w:tr w14:paraId="0A546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A359BD3">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077A48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141,694.25</w:t>
            </w:r>
          </w:p>
        </w:tc>
        <w:tc>
          <w:tcPr>
            <w:tcW w:w="1928" w:type="dxa"/>
            <w:tcBorders>
              <w:top w:val="single" w:color="auto" w:sz="2" w:space="0"/>
              <w:left w:val="single" w:color="auto" w:sz="2" w:space="0"/>
              <w:bottom w:val="single" w:color="auto" w:sz="2" w:space="0"/>
              <w:right w:val="single" w:color="auto" w:sz="2" w:space="0"/>
            </w:tcBorders>
            <w:vAlign w:val="center"/>
          </w:tcPr>
          <w:p w14:paraId="02031CD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10,795,929.09</w:t>
            </w:r>
          </w:p>
        </w:tc>
        <w:tc>
          <w:tcPr>
            <w:tcW w:w="1928" w:type="dxa"/>
            <w:tcBorders>
              <w:top w:val="single" w:color="auto" w:sz="2" w:space="0"/>
              <w:left w:val="single" w:color="auto" w:sz="2" w:space="0"/>
              <w:bottom w:val="single" w:color="auto" w:sz="2" w:space="0"/>
              <w:right w:val="single" w:color="auto" w:sz="2" w:space="0"/>
            </w:tcBorders>
            <w:vAlign w:val="center"/>
          </w:tcPr>
          <w:p w14:paraId="6A7CCA9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10,706,224.45</w:t>
            </w:r>
          </w:p>
        </w:tc>
        <w:tc>
          <w:tcPr>
            <w:tcW w:w="1928" w:type="dxa"/>
            <w:tcBorders>
              <w:top w:val="single" w:color="auto" w:sz="2" w:space="0"/>
              <w:left w:val="single" w:color="auto" w:sz="2" w:space="0"/>
              <w:bottom w:val="single" w:color="auto" w:sz="2" w:space="0"/>
              <w:right w:val="single" w:color="auto" w:sz="2" w:space="0"/>
            </w:tcBorders>
            <w:vAlign w:val="center"/>
          </w:tcPr>
          <w:p w14:paraId="39B176A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231,398.89</w:t>
            </w:r>
          </w:p>
        </w:tc>
      </w:tr>
    </w:tbl>
    <w:p w14:paraId="2B2789AC">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62F72FB4">
      <w:pPr>
        <w:pStyle w:val="3"/>
        <w:keepNext/>
        <w:keepLines/>
        <w:spacing w:before="300" w:after="300" w:line="280" w:lineRule="exact"/>
        <w:jc w:val="left"/>
        <w:outlineLvl w:val="2"/>
        <w:rPr>
          <w:rFonts w:ascii="宋体" w:hAnsi="宋体" w:eastAsia="宋体" w:cs="宋体"/>
          <w:b/>
          <w:bCs/>
          <w:sz w:val="21"/>
          <w:szCs w:val="21"/>
        </w:rPr>
      </w:pPr>
      <w:bookmarkStart w:id="346" w:name="_Toc989156"/>
      <w:r>
        <w:rPr>
          <w:rFonts w:hint="default" w:ascii="Times New Roman" w:hAnsi="Times New Roman" w:eastAsia="宋体" w:cs="Times New Roman"/>
          <w:b/>
          <w:bCs/>
          <w:sz w:val="21"/>
          <w:szCs w:val="21"/>
        </w:rPr>
        <w:t>25</w:t>
      </w:r>
      <w:r>
        <w:rPr>
          <w:rFonts w:ascii="宋体" w:hAnsi="宋体" w:eastAsia="宋体" w:cs="宋体"/>
          <w:b/>
          <w:bCs/>
          <w:sz w:val="21"/>
          <w:szCs w:val="21"/>
        </w:rPr>
        <w:t>、应交税费</w:t>
      </w:r>
      <w:bookmarkEnd w:id="346"/>
    </w:p>
    <w:p w14:paraId="2EE0A99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18DF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04021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030B7F">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01D4D5">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750BC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990983">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14:paraId="58EA48D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2,846,047.77</w:t>
            </w:r>
          </w:p>
        </w:tc>
        <w:tc>
          <w:tcPr>
            <w:tcW w:w="3213" w:type="dxa"/>
            <w:tcBorders>
              <w:top w:val="single" w:color="auto" w:sz="2" w:space="0"/>
              <w:left w:val="single" w:color="auto" w:sz="2" w:space="0"/>
              <w:bottom w:val="single" w:color="auto" w:sz="2" w:space="0"/>
              <w:right w:val="single" w:color="auto" w:sz="2" w:space="0"/>
            </w:tcBorders>
            <w:vAlign w:val="center"/>
          </w:tcPr>
          <w:p w14:paraId="0F58AC4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2,639,358.21</w:t>
            </w:r>
          </w:p>
        </w:tc>
      </w:tr>
      <w:tr w14:paraId="65D2A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6AF5F1">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14:paraId="60225F3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3,401,543.42</w:t>
            </w:r>
          </w:p>
        </w:tc>
        <w:tc>
          <w:tcPr>
            <w:tcW w:w="3213" w:type="dxa"/>
            <w:tcBorders>
              <w:top w:val="single" w:color="auto" w:sz="2" w:space="0"/>
              <w:left w:val="single" w:color="auto" w:sz="2" w:space="0"/>
              <w:bottom w:val="single" w:color="auto" w:sz="2" w:space="0"/>
              <w:right w:val="single" w:color="auto" w:sz="2" w:space="0"/>
            </w:tcBorders>
            <w:vAlign w:val="center"/>
          </w:tcPr>
          <w:p w14:paraId="5F3C0B3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4,707,592.60</w:t>
            </w:r>
          </w:p>
        </w:tc>
      </w:tr>
      <w:tr w14:paraId="70452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4BCCDB">
            <w:pPr>
              <w:spacing w:before="40" w:after="40" w:line="240" w:lineRule="exact"/>
              <w:jc w:val="left"/>
              <w:rPr>
                <w:rFonts w:ascii="宋体" w:hAnsi="宋体" w:eastAsia="宋体" w:cs="宋体"/>
                <w:sz w:val="18"/>
                <w:szCs w:val="18"/>
              </w:rPr>
            </w:pPr>
            <w:r>
              <w:rPr>
                <w:rFonts w:ascii="宋体" w:hAnsi="宋体" w:eastAsia="宋体" w:cs="宋体"/>
                <w:sz w:val="18"/>
                <w:szCs w:val="18"/>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14:paraId="3AFB91B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273,845.82</w:t>
            </w:r>
          </w:p>
        </w:tc>
        <w:tc>
          <w:tcPr>
            <w:tcW w:w="3213" w:type="dxa"/>
            <w:tcBorders>
              <w:top w:val="single" w:color="auto" w:sz="2" w:space="0"/>
              <w:left w:val="single" w:color="auto" w:sz="2" w:space="0"/>
              <w:bottom w:val="single" w:color="auto" w:sz="2" w:space="0"/>
              <w:right w:val="single" w:color="auto" w:sz="2" w:space="0"/>
            </w:tcBorders>
            <w:vAlign w:val="center"/>
          </w:tcPr>
          <w:p w14:paraId="264608D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242,685.81</w:t>
            </w:r>
          </w:p>
        </w:tc>
      </w:tr>
      <w:tr w14:paraId="7771D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06F463">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14:paraId="21FAAEC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1,335,130.11</w:t>
            </w:r>
          </w:p>
        </w:tc>
        <w:tc>
          <w:tcPr>
            <w:tcW w:w="3213" w:type="dxa"/>
            <w:tcBorders>
              <w:top w:val="single" w:color="auto" w:sz="2" w:space="0"/>
              <w:left w:val="single" w:color="auto" w:sz="2" w:space="0"/>
              <w:bottom w:val="single" w:color="auto" w:sz="2" w:space="0"/>
              <w:right w:val="single" w:color="auto" w:sz="2" w:space="0"/>
            </w:tcBorders>
            <w:vAlign w:val="center"/>
          </w:tcPr>
          <w:p w14:paraId="4373AE6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171,211.43</w:t>
            </w:r>
          </w:p>
        </w:tc>
      </w:tr>
      <w:tr w14:paraId="1B014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BB1B417">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14:paraId="1CF7CFD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572,046.23</w:t>
            </w:r>
          </w:p>
        </w:tc>
        <w:tc>
          <w:tcPr>
            <w:tcW w:w="3213" w:type="dxa"/>
            <w:tcBorders>
              <w:top w:val="single" w:color="auto" w:sz="2" w:space="0"/>
              <w:left w:val="single" w:color="auto" w:sz="2" w:space="0"/>
              <w:bottom w:val="single" w:color="auto" w:sz="2" w:space="0"/>
              <w:right w:val="single" w:color="auto" w:sz="2" w:space="0"/>
            </w:tcBorders>
            <w:vAlign w:val="center"/>
          </w:tcPr>
          <w:p w14:paraId="6D60BC5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73,376.33</w:t>
            </w:r>
          </w:p>
        </w:tc>
      </w:tr>
      <w:tr w14:paraId="69F8A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CEBCC18">
            <w:pPr>
              <w:spacing w:before="0" w:after="0" w:line="240" w:lineRule="exact"/>
              <w:jc w:val="left"/>
              <w:rPr>
                <w:rFonts w:ascii="宋体" w:hAnsi="宋体" w:eastAsia="宋体" w:cs="宋体"/>
                <w:sz w:val="18"/>
                <w:szCs w:val="18"/>
              </w:rPr>
            </w:pPr>
            <w:r>
              <w:rPr>
                <w:rFonts w:ascii="宋体" w:hAnsi="宋体" w:eastAsia="宋体" w:cs="宋体"/>
                <w:sz w:val="18"/>
                <w:szCs w:val="18"/>
              </w:rPr>
              <w:t>地方教育附加</w:t>
            </w:r>
          </w:p>
        </w:tc>
        <w:tc>
          <w:tcPr>
            <w:tcW w:w="3213" w:type="dxa"/>
            <w:tcBorders>
              <w:top w:val="single" w:color="auto" w:sz="2" w:space="0"/>
              <w:left w:val="single" w:color="auto" w:sz="2" w:space="0"/>
              <w:bottom w:val="single" w:color="auto" w:sz="2" w:space="0"/>
              <w:right w:val="single" w:color="auto" w:sz="2" w:space="0"/>
            </w:tcBorders>
            <w:vAlign w:val="center"/>
          </w:tcPr>
          <w:p w14:paraId="243F9A2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381,364.16</w:t>
            </w:r>
          </w:p>
        </w:tc>
        <w:tc>
          <w:tcPr>
            <w:tcW w:w="3213" w:type="dxa"/>
            <w:tcBorders>
              <w:top w:val="single" w:color="auto" w:sz="2" w:space="0"/>
              <w:left w:val="single" w:color="auto" w:sz="2" w:space="0"/>
              <w:bottom w:val="single" w:color="auto" w:sz="2" w:space="0"/>
              <w:right w:val="single" w:color="auto" w:sz="2" w:space="0"/>
            </w:tcBorders>
            <w:vAlign w:val="center"/>
          </w:tcPr>
          <w:p w14:paraId="4F82F73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48,917.55</w:t>
            </w:r>
          </w:p>
        </w:tc>
      </w:tr>
      <w:tr w14:paraId="2BA2C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28928B5">
            <w:pPr>
              <w:spacing w:before="0" w:after="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14:paraId="07FAA6D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131,055.36</w:t>
            </w:r>
          </w:p>
        </w:tc>
        <w:tc>
          <w:tcPr>
            <w:tcW w:w="3213" w:type="dxa"/>
            <w:tcBorders>
              <w:top w:val="single" w:color="auto" w:sz="2" w:space="0"/>
              <w:left w:val="single" w:color="auto" w:sz="2" w:space="0"/>
              <w:bottom w:val="single" w:color="auto" w:sz="2" w:space="0"/>
              <w:right w:val="single" w:color="auto" w:sz="2" w:space="0"/>
            </w:tcBorders>
            <w:vAlign w:val="center"/>
          </w:tcPr>
          <w:p w14:paraId="003FB50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58,031.78</w:t>
            </w:r>
          </w:p>
        </w:tc>
      </w:tr>
      <w:tr w14:paraId="26417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EEDE05A">
            <w:pPr>
              <w:spacing w:before="0" w:after="0" w:line="240" w:lineRule="exact"/>
              <w:jc w:val="left"/>
              <w:rPr>
                <w:rFonts w:ascii="宋体" w:hAnsi="宋体" w:eastAsia="宋体" w:cs="宋体"/>
                <w:sz w:val="18"/>
                <w:szCs w:val="18"/>
              </w:rPr>
            </w:pPr>
            <w:r>
              <w:rPr>
                <w:rFonts w:ascii="宋体" w:hAnsi="宋体" w:eastAsia="宋体" w:cs="宋体"/>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14:paraId="2735B5D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46,417.66</w:t>
            </w:r>
          </w:p>
        </w:tc>
        <w:tc>
          <w:tcPr>
            <w:tcW w:w="3213" w:type="dxa"/>
            <w:tcBorders>
              <w:top w:val="single" w:color="auto" w:sz="2" w:space="0"/>
              <w:left w:val="single" w:color="auto" w:sz="2" w:space="0"/>
              <w:bottom w:val="single" w:color="auto" w:sz="2" w:space="0"/>
              <w:right w:val="single" w:color="auto" w:sz="2" w:space="0"/>
            </w:tcBorders>
            <w:vAlign w:val="center"/>
          </w:tcPr>
          <w:p w14:paraId="290F82B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41,194.35</w:t>
            </w:r>
          </w:p>
        </w:tc>
      </w:tr>
      <w:tr w14:paraId="6237D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5BA51DE">
            <w:pPr>
              <w:spacing w:before="0" w:after="0" w:line="240" w:lineRule="exact"/>
              <w:jc w:val="left"/>
              <w:rPr>
                <w:rFonts w:ascii="宋体" w:hAnsi="宋体" w:eastAsia="宋体" w:cs="宋体"/>
                <w:sz w:val="18"/>
                <w:szCs w:val="18"/>
              </w:rPr>
            </w:pPr>
            <w:r>
              <w:rPr>
                <w:rFonts w:ascii="宋体" w:hAnsi="宋体" w:eastAsia="宋体" w:cs="宋体"/>
                <w:sz w:val="18"/>
                <w:szCs w:val="18"/>
              </w:rPr>
              <w:t>其他税费</w:t>
            </w:r>
          </w:p>
        </w:tc>
        <w:tc>
          <w:tcPr>
            <w:tcW w:w="3213" w:type="dxa"/>
            <w:tcBorders>
              <w:top w:val="single" w:color="auto" w:sz="2" w:space="0"/>
              <w:left w:val="single" w:color="auto" w:sz="2" w:space="0"/>
              <w:bottom w:val="single" w:color="auto" w:sz="2" w:space="0"/>
              <w:right w:val="single" w:color="auto" w:sz="2" w:space="0"/>
            </w:tcBorders>
            <w:vAlign w:val="center"/>
          </w:tcPr>
          <w:p w14:paraId="5FD7EE0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1,148.15</w:t>
            </w:r>
          </w:p>
        </w:tc>
        <w:tc>
          <w:tcPr>
            <w:tcW w:w="3213" w:type="dxa"/>
            <w:tcBorders>
              <w:top w:val="single" w:color="auto" w:sz="2" w:space="0"/>
              <w:left w:val="single" w:color="auto" w:sz="2" w:space="0"/>
              <w:bottom w:val="single" w:color="auto" w:sz="2" w:space="0"/>
              <w:right w:val="single" w:color="auto" w:sz="2" w:space="0"/>
            </w:tcBorders>
            <w:vAlign w:val="center"/>
          </w:tcPr>
          <w:p w14:paraId="4783AAB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215.63</w:t>
            </w:r>
          </w:p>
        </w:tc>
      </w:tr>
      <w:tr w14:paraId="501F2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A44FDA">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6CB942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8,988,598.68</w:t>
            </w:r>
          </w:p>
        </w:tc>
        <w:tc>
          <w:tcPr>
            <w:tcW w:w="3213" w:type="dxa"/>
            <w:tcBorders>
              <w:top w:val="single" w:color="auto" w:sz="2" w:space="0"/>
              <w:left w:val="single" w:color="auto" w:sz="2" w:space="0"/>
              <w:bottom w:val="single" w:color="auto" w:sz="2" w:space="0"/>
              <w:right w:val="single" w:color="auto" w:sz="2" w:space="0"/>
            </w:tcBorders>
            <w:vAlign w:val="center"/>
          </w:tcPr>
          <w:p w14:paraId="027ABF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7,982,583.69</w:t>
            </w:r>
          </w:p>
        </w:tc>
      </w:tr>
    </w:tbl>
    <w:p w14:paraId="72D45521">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66A5C5E3">
      <w:pPr>
        <w:pStyle w:val="3"/>
        <w:keepNext/>
        <w:keepLines/>
        <w:spacing w:before="300" w:after="300" w:line="280" w:lineRule="exact"/>
        <w:jc w:val="left"/>
        <w:outlineLvl w:val="2"/>
        <w:rPr>
          <w:rFonts w:ascii="宋体" w:hAnsi="宋体" w:eastAsia="宋体" w:cs="宋体"/>
          <w:b/>
          <w:bCs/>
          <w:sz w:val="21"/>
          <w:szCs w:val="21"/>
        </w:rPr>
      </w:pPr>
      <w:bookmarkStart w:id="347" w:name="_Toc989157"/>
      <w:r>
        <w:rPr>
          <w:rFonts w:ascii="宋体" w:hAnsi="宋体" w:eastAsia="宋体" w:cs="宋体"/>
          <w:b/>
          <w:bCs/>
          <w:sz w:val="21"/>
          <w:szCs w:val="21"/>
        </w:rPr>
        <w:t>26、一年内到期的非流动负债</w:t>
      </w:r>
      <w:bookmarkEnd w:id="347"/>
    </w:p>
    <w:p w14:paraId="47DEE3D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02D7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CC2D94">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C9649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5565AA">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227CE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61BEEA">
            <w:pPr>
              <w:spacing w:before="40" w:after="40" w:line="240" w:lineRule="exact"/>
              <w:jc w:val="left"/>
              <w:rPr>
                <w:rFonts w:ascii="宋体" w:hAnsi="宋体" w:eastAsia="宋体" w:cs="宋体"/>
                <w:sz w:val="18"/>
                <w:szCs w:val="18"/>
              </w:rPr>
            </w:pPr>
            <w:r>
              <w:rPr>
                <w:rFonts w:ascii="宋体" w:hAnsi="宋体" w:eastAsia="宋体" w:cs="宋体"/>
                <w:sz w:val="18"/>
                <w:szCs w:val="18"/>
              </w:rPr>
              <w:t>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14:paraId="00990A2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2,217,449.04</w:t>
            </w:r>
          </w:p>
        </w:tc>
        <w:tc>
          <w:tcPr>
            <w:tcW w:w="3213" w:type="dxa"/>
            <w:tcBorders>
              <w:top w:val="single" w:color="auto" w:sz="2" w:space="0"/>
              <w:left w:val="single" w:color="auto" w:sz="2" w:space="0"/>
              <w:bottom w:val="single" w:color="auto" w:sz="2" w:space="0"/>
              <w:right w:val="single" w:color="auto" w:sz="2" w:space="0"/>
            </w:tcBorders>
            <w:vAlign w:val="center"/>
          </w:tcPr>
          <w:p w14:paraId="70AD8E9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85,036.11</w:t>
            </w:r>
          </w:p>
        </w:tc>
      </w:tr>
      <w:tr w14:paraId="6AEB8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A62D26">
            <w:pPr>
              <w:spacing w:before="40" w:after="40" w:line="240" w:lineRule="exact"/>
              <w:jc w:val="left"/>
              <w:rPr>
                <w:rFonts w:ascii="宋体" w:hAnsi="宋体" w:eastAsia="宋体" w:cs="宋体"/>
                <w:sz w:val="18"/>
                <w:szCs w:val="18"/>
              </w:rPr>
            </w:pPr>
            <w:r>
              <w:rPr>
                <w:rFonts w:ascii="宋体" w:hAnsi="宋体" w:eastAsia="宋体" w:cs="宋体"/>
                <w:sz w:val="18"/>
                <w:szCs w:val="18"/>
              </w:rPr>
              <w:t>一年内到期的租赁负债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1FBCE2A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3,963,108.52</w:t>
            </w:r>
          </w:p>
        </w:tc>
        <w:tc>
          <w:tcPr>
            <w:tcW w:w="3213" w:type="dxa"/>
            <w:tcBorders>
              <w:top w:val="single" w:color="auto" w:sz="2" w:space="0"/>
              <w:left w:val="single" w:color="auto" w:sz="2" w:space="0"/>
              <w:bottom w:val="single" w:color="auto" w:sz="2" w:space="0"/>
              <w:right w:val="single" w:color="auto" w:sz="2" w:space="0"/>
            </w:tcBorders>
            <w:vAlign w:val="center"/>
          </w:tcPr>
          <w:p w14:paraId="1919954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5,635,093.82</w:t>
            </w:r>
          </w:p>
        </w:tc>
      </w:tr>
      <w:tr w14:paraId="25AEA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A12C97">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F52124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6,180,557.56</w:t>
            </w:r>
          </w:p>
        </w:tc>
        <w:tc>
          <w:tcPr>
            <w:tcW w:w="3213" w:type="dxa"/>
            <w:tcBorders>
              <w:top w:val="single" w:color="auto" w:sz="2" w:space="0"/>
              <w:left w:val="single" w:color="auto" w:sz="2" w:space="0"/>
              <w:bottom w:val="single" w:color="auto" w:sz="2" w:space="0"/>
              <w:right w:val="single" w:color="auto" w:sz="2" w:space="0"/>
            </w:tcBorders>
            <w:vAlign w:val="center"/>
          </w:tcPr>
          <w:p w14:paraId="3248DF4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5,720,129.93</w:t>
            </w:r>
          </w:p>
        </w:tc>
      </w:tr>
    </w:tbl>
    <w:p w14:paraId="1A308DC5">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5759D20D">
      <w:pPr>
        <w:pStyle w:val="3"/>
        <w:keepNext/>
        <w:keepLines/>
        <w:spacing w:before="300" w:after="300" w:line="280" w:lineRule="exact"/>
        <w:jc w:val="left"/>
        <w:outlineLvl w:val="2"/>
        <w:rPr>
          <w:rFonts w:ascii="宋体" w:hAnsi="宋体" w:eastAsia="宋体" w:cs="宋体"/>
          <w:b/>
          <w:bCs/>
          <w:sz w:val="21"/>
          <w:szCs w:val="21"/>
        </w:rPr>
      </w:pPr>
      <w:bookmarkStart w:id="348" w:name="_Toc989158"/>
      <w:r>
        <w:rPr>
          <w:rFonts w:hint="default" w:ascii="Times New Roman" w:hAnsi="Times New Roman" w:eastAsia="宋体" w:cs="Times New Roman"/>
          <w:b/>
          <w:bCs/>
          <w:sz w:val="21"/>
          <w:szCs w:val="21"/>
        </w:rPr>
        <w:t>27</w:t>
      </w:r>
      <w:r>
        <w:rPr>
          <w:rFonts w:ascii="宋体" w:hAnsi="宋体" w:eastAsia="宋体" w:cs="宋体"/>
          <w:b/>
          <w:bCs/>
          <w:sz w:val="21"/>
          <w:szCs w:val="21"/>
        </w:rPr>
        <w:t>、其他流动负债</w:t>
      </w:r>
      <w:bookmarkEnd w:id="348"/>
    </w:p>
    <w:p w14:paraId="24AE6F8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0E42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9C0C9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5F2631">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5796F9">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83CA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A4CAFB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待转销项税</w:t>
            </w:r>
          </w:p>
        </w:tc>
        <w:tc>
          <w:tcPr>
            <w:tcW w:w="3213" w:type="dxa"/>
            <w:tcBorders>
              <w:top w:val="single" w:color="auto" w:sz="2" w:space="0"/>
              <w:left w:val="single" w:color="auto" w:sz="2" w:space="0"/>
              <w:bottom w:val="single" w:color="auto" w:sz="2" w:space="0"/>
              <w:right w:val="single" w:color="auto" w:sz="2" w:space="0"/>
            </w:tcBorders>
            <w:vAlign w:val="center"/>
          </w:tcPr>
          <w:p w14:paraId="5DFBDE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21,365,900.84</w:t>
            </w:r>
          </w:p>
        </w:tc>
        <w:tc>
          <w:tcPr>
            <w:tcW w:w="3213" w:type="dxa"/>
            <w:tcBorders>
              <w:top w:val="single" w:color="auto" w:sz="2" w:space="0"/>
              <w:left w:val="single" w:color="auto" w:sz="2" w:space="0"/>
              <w:bottom w:val="single" w:color="auto" w:sz="2" w:space="0"/>
              <w:right w:val="single" w:color="auto" w:sz="2" w:space="0"/>
            </w:tcBorders>
            <w:vAlign w:val="center"/>
          </w:tcPr>
          <w:p w14:paraId="3320252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2,158,496.09</w:t>
            </w:r>
          </w:p>
        </w:tc>
      </w:tr>
      <w:tr w14:paraId="2AE02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755F3A">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A57770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21,365,900.84</w:t>
            </w:r>
          </w:p>
        </w:tc>
        <w:tc>
          <w:tcPr>
            <w:tcW w:w="3213" w:type="dxa"/>
            <w:tcBorders>
              <w:top w:val="single" w:color="auto" w:sz="2" w:space="0"/>
              <w:left w:val="single" w:color="auto" w:sz="2" w:space="0"/>
              <w:bottom w:val="single" w:color="auto" w:sz="2" w:space="0"/>
              <w:right w:val="single" w:color="auto" w:sz="2" w:space="0"/>
            </w:tcBorders>
            <w:vAlign w:val="center"/>
          </w:tcPr>
          <w:p w14:paraId="711C16B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2,158,496.09</w:t>
            </w:r>
          </w:p>
        </w:tc>
      </w:tr>
    </w:tbl>
    <w:p w14:paraId="25CEDADF">
      <w:pPr>
        <w:spacing w:before="100" w:after="100" w:line="240" w:lineRule="exact"/>
        <w:jc w:val="left"/>
        <w:rPr>
          <w:rFonts w:ascii="宋体" w:hAnsi="宋体" w:eastAsia="宋体" w:cs="宋体"/>
          <w:sz w:val="18"/>
          <w:szCs w:val="18"/>
        </w:rPr>
      </w:pPr>
      <w:r>
        <w:rPr>
          <w:rFonts w:hint="default" w:ascii="Times New Roman" w:hAnsi="Times New Roman" w:eastAsia="宋体" w:cs="Times New Roman"/>
          <w:sz w:val="18"/>
          <w:szCs w:val="18"/>
        </w:rPr>
        <w:t>短期应付债券的增减变动：</w:t>
      </w:r>
    </w:p>
    <w:p w14:paraId="34D7349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14:paraId="3E743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48D04406">
            <w:pPr>
              <w:spacing w:before="40" w:after="40" w:line="240" w:lineRule="exact"/>
              <w:jc w:val="center"/>
              <w:rPr>
                <w:rFonts w:ascii="宋体" w:hAnsi="宋体" w:eastAsia="宋体" w:cs="宋体"/>
                <w:sz w:val="18"/>
                <w:szCs w:val="18"/>
              </w:rPr>
            </w:pPr>
            <w:r>
              <w:rPr>
                <w:rFonts w:ascii="宋体" w:hAnsi="宋体" w:eastAsia="宋体" w:cs="宋体"/>
                <w:sz w:val="18"/>
                <w:szCs w:val="18"/>
              </w:rPr>
              <w:t>债券名称</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16DF998E">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5D32450F">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4CC2AEE1">
            <w:pPr>
              <w:spacing w:before="40" w:after="40" w:line="240" w:lineRule="exact"/>
              <w:jc w:val="center"/>
              <w:rPr>
                <w:rFonts w:ascii="宋体" w:hAnsi="宋体" w:eastAsia="宋体" w:cs="宋体"/>
                <w:sz w:val="18"/>
                <w:szCs w:val="18"/>
              </w:rPr>
            </w:pPr>
            <w:r>
              <w:rPr>
                <w:rFonts w:ascii="宋体" w:hAnsi="宋体" w:eastAsia="宋体" w:cs="宋体"/>
                <w:sz w:val="18"/>
                <w:szCs w:val="18"/>
              </w:rPr>
              <w:t>发行日期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3769A20A">
            <w:pPr>
              <w:spacing w:before="40" w:after="40" w:line="240" w:lineRule="exact"/>
              <w:jc w:val="center"/>
              <w:rPr>
                <w:rFonts w:ascii="宋体" w:hAnsi="宋体" w:eastAsia="宋体" w:cs="宋体"/>
                <w:sz w:val="18"/>
                <w:szCs w:val="18"/>
              </w:rPr>
            </w:pPr>
            <w:r>
              <w:rPr>
                <w:rFonts w:ascii="宋体" w:hAnsi="宋体" w:eastAsia="宋体" w:cs="宋体"/>
                <w:sz w:val="18"/>
                <w:szCs w:val="18"/>
              </w:rPr>
              <w:t>债券期限</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2E28C55C">
            <w:pPr>
              <w:spacing w:before="40" w:after="40" w:line="240" w:lineRule="exact"/>
              <w:jc w:val="center"/>
              <w:rPr>
                <w:rFonts w:ascii="宋体" w:hAnsi="宋体" w:eastAsia="宋体" w:cs="宋体"/>
                <w:sz w:val="18"/>
                <w:szCs w:val="18"/>
              </w:rPr>
            </w:pPr>
            <w:r>
              <w:rPr>
                <w:rFonts w:ascii="宋体" w:hAnsi="宋体" w:eastAsia="宋体" w:cs="宋体"/>
                <w:sz w:val="18"/>
                <w:szCs w:val="18"/>
              </w:rPr>
              <w:t>发行金额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5B2E0984">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636E2F21">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本期发行</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1A77D7EE">
            <w:pPr>
              <w:spacing w:before="40" w:after="40" w:line="240" w:lineRule="exact"/>
              <w:jc w:val="center"/>
              <w:rPr>
                <w:rFonts w:ascii="宋体" w:hAnsi="宋体" w:eastAsia="宋体" w:cs="宋体"/>
                <w:sz w:val="18"/>
                <w:szCs w:val="18"/>
              </w:rPr>
            </w:pPr>
            <w:r>
              <w:rPr>
                <w:rFonts w:ascii="宋体" w:hAnsi="宋体" w:eastAsia="宋体" w:cs="宋体"/>
                <w:sz w:val="18"/>
                <w:szCs w:val="18"/>
              </w:rPr>
              <w:t>按面值计提利息</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C10E941">
            <w:pPr>
              <w:spacing w:before="40" w:after="40" w:line="240" w:lineRule="exact"/>
              <w:jc w:val="center"/>
              <w:rPr>
                <w:rFonts w:ascii="宋体" w:hAnsi="宋体" w:eastAsia="宋体" w:cs="宋体"/>
                <w:sz w:val="18"/>
                <w:szCs w:val="18"/>
              </w:rPr>
            </w:pPr>
            <w:r>
              <w:rPr>
                <w:rFonts w:ascii="宋体" w:hAnsi="宋体" w:eastAsia="宋体" w:cs="宋体"/>
                <w:sz w:val="18"/>
                <w:szCs w:val="18"/>
              </w:rPr>
              <w:t>溢折价摊销</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717AD435">
            <w:pPr>
              <w:spacing w:before="40" w:after="40" w:line="240" w:lineRule="exact"/>
              <w:jc w:val="center"/>
              <w:rPr>
                <w:rFonts w:ascii="宋体" w:hAnsi="宋体" w:eastAsia="宋体" w:cs="宋体"/>
                <w:sz w:val="18"/>
                <w:szCs w:val="18"/>
              </w:rPr>
            </w:pPr>
            <w:r>
              <w:rPr>
                <w:rFonts w:ascii="宋体" w:hAnsi="宋体" w:eastAsia="宋体" w:cs="宋体"/>
                <w:sz w:val="18"/>
                <w:szCs w:val="18"/>
              </w:rPr>
              <w:t>本期偿还</w:t>
            </w:r>
          </w:p>
        </w:tc>
        <w:tc>
          <w:tcPr>
            <w:tcW w:w="689" w:type="dxa"/>
            <w:tcBorders>
              <w:top w:val="single" w:color="auto" w:sz="2" w:space="0"/>
              <w:left w:val="single" w:color="auto" w:sz="2" w:space="0"/>
              <w:bottom w:val="single" w:color="auto" w:sz="2" w:space="0"/>
              <w:right w:val="single" w:color="auto" w:sz="2" w:space="0"/>
            </w:tcBorders>
            <w:vAlign w:val="center"/>
          </w:tcPr>
          <w:p w14:paraId="0E3BF77F">
            <w:pPr>
              <w:spacing w:before="0" w:after="0" w:line="240" w:lineRule="exact"/>
              <w:jc w:val="center"/>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407E159A">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3ABA3A32">
            <w:pPr>
              <w:spacing w:before="40" w:after="40" w:line="240" w:lineRule="exact"/>
              <w:jc w:val="center"/>
              <w:rPr>
                <w:rFonts w:ascii="宋体" w:hAnsi="宋体" w:eastAsia="宋体" w:cs="宋体"/>
                <w:sz w:val="18"/>
                <w:szCs w:val="18"/>
              </w:rPr>
            </w:pPr>
            <w:r>
              <w:rPr>
                <w:rFonts w:ascii="宋体" w:hAnsi="宋体" w:eastAsia="宋体" w:cs="宋体"/>
                <w:sz w:val="18"/>
                <w:szCs w:val="18"/>
              </w:rPr>
              <w:t>是否违约</w:t>
            </w:r>
          </w:p>
        </w:tc>
      </w:tr>
      <w:tr w14:paraId="722C1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678711A8">
            <w:pPr>
              <w:spacing w:before="0" w:after="0" w:line="240" w:lineRule="exact"/>
              <w:jc w:val="lef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2A742C7D">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52490401">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076CE022">
            <w:pPr>
              <w:spacing w:before="0" w:after="0" w:line="240" w:lineRule="exact"/>
              <w:jc w:val="lef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7747CC1A">
            <w:pPr>
              <w:spacing w:before="0" w:after="0" w:line="240" w:lineRule="exact"/>
              <w:jc w:val="lef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439A4396">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75F7E34B">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57EC41E2">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53DA3146">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063B96C7">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1B352EF5">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076781B8">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3AF82981">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0318C408">
            <w:pPr>
              <w:spacing w:before="0" w:after="0" w:line="240" w:lineRule="exact"/>
              <w:jc w:val="left"/>
              <w:rPr>
                <w:rFonts w:ascii="宋体" w:hAnsi="宋体" w:eastAsia="宋体" w:cs="宋体"/>
                <w:sz w:val="18"/>
                <w:szCs w:val="18"/>
              </w:rPr>
            </w:pPr>
          </w:p>
        </w:tc>
      </w:tr>
      <w:tr w14:paraId="3841A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6E37CA5E">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5581369"/>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6FD13A77"/>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2EC1BE70"/>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5DF043E9"/>
        </w:tc>
        <w:tc>
          <w:tcPr>
            <w:tcW w:w="689" w:type="dxa"/>
            <w:tcBorders>
              <w:top w:val="single" w:color="auto" w:sz="2" w:space="0"/>
              <w:left w:val="single" w:color="auto" w:sz="2" w:space="0"/>
              <w:bottom w:val="single" w:color="auto" w:sz="2" w:space="0"/>
              <w:right w:val="single" w:color="auto" w:sz="2" w:space="0"/>
            </w:tcBorders>
            <w:vAlign w:val="center"/>
          </w:tcPr>
          <w:p w14:paraId="13D6F5B5">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7D88C53E">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1BA6F076">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6B86CFA8">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3014AFBA">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5903DAA7">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010C461D">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13BC9B57">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4AB7568C"/>
        </w:tc>
      </w:tr>
    </w:tbl>
    <w:p w14:paraId="616B1438">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70BF0690">
      <w:pPr>
        <w:pStyle w:val="3"/>
        <w:keepNext/>
        <w:keepLines/>
        <w:spacing w:before="300" w:after="300" w:line="280" w:lineRule="exact"/>
        <w:jc w:val="left"/>
        <w:outlineLvl w:val="2"/>
        <w:rPr>
          <w:rFonts w:ascii="宋体" w:hAnsi="宋体" w:eastAsia="宋体" w:cs="宋体"/>
          <w:b/>
          <w:bCs/>
          <w:sz w:val="21"/>
          <w:szCs w:val="21"/>
        </w:rPr>
      </w:pPr>
      <w:bookmarkStart w:id="349" w:name="_Toc989159"/>
      <w:r>
        <w:rPr>
          <w:rFonts w:hint="default" w:ascii="Times New Roman" w:hAnsi="Times New Roman" w:eastAsia="宋体" w:cs="Times New Roman"/>
          <w:b/>
          <w:bCs/>
          <w:sz w:val="21"/>
          <w:szCs w:val="21"/>
        </w:rPr>
        <w:t>28</w:t>
      </w:r>
      <w:r>
        <w:rPr>
          <w:rFonts w:ascii="宋体" w:hAnsi="宋体" w:eastAsia="宋体" w:cs="宋体"/>
          <w:b/>
          <w:bCs/>
          <w:sz w:val="21"/>
          <w:szCs w:val="21"/>
        </w:rPr>
        <w:t>、长期借款</w:t>
      </w:r>
      <w:bookmarkEnd w:id="349"/>
    </w:p>
    <w:p w14:paraId="493F9A6E">
      <w:pPr>
        <w:keepNext/>
        <w:keepLines/>
        <w:spacing w:before="300" w:after="300" w:line="280" w:lineRule="exact"/>
        <w:jc w:val="left"/>
        <w:outlineLvl w:val="3"/>
        <w:rPr>
          <w:rFonts w:ascii="宋体" w:hAnsi="宋体" w:eastAsia="宋体" w:cs="宋体"/>
          <w:b/>
          <w:bCs/>
          <w:sz w:val="18"/>
          <w:szCs w:val="18"/>
        </w:rPr>
      </w:pPr>
      <w:bookmarkStart w:id="350" w:name="_Toc989160"/>
      <w:r>
        <w:rPr>
          <w:rFonts w:ascii="宋体" w:hAnsi="宋体" w:eastAsia="宋体" w:cs="宋体"/>
          <w:b/>
          <w:bCs/>
          <w:sz w:val="18"/>
          <w:szCs w:val="18"/>
        </w:rPr>
        <w:t>（</w:t>
      </w:r>
      <w:r>
        <w:rPr>
          <w:rFonts w:hint="default" w:ascii="Times New Roman" w:hAnsi="Times New Roman" w:eastAsia="宋体" w:cs="Times New Roman"/>
          <w:b/>
          <w:bCs/>
          <w:sz w:val="18"/>
          <w:szCs w:val="18"/>
        </w:rPr>
        <w:t>1</w:t>
      </w:r>
      <w:r>
        <w:rPr>
          <w:rFonts w:ascii="宋体" w:hAnsi="宋体" w:eastAsia="宋体" w:cs="宋体"/>
          <w:b/>
          <w:bCs/>
          <w:sz w:val="18"/>
          <w:szCs w:val="18"/>
        </w:rPr>
        <w:t>） 长期借款分类</w:t>
      </w:r>
      <w:bookmarkEnd w:id="350"/>
    </w:p>
    <w:p w14:paraId="0328C6E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9CCA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798467">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BC7E0E">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37567D">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571DD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BA55AEF">
            <w:pPr>
              <w:spacing w:before="0" w:after="0" w:line="240" w:lineRule="exact"/>
              <w:jc w:val="left"/>
              <w:rPr>
                <w:rFonts w:ascii="宋体" w:hAnsi="宋体" w:eastAsia="宋体" w:cs="宋体"/>
                <w:sz w:val="18"/>
                <w:szCs w:val="18"/>
              </w:rPr>
            </w:pPr>
            <w:r>
              <w:rPr>
                <w:rFonts w:ascii="宋体" w:hAnsi="宋体" w:eastAsia="宋体" w:cs="宋体"/>
                <w:sz w:val="18"/>
                <w:szCs w:val="18"/>
              </w:rPr>
              <w:t>抵押、质押、保证组合借款</w:t>
            </w:r>
          </w:p>
        </w:tc>
        <w:tc>
          <w:tcPr>
            <w:tcW w:w="3213" w:type="dxa"/>
            <w:tcBorders>
              <w:top w:val="single" w:color="auto" w:sz="2" w:space="0"/>
              <w:left w:val="single" w:color="auto" w:sz="2" w:space="0"/>
              <w:bottom w:val="single" w:color="auto" w:sz="2" w:space="0"/>
              <w:right w:val="single" w:color="auto" w:sz="2" w:space="0"/>
            </w:tcBorders>
            <w:vAlign w:val="center"/>
          </w:tcPr>
          <w:p w14:paraId="764799E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103,893,230.00</w:t>
            </w:r>
          </w:p>
        </w:tc>
        <w:tc>
          <w:tcPr>
            <w:tcW w:w="3213" w:type="dxa"/>
            <w:tcBorders>
              <w:top w:val="single" w:color="auto" w:sz="2" w:space="0"/>
              <w:left w:val="single" w:color="auto" w:sz="2" w:space="0"/>
              <w:bottom w:val="single" w:color="auto" w:sz="2" w:space="0"/>
              <w:right w:val="single" w:color="auto" w:sz="2" w:space="0"/>
            </w:tcBorders>
            <w:vAlign w:val="center"/>
          </w:tcPr>
          <w:p w14:paraId="2A3E576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76,000,000.00</w:t>
            </w:r>
          </w:p>
        </w:tc>
      </w:tr>
      <w:tr w14:paraId="082A1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96EBD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507495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103,893,230.00</w:t>
            </w:r>
          </w:p>
        </w:tc>
        <w:tc>
          <w:tcPr>
            <w:tcW w:w="3213" w:type="dxa"/>
            <w:tcBorders>
              <w:top w:val="single" w:color="auto" w:sz="2" w:space="0"/>
              <w:left w:val="single" w:color="auto" w:sz="2" w:space="0"/>
              <w:bottom w:val="single" w:color="auto" w:sz="2" w:space="0"/>
              <w:right w:val="single" w:color="auto" w:sz="2" w:space="0"/>
            </w:tcBorders>
            <w:vAlign w:val="center"/>
          </w:tcPr>
          <w:p w14:paraId="1C42D18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76,000,000.00</w:t>
            </w:r>
          </w:p>
        </w:tc>
      </w:tr>
    </w:tbl>
    <w:p w14:paraId="16AFCA49">
      <w:pPr>
        <w:spacing w:before="100" w:after="100" w:line="240" w:lineRule="exact"/>
        <w:jc w:val="left"/>
        <w:rPr>
          <w:rFonts w:ascii="宋体" w:hAnsi="宋体" w:eastAsia="宋体" w:cs="宋体"/>
          <w:sz w:val="18"/>
          <w:szCs w:val="18"/>
        </w:rPr>
      </w:pPr>
      <w:r>
        <w:rPr>
          <w:rFonts w:ascii="宋体" w:hAnsi="宋体" w:eastAsia="宋体" w:cs="宋体"/>
          <w:sz w:val="18"/>
          <w:szCs w:val="18"/>
        </w:rPr>
        <w:t>长期借款分类的说明：</w:t>
      </w:r>
    </w:p>
    <w:p w14:paraId="60162FE5">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其他说明，包括利率区间：</w:t>
      </w:r>
    </w:p>
    <w:p w14:paraId="40BEEABA">
      <w:pPr>
        <w:pStyle w:val="3"/>
        <w:keepNext/>
        <w:keepLines/>
        <w:spacing w:before="300" w:after="300" w:line="280" w:lineRule="exact"/>
        <w:jc w:val="left"/>
        <w:outlineLvl w:val="2"/>
        <w:rPr>
          <w:rFonts w:ascii="宋体" w:hAnsi="宋体" w:eastAsia="宋体" w:cs="宋体"/>
          <w:b/>
          <w:bCs/>
          <w:sz w:val="21"/>
          <w:szCs w:val="21"/>
        </w:rPr>
      </w:pPr>
      <w:bookmarkStart w:id="351" w:name="_Toc989161"/>
      <w:r>
        <w:rPr>
          <w:rFonts w:hint="default" w:ascii="Times New Roman" w:hAnsi="Times New Roman" w:eastAsia="宋体" w:cs="Times New Roman"/>
          <w:b/>
          <w:bCs/>
          <w:sz w:val="21"/>
          <w:szCs w:val="21"/>
        </w:rPr>
        <w:t>29</w:t>
      </w:r>
      <w:r>
        <w:rPr>
          <w:rFonts w:ascii="宋体" w:hAnsi="宋体" w:eastAsia="宋体" w:cs="宋体"/>
          <w:b/>
          <w:bCs/>
          <w:sz w:val="21"/>
          <w:szCs w:val="21"/>
        </w:rPr>
        <w:t>、租赁负债</w:t>
      </w:r>
      <w:bookmarkEnd w:id="351"/>
    </w:p>
    <w:p w14:paraId="3B59BA2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8F10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DAA34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BF7D4D">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D22C59">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67B51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66AE00E">
            <w:pPr>
              <w:spacing w:before="0" w:after="0" w:line="240" w:lineRule="exact"/>
              <w:jc w:val="left"/>
              <w:rPr>
                <w:rFonts w:ascii="宋体" w:hAnsi="宋体" w:eastAsia="宋体" w:cs="宋体"/>
                <w:sz w:val="18"/>
                <w:szCs w:val="18"/>
              </w:rPr>
            </w:pPr>
            <w:r>
              <w:rPr>
                <w:rFonts w:ascii="宋体" w:hAnsi="宋体" w:eastAsia="宋体" w:cs="宋体"/>
                <w:sz w:val="18"/>
                <w:szCs w:val="18"/>
              </w:rPr>
              <w:t>租赁付款额</w:t>
            </w:r>
          </w:p>
        </w:tc>
        <w:tc>
          <w:tcPr>
            <w:tcW w:w="3213" w:type="dxa"/>
            <w:tcBorders>
              <w:top w:val="single" w:color="auto" w:sz="2" w:space="0"/>
              <w:left w:val="single" w:color="auto" w:sz="2" w:space="0"/>
              <w:bottom w:val="single" w:color="auto" w:sz="2" w:space="0"/>
              <w:right w:val="single" w:color="auto" w:sz="2" w:space="0"/>
            </w:tcBorders>
            <w:vAlign w:val="center"/>
          </w:tcPr>
          <w:p w14:paraId="7FA300E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5,950,651.98</w:t>
            </w:r>
          </w:p>
        </w:tc>
        <w:tc>
          <w:tcPr>
            <w:tcW w:w="3213" w:type="dxa"/>
            <w:tcBorders>
              <w:top w:val="single" w:color="auto" w:sz="2" w:space="0"/>
              <w:left w:val="single" w:color="auto" w:sz="2" w:space="0"/>
              <w:bottom w:val="single" w:color="auto" w:sz="2" w:space="0"/>
              <w:right w:val="single" w:color="auto" w:sz="2" w:space="0"/>
            </w:tcBorders>
            <w:vAlign w:val="center"/>
          </w:tcPr>
          <w:p w14:paraId="4EC1BF5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12,880,383.83</w:t>
            </w:r>
          </w:p>
        </w:tc>
      </w:tr>
      <w:tr w14:paraId="79B9F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78A4EB5">
            <w:pPr>
              <w:spacing w:before="0" w:after="0" w:line="240" w:lineRule="exact"/>
              <w:jc w:val="left"/>
              <w:rPr>
                <w:rFonts w:ascii="宋体" w:hAnsi="宋体" w:eastAsia="宋体" w:cs="宋体"/>
                <w:sz w:val="18"/>
                <w:szCs w:val="18"/>
              </w:rPr>
            </w:pPr>
            <w:r>
              <w:rPr>
                <w:rFonts w:ascii="宋体" w:hAnsi="宋体" w:eastAsia="宋体" w:cs="宋体"/>
                <w:sz w:val="18"/>
                <w:szCs w:val="18"/>
              </w:rPr>
              <w:t>未确认融资费用</w:t>
            </w:r>
          </w:p>
        </w:tc>
        <w:tc>
          <w:tcPr>
            <w:tcW w:w="3213" w:type="dxa"/>
            <w:tcBorders>
              <w:top w:val="single" w:color="auto" w:sz="2" w:space="0"/>
              <w:left w:val="single" w:color="auto" w:sz="2" w:space="0"/>
              <w:bottom w:val="single" w:color="auto" w:sz="2" w:space="0"/>
              <w:right w:val="single" w:color="auto" w:sz="2" w:space="0"/>
            </w:tcBorders>
            <w:vAlign w:val="center"/>
          </w:tcPr>
          <w:p w14:paraId="0B5263E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-134,559.99</w:t>
            </w:r>
          </w:p>
        </w:tc>
        <w:tc>
          <w:tcPr>
            <w:tcW w:w="3213" w:type="dxa"/>
            <w:tcBorders>
              <w:top w:val="single" w:color="auto" w:sz="2" w:space="0"/>
              <w:left w:val="single" w:color="auto" w:sz="2" w:space="0"/>
              <w:bottom w:val="single" w:color="auto" w:sz="2" w:space="0"/>
              <w:right w:val="single" w:color="auto" w:sz="2" w:space="0"/>
            </w:tcBorders>
            <w:vAlign w:val="center"/>
          </w:tcPr>
          <w:p w14:paraId="27AC968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-630,178.12</w:t>
            </w:r>
          </w:p>
        </w:tc>
      </w:tr>
      <w:tr w14:paraId="3659E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66E2A7E">
            <w:pPr>
              <w:spacing w:before="0" w:after="0" w:line="240" w:lineRule="exact"/>
              <w:jc w:val="left"/>
              <w:rPr>
                <w:rFonts w:ascii="宋体" w:hAnsi="宋体" w:eastAsia="宋体" w:cs="宋体"/>
                <w:sz w:val="18"/>
                <w:szCs w:val="18"/>
              </w:rPr>
            </w:pPr>
            <w:r>
              <w:rPr>
                <w:rFonts w:ascii="宋体" w:hAnsi="宋体" w:eastAsia="宋体" w:cs="宋体"/>
                <w:sz w:val="18"/>
                <w:szCs w:val="18"/>
              </w:rPr>
              <w:t>一年内到期的租赁负债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225DF86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-3,963,108.52</w:t>
            </w:r>
          </w:p>
        </w:tc>
        <w:tc>
          <w:tcPr>
            <w:tcW w:w="3213" w:type="dxa"/>
            <w:tcBorders>
              <w:top w:val="single" w:color="auto" w:sz="2" w:space="0"/>
              <w:left w:val="single" w:color="auto" w:sz="2" w:space="0"/>
              <w:bottom w:val="single" w:color="auto" w:sz="2" w:space="0"/>
              <w:right w:val="single" w:color="auto" w:sz="2" w:space="0"/>
            </w:tcBorders>
            <w:vAlign w:val="center"/>
          </w:tcPr>
          <w:p w14:paraId="18CB7B3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-5,635,093.82</w:t>
            </w:r>
          </w:p>
        </w:tc>
      </w:tr>
      <w:tr w14:paraId="25934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8A23B5">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4B75CF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1,852,983.47</w:t>
            </w:r>
          </w:p>
        </w:tc>
        <w:tc>
          <w:tcPr>
            <w:tcW w:w="3213" w:type="dxa"/>
            <w:tcBorders>
              <w:top w:val="single" w:color="auto" w:sz="2" w:space="0"/>
              <w:left w:val="single" w:color="auto" w:sz="2" w:space="0"/>
              <w:bottom w:val="single" w:color="auto" w:sz="2" w:space="0"/>
              <w:right w:val="single" w:color="auto" w:sz="2" w:space="0"/>
            </w:tcBorders>
            <w:vAlign w:val="center"/>
          </w:tcPr>
          <w:p w14:paraId="3708373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6,615,111.89</w:t>
            </w:r>
          </w:p>
        </w:tc>
      </w:tr>
    </w:tbl>
    <w:p w14:paraId="3BAA001B">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6A9D10C3">
      <w:pPr>
        <w:pStyle w:val="3"/>
        <w:keepNext/>
        <w:keepLines/>
        <w:spacing w:before="300" w:after="300" w:line="280" w:lineRule="exact"/>
        <w:jc w:val="left"/>
        <w:outlineLvl w:val="2"/>
        <w:rPr>
          <w:rFonts w:ascii="宋体" w:hAnsi="宋体" w:eastAsia="宋体" w:cs="宋体"/>
          <w:b/>
          <w:bCs/>
          <w:sz w:val="21"/>
          <w:szCs w:val="21"/>
        </w:rPr>
      </w:pPr>
      <w:bookmarkStart w:id="352" w:name="_Toc989162"/>
      <w:r>
        <w:rPr>
          <w:rFonts w:hint="default" w:ascii="Times New Roman" w:hAnsi="Times New Roman" w:eastAsia="宋体" w:cs="Times New Roman"/>
          <w:b/>
          <w:bCs/>
          <w:sz w:val="21"/>
          <w:szCs w:val="21"/>
        </w:rPr>
        <w:t>30</w:t>
      </w:r>
      <w:r>
        <w:rPr>
          <w:rFonts w:ascii="宋体" w:hAnsi="宋体" w:eastAsia="宋体" w:cs="宋体"/>
          <w:b/>
          <w:bCs/>
          <w:sz w:val="21"/>
          <w:szCs w:val="21"/>
        </w:rPr>
        <w:t>、预计负债</w:t>
      </w:r>
      <w:bookmarkEnd w:id="352"/>
    </w:p>
    <w:p w14:paraId="3346A43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42C52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C2D473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0A07977">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E5CC37F">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532828C">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14:paraId="47374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D0F2409">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14:paraId="7F3ED73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800,000.00</w:t>
            </w:r>
          </w:p>
        </w:tc>
        <w:tc>
          <w:tcPr>
            <w:tcW w:w="2410" w:type="dxa"/>
            <w:tcBorders>
              <w:top w:val="single" w:color="auto" w:sz="2" w:space="0"/>
              <w:left w:val="single" w:color="auto" w:sz="2" w:space="0"/>
              <w:bottom w:val="single" w:color="auto" w:sz="2" w:space="0"/>
              <w:right w:val="single" w:color="auto" w:sz="2" w:space="0"/>
            </w:tcBorders>
            <w:vAlign w:val="center"/>
          </w:tcPr>
          <w:p w14:paraId="42C2DBE9">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064C0E34">
            <w:pPr>
              <w:spacing w:before="0" w:after="0" w:line="240" w:lineRule="exact"/>
              <w:jc w:val="left"/>
              <w:rPr>
                <w:rFonts w:ascii="宋体" w:hAnsi="宋体" w:eastAsia="宋体" w:cs="宋体"/>
                <w:sz w:val="18"/>
                <w:szCs w:val="18"/>
              </w:rPr>
            </w:pPr>
          </w:p>
        </w:tc>
      </w:tr>
      <w:tr w14:paraId="14A68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6CA12E5">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15C6D49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800,000.00</w:t>
            </w:r>
          </w:p>
        </w:tc>
        <w:tc>
          <w:tcPr>
            <w:tcW w:w="2410" w:type="dxa"/>
            <w:tcBorders>
              <w:top w:val="single" w:color="auto" w:sz="2" w:space="0"/>
              <w:left w:val="single" w:color="auto" w:sz="2" w:space="0"/>
              <w:bottom w:val="single" w:color="auto" w:sz="2" w:space="0"/>
              <w:right w:val="single" w:color="auto" w:sz="2" w:space="0"/>
            </w:tcBorders>
            <w:vAlign w:val="center"/>
          </w:tcPr>
          <w:p w14:paraId="6A45C11A">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571FBF5"/>
        </w:tc>
      </w:tr>
    </w:tbl>
    <w:p w14:paraId="6757A723">
      <w:pPr>
        <w:spacing w:before="100" w:after="100" w:line="240" w:lineRule="exact"/>
        <w:jc w:val="left"/>
        <w:rPr>
          <w:rFonts w:hint="eastAsia" w:ascii="宋体" w:hAnsi="宋体" w:eastAsia="宋体" w:cs="宋体"/>
          <w:sz w:val="18"/>
          <w:szCs w:val="18"/>
          <w:lang w:val="en-US" w:eastAsia="zh-CN"/>
        </w:rPr>
      </w:pPr>
      <w:r>
        <w:rPr>
          <w:rFonts w:ascii="宋体" w:hAnsi="宋体" w:eastAsia="宋体" w:cs="宋体"/>
          <w:sz w:val="18"/>
          <w:szCs w:val="18"/>
        </w:rPr>
        <w:t>其他说明，包括重要预计负债的相关重要假设、估计说明：</w:t>
      </w:r>
      <w:r>
        <w:rPr>
          <w:rFonts w:hint="eastAsia" w:ascii="宋体" w:hAnsi="宋体" w:cs="宋体"/>
          <w:sz w:val="18"/>
          <w:szCs w:val="18"/>
          <w:lang w:val="en-US" w:eastAsia="zh-CN"/>
        </w:rPr>
        <w:t>无</w:t>
      </w:r>
    </w:p>
    <w:p w14:paraId="5D813E24">
      <w:pPr>
        <w:pStyle w:val="3"/>
        <w:keepNext/>
        <w:keepLines/>
        <w:spacing w:before="300" w:after="300" w:line="280" w:lineRule="exact"/>
        <w:jc w:val="left"/>
        <w:outlineLvl w:val="2"/>
        <w:rPr>
          <w:rFonts w:ascii="宋体" w:hAnsi="宋体" w:eastAsia="宋体" w:cs="宋体"/>
          <w:b/>
          <w:bCs/>
          <w:sz w:val="21"/>
          <w:szCs w:val="21"/>
        </w:rPr>
      </w:pPr>
      <w:bookmarkStart w:id="353" w:name="_Toc989163"/>
      <w:r>
        <w:rPr>
          <w:rFonts w:hint="default" w:ascii="Times New Roman" w:hAnsi="Times New Roman" w:eastAsia="宋体" w:cs="Times New Roman"/>
          <w:b/>
          <w:bCs/>
          <w:sz w:val="21"/>
          <w:szCs w:val="21"/>
        </w:rPr>
        <w:t>31</w:t>
      </w:r>
      <w:r>
        <w:rPr>
          <w:rFonts w:ascii="宋体" w:hAnsi="宋体" w:eastAsia="宋体" w:cs="宋体"/>
          <w:b/>
          <w:bCs/>
          <w:sz w:val="21"/>
          <w:szCs w:val="21"/>
        </w:rPr>
        <w:t>、递延收益</w:t>
      </w:r>
      <w:bookmarkEnd w:id="353"/>
    </w:p>
    <w:p w14:paraId="29A93F7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2AA4B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B7DB539">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5B400E4">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D7BF105">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2511280">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890AC87">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AEEA939">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14:paraId="229ED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FB65C12">
            <w:pPr>
              <w:spacing w:before="40" w:after="40" w:line="240" w:lineRule="exact"/>
              <w:jc w:val="left"/>
              <w:rPr>
                <w:rFonts w:ascii="宋体" w:hAnsi="宋体" w:eastAsia="宋体" w:cs="宋体"/>
                <w:sz w:val="18"/>
                <w:szCs w:val="18"/>
              </w:rPr>
            </w:pPr>
            <w:r>
              <w:rPr>
                <w:rFonts w:ascii="宋体" w:hAnsi="宋体"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14:paraId="07561EC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19,428,904.50</w:t>
            </w:r>
          </w:p>
        </w:tc>
        <w:tc>
          <w:tcPr>
            <w:tcW w:w="1606" w:type="dxa"/>
            <w:tcBorders>
              <w:top w:val="single" w:color="auto" w:sz="2" w:space="0"/>
              <w:left w:val="single" w:color="auto" w:sz="2" w:space="0"/>
              <w:bottom w:val="single" w:color="auto" w:sz="2" w:space="0"/>
              <w:right w:val="single" w:color="auto" w:sz="2" w:space="0"/>
            </w:tcBorders>
            <w:vAlign w:val="center"/>
          </w:tcPr>
          <w:p w14:paraId="3E29E46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1,405,955.40</w:t>
            </w:r>
          </w:p>
        </w:tc>
        <w:tc>
          <w:tcPr>
            <w:tcW w:w="1606" w:type="dxa"/>
            <w:tcBorders>
              <w:top w:val="single" w:color="auto" w:sz="2" w:space="0"/>
              <w:left w:val="single" w:color="auto" w:sz="2" w:space="0"/>
              <w:bottom w:val="single" w:color="auto" w:sz="2" w:space="0"/>
              <w:right w:val="single" w:color="auto" w:sz="2" w:space="0"/>
            </w:tcBorders>
            <w:vAlign w:val="center"/>
          </w:tcPr>
          <w:p w14:paraId="0303671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2,623,865.52</w:t>
            </w:r>
          </w:p>
        </w:tc>
        <w:tc>
          <w:tcPr>
            <w:tcW w:w="1606" w:type="dxa"/>
            <w:tcBorders>
              <w:top w:val="single" w:color="auto" w:sz="2" w:space="0"/>
              <w:left w:val="single" w:color="auto" w:sz="2" w:space="0"/>
              <w:bottom w:val="single" w:color="auto" w:sz="2" w:space="0"/>
              <w:right w:val="single" w:color="auto" w:sz="2" w:space="0"/>
            </w:tcBorders>
            <w:vAlign w:val="center"/>
          </w:tcPr>
          <w:p w14:paraId="6B1D89F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18,210,994.38</w:t>
            </w:r>
          </w:p>
        </w:tc>
        <w:tc>
          <w:tcPr>
            <w:tcW w:w="1606" w:type="dxa"/>
            <w:tcBorders>
              <w:top w:val="single" w:color="auto" w:sz="2" w:space="0"/>
              <w:left w:val="single" w:color="auto" w:sz="2" w:space="0"/>
              <w:bottom w:val="single" w:color="auto" w:sz="2" w:space="0"/>
              <w:right w:val="single" w:color="auto" w:sz="2" w:space="0"/>
            </w:tcBorders>
            <w:vAlign w:val="center"/>
          </w:tcPr>
          <w:p w14:paraId="49776816">
            <w:pPr>
              <w:spacing w:before="0" w:after="0" w:line="240" w:lineRule="exact"/>
              <w:jc w:val="left"/>
              <w:rPr>
                <w:rFonts w:ascii="宋体" w:hAnsi="宋体" w:eastAsia="宋体" w:cs="宋体"/>
                <w:sz w:val="18"/>
                <w:szCs w:val="18"/>
              </w:rPr>
            </w:pPr>
            <w:r>
              <w:rPr>
                <w:rFonts w:ascii="宋体" w:hAnsi="宋体" w:eastAsia="宋体" w:cs="宋体"/>
                <w:sz w:val="18"/>
                <w:szCs w:val="18"/>
              </w:rPr>
              <w:t>政府拨入</w:t>
            </w:r>
          </w:p>
        </w:tc>
      </w:tr>
      <w:tr w14:paraId="5F34E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79646E0">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14:paraId="0195AE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19,428,904.50</w:t>
            </w:r>
          </w:p>
        </w:tc>
        <w:tc>
          <w:tcPr>
            <w:tcW w:w="1606" w:type="dxa"/>
            <w:tcBorders>
              <w:top w:val="single" w:color="auto" w:sz="2" w:space="0"/>
              <w:left w:val="single" w:color="auto" w:sz="2" w:space="0"/>
              <w:bottom w:val="single" w:color="auto" w:sz="2" w:space="0"/>
              <w:right w:val="single" w:color="auto" w:sz="2" w:space="0"/>
            </w:tcBorders>
            <w:vAlign w:val="center"/>
          </w:tcPr>
          <w:p w14:paraId="47C2987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1,405,955.40</w:t>
            </w:r>
          </w:p>
        </w:tc>
        <w:tc>
          <w:tcPr>
            <w:tcW w:w="1606" w:type="dxa"/>
            <w:tcBorders>
              <w:top w:val="single" w:color="auto" w:sz="2" w:space="0"/>
              <w:left w:val="single" w:color="auto" w:sz="2" w:space="0"/>
              <w:bottom w:val="single" w:color="auto" w:sz="2" w:space="0"/>
              <w:right w:val="single" w:color="auto" w:sz="2" w:space="0"/>
            </w:tcBorders>
            <w:vAlign w:val="center"/>
          </w:tcPr>
          <w:p w14:paraId="20501F5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2,623,865.52</w:t>
            </w:r>
          </w:p>
        </w:tc>
        <w:tc>
          <w:tcPr>
            <w:tcW w:w="1606" w:type="dxa"/>
            <w:tcBorders>
              <w:top w:val="single" w:color="auto" w:sz="2" w:space="0"/>
              <w:left w:val="single" w:color="auto" w:sz="2" w:space="0"/>
              <w:bottom w:val="single" w:color="auto" w:sz="2" w:space="0"/>
              <w:right w:val="single" w:color="auto" w:sz="2" w:space="0"/>
            </w:tcBorders>
            <w:vAlign w:val="center"/>
          </w:tcPr>
          <w:p w14:paraId="5011364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18,210,994.38</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7416542"/>
        </w:tc>
      </w:tr>
    </w:tbl>
    <w:p w14:paraId="6EBEFC36">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25C6175F">
      <w:pPr>
        <w:pStyle w:val="3"/>
        <w:keepNext/>
        <w:keepLines/>
        <w:spacing w:before="300" w:after="300" w:line="280" w:lineRule="exact"/>
        <w:jc w:val="left"/>
        <w:outlineLvl w:val="2"/>
        <w:rPr>
          <w:rFonts w:ascii="宋体" w:hAnsi="宋体" w:eastAsia="宋体" w:cs="宋体"/>
          <w:b/>
          <w:bCs/>
          <w:sz w:val="21"/>
          <w:szCs w:val="21"/>
        </w:rPr>
      </w:pPr>
      <w:bookmarkStart w:id="354" w:name="_Toc989164"/>
      <w:r>
        <w:rPr>
          <w:rFonts w:hint="default" w:ascii="Times New Roman" w:hAnsi="Times New Roman" w:eastAsia="宋体" w:cs="Times New Roman"/>
          <w:b/>
          <w:bCs/>
          <w:sz w:val="21"/>
          <w:szCs w:val="21"/>
        </w:rPr>
        <w:t>32</w:t>
      </w:r>
      <w:r>
        <w:rPr>
          <w:rFonts w:ascii="宋体" w:hAnsi="宋体" w:eastAsia="宋体" w:cs="宋体"/>
          <w:b/>
          <w:bCs/>
          <w:sz w:val="21"/>
          <w:szCs w:val="21"/>
        </w:rPr>
        <w:t>、股本</w:t>
      </w:r>
      <w:bookmarkEnd w:id="354"/>
    </w:p>
    <w:p w14:paraId="3B9A38F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14:paraId="3D180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3AE9857"/>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610D94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7232C588">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5D8E34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4A504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1A7F103"/>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9D7A557"/>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B734EB3">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618A55B">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CDB5148">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E58BADB">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24F989B">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81E1C58"/>
        </w:tc>
      </w:tr>
      <w:tr w14:paraId="670B5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81D09B1">
            <w:pPr>
              <w:spacing w:before="40" w:after="40" w:line="240" w:lineRule="exact"/>
              <w:jc w:val="left"/>
              <w:rPr>
                <w:rFonts w:ascii="宋体" w:hAnsi="宋体" w:eastAsia="宋体" w:cs="宋体"/>
                <w:sz w:val="18"/>
                <w:szCs w:val="18"/>
              </w:rPr>
            </w:pPr>
            <w:r>
              <w:rPr>
                <w:rFonts w:ascii="宋体" w:hAnsi="宋体" w:eastAsia="宋体" w:cs="宋体"/>
                <w:sz w:val="18"/>
                <w:szCs w:val="18"/>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14:paraId="4D180BE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c>
          <w:tcPr>
            <w:tcW w:w="1205" w:type="dxa"/>
            <w:tcBorders>
              <w:top w:val="single" w:color="auto" w:sz="2" w:space="0"/>
              <w:left w:val="single" w:color="auto" w:sz="2" w:space="0"/>
              <w:bottom w:val="single" w:color="auto" w:sz="2" w:space="0"/>
              <w:right w:val="single" w:color="auto" w:sz="2" w:space="0"/>
            </w:tcBorders>
            <w:vAlign w:val="center"/>
          </w:tcPr>
          <w:p w14:paraId="7E8635B9">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050B586">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290EAB2">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4E090BF">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A936291">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7F8FB5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265,155,701.00</w:t>
            </w:r>
          </w:p>
        </w:tc>
      </w:tr>
    </w:tbl>
    <w:p w14:paraId="06CE1458">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3135946C">
      <w:pPr>
        <w:pStyle w:val="3"/>
        <w:keepNext/>
        <w:keepLines/>
        <w:spacing w:before="300" w:after="300" w:line="280" w:lineRule="exact"/>
        <w:jc w:val="left"/>
        <w:outlineLvl w:val="2"/>
        <w:rPr>
          <w:rFonts w:ascii="宋体" w:hAnsi="宋体" w:eastAsia="宋体" w:cs="宋体"/>
          <w:b/>
          <w:bCs/>
          <w:sz w:val="21"/>
          <w:szCs w:val="21"/>
        </w:rPr>
      </w:pPr>
      <w:bookmarkStart w:id="355" w:name="_Toc989165"/>
      <w:r>
        <w:rPr>
          <w:rFonts w:hint="default" w:ascii="Times New Roman" w:hAnsi="Times New Roman" w:eastAsia="宋体" w:cs="Times New Roman"/>
          <w:b/>
          <w:bCs/>
          <w:sz w:val="21"/>
          <w:szCs w:val="21"/>
        </w:rPr>
        <w:t>33</w:t>
      </w:r>
      <w:r>
        <w:rPr>
          <w:rFonts w:ascii="宋体" w:hAnsi="宋体" w:eastAsia="宋体" w:cs="宋体"/>
          <w:b/>
          <w:bCs/>
          <w:sz w:val="21"/>
          <w:szCs w:val="21"/>
        </w:rPr>
        <w:t>、资本公积</w:t>
      </w:r>
      <w:bookmarkEnd w:id="355"/>
    </w:p>
    <w:p w14:paraId="7FC3CEA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52D9D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1130D4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BED98DA">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EE49A8F">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1FB65AB">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E54305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1FCAE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1B40005">
            <w:pPr>
              <w:spacing w:before="40" w:after="40" w:line="240" w:lineRule="exact"/>
              <w:jc w:val="left"/>
              <w:rPr>
                <w:rFonts w:ascii="宋体" w:hAnsi="宋体" w:eastAsia="宋体" w:cs="宋体"/>
                <w:sz w:val="18"/>
                <w:szCs w:val="18"/>
              </w:rPr>
            </w:pPr>
            <w:r>
              <w:rPr>
                <w:rFonts w:ascii="宋体" w:hAnsi="宋体" w:eastAsia="宋体" w:cs="宋体"/>
                <w:sz w:val="18"/>
                <w:szCs w:val="18"/>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14:paraId="2691624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562,029,408.89</w:t>
            </w:r>
          </w:p>
        </w:tc>
        <w:tc>
          <w:tcPr>
            <w:tcW w:w="1928" w:type="dxa"/>
            <w:tcBorders>
              <w:top w:val="single" w:color="auto" w:sz="2" w:space="0"/>
              <w:left w:val="single" w:color="auto" w:sz="2" w:space="0"/>
              <w:bottom w:val="single" w:color="auto" w:sz="2" w:space="0"/>
              <w:right w:val="single" w:color="auto" w:sz="2" w:space="0"/>
            </w:tcBorders>
            <w:vAlign w:val="center"/>
          </w:tcPr>
          <w:p w14:paraId="0B7BFDAB">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7C18750">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94DAB2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562,029,408.89</w:t>
            </w:r>
          </w:p>
        </w:tc>
      </w:tr>
      <w:tr w14:paraId="2605F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14829E6">
            <w:pPr>
              <w:spacing w:before="40" w:after="40" w:line="240" w:lineRule="exact"/>
              <w:jc w:val="left"/>
              <w:rPr>
                <w:rFonts w:ascii="宋体" w:hAnsi="宋体" w:eastAsia="宋体" w:cs="宋体"/>
                <w:sz w:val="18"/>
                <w:szCs w:val="18"/>
              </w:rPr>
            </w:pPr>
            <w:r>
              <w:rPr>
                <w:rFonts w:ascii="宋体" w:hAnsi="宋体" w:eastAsia="宋体" w:cs="宋体"/>
                <w:sz w:val="18"/>
                <w:szCs w:val="18"/>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14:paraId="3A8187B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32,512,150.98</w:t>
            </w:r>
          </w:p>
        </w:tc>
        <w:tc>
          <w:tcPr>
            <w:tcW w:w="1928" w:type="dxa"/>
            <w:tcBorders>
              <w:top w:val="single" w:color="auto" w:sz="2" w:space="0"/>
              <w:left w:val="single" w:color="auto" w:sz="2" w:space="0"/>
              <w:bottom w:val="single" w:color="auto" w:sz="2" w:space="0"/>
              <w:right w:val="single" w:color="auto" w:sz="2" w:space="0"/>
            </w:tcBorders>
            <w:vAlign w:val="center"/>
          </w:tcPr>
          <w:p w14:paraId="1F6E4F0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3,488,938.90</w:t>
            </w:r>
          </w:p>
        </w:tc>
        <w:tc>
          <w:tcPr>
            <w:tcW w:w="1928" w:type="dxa"/>
            <w:tcBorders>
              <w:top w:val="single" w:color="auto" w:sz="2" w:space="0"/>
              <w:left w:val="single" w:color="auto" w:sz="2" w:space="0"/>
              <w:bottom w:val="single" w:color="auto" w:sz="2" w:space="0"/>
              <w:right w:val="single" w:color="auto" w:sz="2" w:space="0"/>
            </w:tcBorders>
            <w:vAlign w:val="center"/>
          </w:tcPr>
          <w:p w14:paraId="17E297E7">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13617C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36,001,089.88</w:t>
            </w:r>
          </w:p>
        </w:tc>
      </w:tr>
      <w:tr w14:paraId="609EB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F03309E">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109B712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594,541,559.87</w:t>
            </w:r>
          </w:p>
        </w:tc>
        <w:tc>
          <w:tcPr>
            <w:tcW w:w="1928" w:type="dxa"/>
            <w:tcBorders>
              <w:top w:val="single" w:color="auto" w:sz="2" w:space="0"/>
              <w:left w:val="single" w:color="auto" w:sz="2" w:space="0"/>
              <w:bottom w:val="single" w:color="auto" w:sz="2" w:space="0"/>
              <w:right w:val="single" w:color="auto" w:sz="2" w:space="0"/>
            </w:tcBorders>
            <w:vAlign w:val="center"/>
          </w:tcPr>
          <w:p w14:paraId="1434DAA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3,488,938.90</w:t>
            </w:r>
          </w:p>
        </w:tc>
        <w:tc>
          <w:tcPr>
            <w:tcW w:w="1928" w:type="dxa"/>
            <w:tcBorders>
              <w:top w:val="single" w:color="auto" w:sz="2" w:space="0"/>
              <w:left w:val="single" w:color="auto" w:sz="2" w:space="0"/>
              <w:bottom w:val="single" w:color="auto" w:sz="2" w:space="0"/>
              <w:right w:val="single" w:color="auto" w:sz="2" w:space="0"/>
            </w:tcBorders>
            <w:vAlign w:val="center"/>
          </w:tcPr>
          <w:p w14:paraId="19A469EA">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0C757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598,030,498.77</w:t>
            </w:r>
          </w:p>
        </w:tc>
      </w:tr>
    </w:tbl>
    <w:p w14:paraId="302426BF">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14:paraId="109562F8">
      <w:pPr>
        <w:pStyle w:val="6"/>
        <w:keepNext w:val="0"/>
        <w:keepLines w:val="0"/>
        <w:widowControl/>
        <w:suppressLineNumbers w:val="0"/>
        <w:spacing w:before="0" w:beforeAutospacing="1" w:after="0" w:afterAutospacing="1"/>
        <w:ind w:left="0" w:right="0" w:firstLine="420"/>
      </w:pPr>
      <w:r>
        <w:rPr>
          <w:rFonts w:hint="eastAsia" w:ascii="宋体" w:hAnsi="宋体" w:eastAsia="宋体" w:cs="宋体"/>
          <w:sz w:val="21"/>
          <w:szCs w:val="21"/>
        </w:rPr>
        <w:t>本期公司收购子公司股权，权益变动增加其他资本公积。</w:t>
      </w:r>
    </w:p>
    <w:p w14:paraId="0B005D8E">
      <w:pPr>
        <w:pStyle w:val="3"/>
        <w:keepNext/>
        <w:keepLines/>
        <w:spacing w:before="300" w:after="300" w:line="280" w:lineRule="exact"/>
        <w:jc w:val="left"/>
        <w:outlineLvl w:val="2"/>
        <w:rPr>
          <w:rFonts w:ascii="宋体" w:hAnsi="宋体" w:eastAsia="宋体" w:cs="宋体"/>
          <w:b/>
          <w:bCs/>
          <w:sz w:val="21"/>
          <w:szCs w:val="21"/>
        </w:rPr>
      </w:pPr>
      <w:bookmarkStart w:id="356" w:name="_Toc989166"/>
      <w:r>
        <w:rPr>
          <w:rFonts w:hint="default" w:ascii="Times New Roman" w:hAnsi="Times New Roman" w:eastAsia="宋体" w:cs="Times New Roman"/>
          <w:b/>
          <w:bCs/>
          <w:sz w:val="21"/>
          <w:szCs w:val="21"/>
        </w:rPr>
        <w:t>34</w:t>
      </w:r>
      <w:r>
        <w:rPr>
          <w:rFonts w:ascii="宋体" w:hAnsi="宋体" w:eastAsia="宋体" w:cs="宋体"/>
          <w:b/>
          <w:bCs/>
          <w:sz w:val="21"/>
          <w:szCs w:val="21"/>
        </w:rPr>
        <w:t>、其他综合收益</w:t>
      </w:r>
      <w:bookmarkEnd w:id="356"/>
    </w:p>
    <w:p w14:paraId="0F617B0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0B636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721A00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EE0A624">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6F8FB1E4">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F5AAF4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0EAC2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701CCBC"/>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4F5ACC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CD3FC30">
            <w:pPr>
              <w:spacing w:before="40" w:after="40" w:line="240" w:lineRule="exact"/>
              <w:jc w:val="center"/>
              <w:rPr>
                <w:rFonts w:ascii="宋体" w:hAnsi="宋体" w:eastAsia="宋体" w:cs="宋体"/>
                <w:sz w:val="18"/>
                <w:szCs w:val="18"/>
              </w:rPr>
            </w:pPr>
            <w:r>
              <w:rPr>
                <w:rFonts w:ascii="宋体" w:hAnsi="宋体" w:eastAsia="宋体" w:cs="宋体"/>
                <w:sz w:val="18"/>
                <w:szCs w:val="18"/>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780DD55">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E6295E9">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090F338">
            <w:pPr>
              <w:spacing w:before="40" w:after="40" w:line="240" w:lineRule="exact"/>
              <w:jc w:val="center"/>
              <w:rPr>
                <w:rFonts w:ascii="宋体" w:hAnsi="宋体" w:eastAsia="宋体" w:cs="宋体"/>
                <w:sz w:val="18"/>
                <w:szCs w:val="18"/>
              </w:rPr>
            </w:pPr>
            <w:r>
              <w:rPr>
                <w:rFonts w:ascii="宋体" w:hAnsi="宋体" w:eastAsia="宋体" w:cs="宋体"/>
                <w:sz w:val="18"/>
                <w:szCs w:val="18"/>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8110E96">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375CCE1">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BFF354E"/>
        </w:tc>
      </w:tr>
      <w:tr w14:paraId="29D55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7A0E3FA">
            <w:pPr>
              <w:spacing w:before="40" w:after="40" w:line="240" w:lineRule="exact"/>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14:paraId="6FFD771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-42,654,545.45</w:t>
            </w:r>
          </w:p>
        </w:tc>
        <w:tc>
          <w:tcPr>
            <w:tcW w:w="1071" w:type="dxa"/>
            <w:tcBorders>
              <w:top w:val="single" w:color="auto" w:sz="2" w:space="0"/>
              <w:left w:val="single" w:color="auto" w:sz="2" w:space="0"/>
              <w:bottom w:val="single" w:color="auto" w:sz="2" w:space="0"/>
              <w:right w:val="single" w:color="auto" w:sz="2" w:space="0"/>
            </w:tcBorders>
            <w:vAlign w:val="center"/>
          </w:tcPr>
          <w:p w14:paraId="0D1B3F6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8757139">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137E3D3">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B524C37">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98164E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9C8BCFE">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8B638D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-42,654,545.45</w:t>
            </w:r>
          </w:p>
        </w:tc>
      </w:tr>
      <w:tr w14:paraId="7780F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9096CF1">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其他权益工具投资公允价值变动</w:t>
            </w:r>
          </w:p>
        </w:tc>
        <w:tc>
          <w:tcPr>
            <w:tcW w:w="1071" w:type="dxa"/>
            <w:tcBorders>
              <w:top w:val="single" w:color="auto" w:sz="2" w:space="0"/>
              <w:left w:val="single" w:color="auto" w:sz="2" w:space="0"/>
              <w:bottom w:val="single" w:color="auto" w:sz="2" w:space="0"/>
              <w:right w:val="single" w:color="auto" w:sz="2" w:space="0"/>
            </w:tcBorders>
            <w:vAlign w:val="center"/>
          </w:tcPr>
          <w:p w14:paraId="28CC928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-42,654,545.45</w:t>
            </w:r>
          </w:p>
        </w:tc>
        <w:tc>
          <w:tcPr>
            <w:tcW w:w="1071" w:type="dxa"/>
            <w:tcBorders>
              <w:top w:val="single" w:color="auto" w:sz="2" w:space="0"/>
              <w:left w:val="single" w:color="auto" w:sz="2" w:space="0"/>
              <w:bottom w:val="single" w:color="auto" w:sz="2" w:space="0"/>
              <w:right w:val="single" w:color="auto" w:sz="2" w:space="0"/>
            </w:tcBorders>
            <w:vAlign w:val="center"/>
          </w:tcPr>
          <w:p w14:paraId="3980C28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6314D7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A68D8FE">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EB6E5C1">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753A44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0CB0DC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FB2A16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-42,654,545.45</w:t>
            </w:r>
          </w:p>
        </w:tc>
      </w:tr>
      <w:tr w14:paraId="431B7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AE689D3">
            <w:pPr>
              <w:spacing w:before="40" w:after="40" w:line="240" w:lineRule="exact"/>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14:paraId="26F0EF6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-3,734,002.90</w:t>
            </w:r>
          </w:p>
        </w:tc>
        <w:tc>
          <w:tcPr>
            <w:tcW w:w="1071" w:type="dxa"/>
            <w:tcBorders>
              <w:top w:val="single" w:color="auto" w:sz="2" w:space="0"/>
              <w:left w:val="single" w:color="auto" w:sz="2" w:space="0"/>
              <w:bottom w:val="single" w:color="auto" w:sz="2" w:space="0"/>
              <w:right w:val="single" w:color="auto" w:sz="2" w:space="0"/>
            </w:tcBorders>
            <w:vAlign w:val="center"/>
          </w:tcPr>
          <w:p w14:paraId="1D961B1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-125,555.44</w:t>
            </w:r>
          </w:p>
        </w:tc>
        <w:tc>
          <w:tcPr>
            <w:tcW w:w="1071" w:type="dxa"/>
            <w:tcBorders>
              <w:top w:val="single" w:color="auto" w:sz="2" w:space="0"/>
              <w:left w:val="single" w:color="auto" w:sz="2" w:space="0"/>
              <w:bottom w:val="single" w:color="auto" w:sz="2" w:space="0"/>
              <w:right w:val="single" w:color="auto" w:sz="2" w:space="0"/>
            </w:tcBorders>
            <w:vAlign w:val="center"/>
          </w:tcPr>
          <w:p w14:paraId="7EAE2BD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E98B17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8679DE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EB66D4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-125,555.44</w:t>
            </w:r>
          </w:p>
        </w:tc>
        <w:tc>
          <w:tcPr>
            <w:tcW w:w="1071" w:type="dxa"/>
            <w:tcBorders>
              <w:top w:val="single" w:color="auto" w:sz="2" w:space="0"/>
              <w:left w:val="single" w:color="auto" w:sz="2" w:space="0"/>
              <w:bottom w:val="single" w:color="auto" w:sz="2" w:space="0"/>
              <w:right w:val="single" w:color="auto" w:sz="2" w:space="0"/>
            </w:tcBorders>
            <w:vAlign w:val="center"/>
          </w:tcPr>
          <w:p w14:paraId="4DE19BC4">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DA9952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-3,859,558.34</w:t>
            </w:r>
          </w:p>
        </w:tc>
      </w:tr>
      <w:tr w14:paraId="7FFCE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0D87B7E">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外币财务报表折算差额</w:t>
            </w:r>
          </w:p>
        </w:tc>
        <w:tc>
          <w:tcPr>
            <w:tcW w:w="1071" w:type="dxa"/>
            <w:tcBorders>
              <w:top w:val="single" w:color="auto" w:sz="2" w:space="0"/>
              <w:left w:val="single" w:color="auto" w:sz="2" w:space="0"/>
              <w:bottom w:val="single" w:color="auto" w:sz="2" w:space="0"/>
              <w:right w:val="single" w:color="auto" w:sz="2" w:space="0"/>
            </w:tcBorders>
            <w:vAlign w:val="center"/>
          </w:tcPr>
          <w:p w14:paraId="0A0FE44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-3,734,002.90</w:t>
            </w:r>
          </w:p>
        </w:tc>
        <w:tc>
          <w:tcPr>
            <w:tcW w:w="1071" w:type="dxa"/>
            <w:tcBorders>
              <w:top w:val="single" w:color="auto" w:sz="2" w:space="0"/>
              <w:left w:val="single" w:color="auto" w:sz="2" w:space="0"/>
              <w:bottom w:val="single" w:color="auto" w:sz="2" w:space="0"/>
              <w:right w:val="single" w:color="auto" w:sz="2" w:space="0"/>
            </w:tcBorders>
            <w:vAlign w:val="center"/>
          </w:tcPr>
          <w:p w14:paraId="056EDDC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-125,555.44</w:t>
            </w:r>
          </w:p>
        </w:tc>
        <w:tc>
          <w:tcPr>
            <w:tcW w:w="1071" w:type="dxa"/>
            <w:tcBorders>
              <w:top w:val="single" w:color="auto" w:sz="2" w:space="0"/>
              <w:left w:val="single" w:color="auto" w:sz="2" w:space="0"/>
              <w:bottom w:val="single" w:color="auto" w:sz="2" w:space="0"/>
              <w:right w:val="single" w:color="auto" w:sz="2" w:space="0"/>
            </w:tcBorders>
            <w:vAlign w:val="center"/>
          </w:tcPr>
          <w:p w14:paraId="0562D551">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676F696">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41BAF7">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7EA4F2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-125,555.44</w:t>
            </w:r>
          </w:p>
        </w:tc>
        <w:tc>
          <w:tcPr>
            <w:tcW w:w="1071" w:type="dxa"/>
            <w:tcBorders>
              <w:top w:val="single" w:color="auto" w:sz="2" w:space="0"/>
              <w:left w:val="single" w:color="auto" w:sz="2" w:space="0"/>
              <w:bottom w:val="single" w:color="auto" w:sz="2" w:space="0"/>
              <w:right w:val="single" w:color="auto" w:sz="2" w:space="0"/>
            </w:tcBorders>
            <w:vAlign w:val="center"/>
          </w:tcPr>
          <w:p w14:paraId="5F84DDBF">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24316E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-3,859,558.34</w:t>
            </w:r>
          </w:p>
        </w:tc>
      </w:tr>
      <w:tr w14:paraId="779FB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2BDAFA3">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其他综合收益合计</w:t>
            </w:r>
          </w:p>
        </w:tc>
        <w:tc>
          <w:tcPr>
            <w:tcW w:w="1071" w:type="dxa"/>
            <w:tcBorders>
              <w:top w:val="single" w:color="auto" w:sz="2" w:space="0"/>
              <w:left w:val="single" w:color="auto" w:sz="2" w:space="0"/>
              <w:bottom w:val="single" w:color="auto" w:sz="2" w:space="0"/>
              <w:right w:val="single" w:color="auto" w:sz="2" w:space="0"/>
            </w:tcBorders>
            <w:vAlign w:val="center"/>
          </w:tcPr>
          <w:p w14:paraId="4A41F93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-46,388,548.35</w:t>
            </w:r>
          </w:p>
        </w:tc>
        <w:tc>
          <w:tcPr>
            <w:tcW w:w="1071" w:type="dxa"/>
            <w:tcBorders>
              <w:top w:val="single" w:color="auto" w:sz="2" w:space="0"/>
              <w:left w:val="single" w:color="auto" w:sz="2" w:space="0"/>
              <w:bottom w:val="single" w:color="auto" w:sz="2" w:space="0"/>
              <w:right w:val="single" w:color="auto" w:sz="2" w:space="0"/>
            </w:tcBorders>
            <w:vAlign w:val="center"/>
          </w:tcPr>
          <w:p w14:paraId="7B8B260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-125,555.44</w:t>
            </w:r>
          </w:p>
        </w:tc>
        <w:tc>
          <w:tcPr>
            <w:tcW w:w="1071" w:type="dxa"/>
            <w:tcBorders>
              <w:top w:val="single" w:color="auto" w:sz="2" w:space="0"/>
              <w:left w:val="single" w:color="auto" w:sz="2" w:space="0"/>
              <w:bottom w:val="single" w:color="auto" w:sz="2" w:space="0"/>
              <w:right w:val="single" w:color="auto" w:sz="2" w:space="0"/>
            </w:tcBorders>
            <w:vAlign w:val="center"/>
          </w:tcPr>
          <w:p w14:paraId="7518707B">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364ECDE">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2DAE9F9">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0FE4BE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-125,555.44</w:t>
            </w:r>
          </w:p>
        </w:tc>
        <w:tc>
          <w:tcPr>
            <w:tcW w:w="1071" w:type="dxa"/>
            <w:tcBorders>
              <w:top w:val="single" w:color="auto" w:sz="2" w:space="0"/>
              <w:left w:val="single" w:color="auto" w:sz="2" w:space="0"/>
              <w:bottom w:val="single" w:color="auto" w:sz="2" w:space="0"/>
              <w:right w:val="single" w:color="auto" w:sz="2" w:space="0"/>
            </w:tcBorders>
            <w:vAlign w:val="center"/>
          </w:tcPr>
          <w:p w14:paraId="0485C59D">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AC071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-46,514,103.79</w:t>
            </w:r>
          </w:p>
        </w:tc>
      </w:tr>
    </w:tbl>
    <w:p w14:paraId="18B6839C">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其他说明，包括对现金流量套期损益的有效部分转为被套期项目初始确认金额调整：</w:t>
      </w:r>
    </w:p>
    <w:p w14:paraId="5A8802B1">
      <w:pPr>
        <w:pStyle w:val="3"/>
        <w:keepNext/>
        <w:keepLines/>
        <w:spacing w:before="300" w:after="300" w:line="280" w:lineRule="exact"/>
        <w:jc w:val="left"/>
        <w:outlineLvl w:val="2"/>
        <w:rPr>
          <w:rFonts w:ascii="宋体" w:hAnsi="宋体" w:eastAsia="宋体" w:cs="宋体"/>
          <w:b/>
          <w:bCs/>
          <w:sz w:val="21"/>
          <w:szCs w:val="21"/>
        </w:rPr>
      </w:pPr>
      <w:bookmarkStart w:id="357" w:name="_Toc989167"/>
      <w:r>
        <w:rPr>
          <w:rFonts w:hint="default" w:ascii="Times New Roman" w:hAnsi="Times New Roman" w:eastAsia="宋体" w:cs="Times New Roman"/>
          <w:b/>
          <w:bCs/>
          <w:sz w:val="21"/>
          <w:szCs w:val="21"/>
        </w:rPr>
        <w:t>35</w:t>
      </w:r>
      <w:r>
        <w:rPr>
          <w:rFonts w:ascii="宋体" w:hAnsi="宋体" w:eastAsia="宋体" w:cs="宋体"/>
          <w:b/>
          <w:bCs/>
          <w:sz w:val="21"/>
          <w:szCs w:val="21"/>
        </w:rPr>
        <w:t>、盈余公积</w:t>
      </w:r>
      <w:bookmarkEnd w:id="357"/>
    </w:p>
    <w:p w14:paraId="2E03E6E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7DB97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6ED697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CEA5C28">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9436FE8">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37618BF">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F26B55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1D023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F8212B1">
            <w:pPr>
              <w:spacing w:before="40" w:after="40" w:line="240" w:lineRule="exact"/>
              <w:jc w:val="left"/>
              <w:rPr>
                <w:rFonts w:ascii="宋体" w:hAnsi="宋体" w:eastAsia="宋体" w:cs="宋体"/>
                <w:sz w:val="18"/>
                <w:szCs w:val="18"/>
              </w:rPr>
            </w:pPr>
            <w:r>
              <w:rPr>
                <w:rFonts w:ascii="宋体" w:hAnsi="宋体" w:eastAsia="宋体" w:cs="宋体"/>
                <w:sz w:val="18"/>
                <w:szCs w:val="18"/>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14:paraId="6BF10C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50,643,420.67</w:t>
            </w:r>
          </w:p>
        </w:tc>
        <w:tc>
          <w:tcPr>
            <w:tcW w:w="1928" w:type="dxa"/>
            <w:tcBorders>
              <w:top w:val="single" w:color="auto" w:sz="2" w:space="0"/>
              <w:left w:val="single" w:color="auto" w:sz="2" w:space="0"/>
              <w:bottom w:val="single" w:color="auto" w:sz="2" w:space="0"/>
              <w:right w:val="single" w:color="auto" w:sz="2" w:space="0"/>
            </w:tcBorders>
            <w:vAlign w:val="center"/>
          </w:tcPr>
          <w:p w14:paraId="6CA5AB2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331,375.21</w:t>
            </w:r>
          </w:p>
        </w:tc>
        <w:tc>
          <w:tcPr>
            <w:tcW w:w="1928" w:type="dxa"/>
            <w:tcBorders>
              <w:top w:val="single" w:color="auto" w:sz="2" w:space="0"/>
              <w:left w:val="single" w:color="auto" w:sz="2" w:space="0"/>
              <w:bottom w:val="single" w:color="auto" w:sz="2" w:space="0"/>
              <w:right w:val="single" w:color="auto" w:sz="2" w:space="0"/>
            </w:tcBorders>
            <w:vAlign w:val="center"/>
          </w:tcPr>
          <w:p w14:paraId="142C6692">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F1202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50,974,795.88</w:t>
            </w:r>
          </w:p>
        </w:tc>
      </w:tr>
      <w:tr w14:paraId="7BB9C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75B3CDE">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36A3C65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50,643,420.67</w:t>
            </w:r>
          </w:p>
        </w:tc>
        <w:tc>
          <w:tcPr>
            <w:tcW w:w="1928" w:type="dxa"/>
            <w:tcBorders>
              <w:top w:val="single" w:color="auto" w:sz="2" w:space="0"/>
              <w:left w:val="single" w:color="auto" w:sz="2" w:space="0"/>
              <w:bottom w:val="single" w:color="auto" w:sz="2" w:space="0"/>
              <w:right w:val="single" w:color="auto" w:sz="2" w:space="0"/>
            </w:tcBorders>
            <w:vAlign w:val="center"/>
          </w:tcPr>
          <w:p w14:paraId="66D8C43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331,375.21</w:t>
            </w:r>
          </w:p>
        </w:tc>
        <w:tc>
          <w:tcPr>
            <w:tcW w:w="1928" w:type="dxa"/>
            <w:tcBorders>
              <w:top w:val="single" w:color="auto" w:sz="2" w:space="0"/>
              <w:left w:val="single" w:color="auto" w:sz="2" w:space="0"/>
              <w:bottom w:val="single" w:color="auto" w:sz="2" w:space="0"/>
              <w:right w:val="single" w:color="auto" w:sz="2" w:space="0"/>
            </w:tcBorders>
            <w:vAlign w:val="center"/>
          </w:tcPr>
          <w:p w14:paraId="4D5872C0">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6BB322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50,974,795.88</w:t>
            </w:r>
          </w:p>
        </w:tc>
      </w:tr>
    </w:tbl>
    <w:p w14:paraId="77D40159">
      <w:pPr>
        <w:spacing w:before="100" w:after="100" w:line="240" w:lineRule="exact"/>
        <w:jc w:val="left"/>
        <w:rPr>
          <w:rFonts w:ascii="宋体" w:hAnsi="宋体" w:eastAsia="宋体" w:cs="宋体"/>
          <w:sz w:val="18"/>
          <w:szCs w:val="18"/>
        </w:rPr>
      </w:pPr>
      <w:r>
        <w:rPr>
          <w:rFonts w:ascii="宋体" w:hAnsi="宋体" w:eastAsia="宋体" w:cs="宋体"/>
          <w:sz w:val="18"/>
          <w:szCs w:val="18"/>
        </w:rPr>
        <w:t>盈余公积说明，包括本期增减变动情况、变动原因说明：</w:t>
      </w:r>
    </w:p>
    <w:p w14:paraId="242920AE">
      <w:pPr>
        <w:pStyle w:val="3"/>
        <w:keepNext/>
        <w:keepLines/>
        <w:spacing w:before="300" w:after="300" w:line="280" w:lineRule="exact"/>
        <w:jc w:val="left"/>
        <w:outlineLvl w:val="2"/>
        <w:rPr>
          <w:rFonts w:ascii="宋体" w:hAnsi="宋体" w:eastAsia="宋体" w:cs="宋体"/>
          <w:b/>
          <w:bCs/>
          <w:sz w:val="21"/>
          <w:szCs w:val="21"/>
        </w:rPr>
      </w:pPr>
      <w:bookmarkStart w:id="358" w:name="_Toc989168"/>
      <w:r>
        <w:rPr>
          <w:rFonts w:hint="default" w:ascii="Times New Roman" w:hAnsi="Times New Roman" w:eastAsia="宋体" w:cs="Times New Roman"/>
          <w:b/>
          <w:bCs/>
          <w:sz w:val="21"/>
          <w:szCs w:val="21"/>
        </w:rPr>
        <w:t>36</w:t>
      </w:r>
      <w:r>
        <w:rPr>
          <w:rFonts w:ascii="宋体" w:hAnsi="宋体" w:eastAsia="宋体" w:cs="宋体"/>
          <w:b/>
          <w:bCs/>
          <w:sz w:val="21"/>
          <w:szCs w:val="21"/>
        </w:rPr>
        <w:t>、未分配利润</w:t>
      </w:r>
      <w:bookmarkEnd w:id="358"/>
    </w:p>
    <w:p w14:paraId="6184AE9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7220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F8138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BCFF94">
            <w:pPr>
              <w:spacing w:before="40" w:after="40" w:line="240" w:lineRule="exact"/>
              <w:jc w:val="center"/>
              <w:rPr>
                <w:rFonts w:ascii="宋体" w:hAnsi="宋体" w:eastAsia="宋体" w:cs="宋体"/>
                <w:sz w:val="18"/>
                <w:szCs w:val="18"/>
              </w:rPr>
            </w:pPr>
            <w:r>
              <w:rPr>
                <w:rFonts w:ascii="宋体" w:hAnsi="宋体" w:eastAsia="宋体" w:cs="宋体"/>
                <w:sz w:val="18"/>
                <w:szCs w:val="18"/>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2DC502">
            <w:pPr>
              <w:spacing w:before="40" w:after="40" w:line="240" w:lineRule="exact"/>
              <w:jc w:val="center"/>
              <w:rPr>
                <w:rFonts w:ascii="宋体" w:hAnsi="宋体" w:eastAsia="宋体" w:cs="宋体"/>
                <w:sz w:val="18"/>
                <w:szCs w:val="18"/>
              </w:rPr>
            </w:pPr>
            <w:r>
              <w:rPr>
                <w:rFonts w:ascii="宋体" w:hAnsi="宋体" w:eastAsia="宋体" w:cs="宋体"/>
                <w:sz w:val="18"/>
                <w:szCs w:val="18"/>
              </w:rPr>
              <w:t>上期</w:t>
            </w:r>
          </w:p>
        </w:tc>
      </w:tr>
      <w:tr w14:paraId="49CE4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A38DF1">
            <w:pPr>
              <w:spacing w:before="40" w:after="40" w:line="240" w:lineRule="exact"/>
              <w:jc w:val="left"/>
              <w:rPr>
                <w:rFonts w:ascii="宋体" w:hAnsi="宋体" w:eastAsia="宋体" w:cs="宋体"/>
                <w:sz w:val="18"/>
                <w:szCs w:val="18"/>
              </w:rPr>
            </w:pPr>
            <w:r>
              <w:rPr>
                <w:rFonts w:ascii="宋体" w:hAnsi="宋体" w:eastAsia="宋体" w:cs="宋体"/>
                <w:sz w:val="18"/>
                <w:szCs w:val="18"/>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35C2C37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-321,594,027.95</w:t>
            </w:r>
          </w:p>
        </w:tc>
        <w:tc>
          <w:tcPr>
            <w:tcW w:w="3213" w:type="dxa"/>
            <w:tcBorders>
              <w:top w:val="single" w:color="auto" w:sz="2" w:space="0"/>
              <w:left w:val="single" w:color="auto" w:sz="2" w:space="0"/>
              <w:bottom w:val="single" w:color="auto" w:sz="2" w:space="0"/>
              <w:right w:val="single" w:color="auto" w:sz="2" w:space="0"/>
            </w:tcBorders>
            <w:vAlign w:val="center"/>
          </w:tcPr>
          <w:p w14:paraId="116F9EC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-345,477,748.45</w:t>
            </w:r>
          </w:p>
        </w:tc>
      </w:tr>
      <w:tr w14:paraId="78AA3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FB2376">
            <w:pPr>
              <w:spacing w:before="40" w:after="40" w:line="240" w:lineRule="exact"/>
              <w:jc w:val="left"/>
              <w:rPr>
                <w:rFonts w:ascii="宋体" w:hAnsi="宋体" w:eastAsia="宋体" w:cs="宋体"/>
                <w:sz w:val="18"/>
                <w:szCs w:val="18"/>
              </w:rPr>
            </w:pPr>
            <w:r>
              <w:rPr>
                <w:rFonts w:ascii="宋体" w:hAnsi="宋体" w:eastAsia="宋体" w:cs="宋体"/>
                <w:sz w:val="18"/>
                <w:szCs w:val="18"/>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31F1F6E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-321,594,027.95</w:t>
            </w:r>
          </w:p>
        </w:tc>
        <w:tc>
          <w:tcPr>
            <w:tcW w:w="3213" w:type="dxa"/>
            <w:tcBorders>
              <w:top w:val="single" w:color="auto" w:sz="2" w:space="0"/>
              <w:left w:val="single" w:color="auto" w:sz="2" w:space="0"/>
              <w:bottom w:val="single" w:color="auto" w:sz="2" w:space="0"/>
              <w:right w:val="single" w:color="auto" w:sz="2" w:space="0"/>
            </w:tcBorders>
            <w:vAlign w:val="center"/>
          </w:tcPr>
          <w:p w14:paraId="08E1427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-345,477,748.45</w:t>
            </w:r>
          </w:p>
        </w:tc>
      </w:tr>
      <w:tr w14:paraId="2022E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C989AD">
            <w:pPr>
              <w:spacing w:before="40" w:after="40" w:line="240" w:lineRule="exact"/>
              <w:jc w:val="left"/>
              <w:rPr>
                <w:rFonts w:ascii="宋体" w:hAnsi="宋体" w:eastAsia="宋体" w:cs="宋体"/>
                <w:sz w:val="18"/>
                <w:szCs w:val="18"/>
              </w:rPr>
            </w:pPr>
            <w:r>
              <w:rPr>
                <w:rFonts w:ascii="宋体" w:hAnsi="宋体" w:eastAsia="宋体" w:cs="宋体"/>
                <w:sz w:val="18"/>
                <w:szCs w:val="18"/>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14:paraId="78026B3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24,346,028.28</w:t>
            </w:r>
          </w:p>
        </w:tc>
        <w:tc>
          <w:tcPr>
            <w:tcW w:w="3213" w:type="dxa"/>
            <w:tcBorders>
              <w:top w:val="single" w:color="auto" w:sz="2" w:space="0"/>
              <w:left w:val="single" w:color="auto" w:sz="2" w:space="0"/>
              <w:bottom w:val="single" w:color="auto" w:sz="2" w:space="0"/>
              <w:right w:val="single" w:color="auto" w:sz="2" w:space="0"/>
            </w:tcBorders>
            <w:vAlign w:val="center"/>
          </w:tcPr>
          <w:p w14:paraId="25C2392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27,416,909.65</w:t>
            </w:r>
          </w:p>
        </w:tc>
      </w:tr>
      <w:tr w14:paraId="260DD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36BBCE">
            <w:pPr>
              <w:spacing w:before="40" w:after="40" w:line="240" w:lineRule="exact"/>
              <w:jc w:val="left"/>
              <w:rPr>
                <w:rFonts w:ascii="宋体" w:hAnsi="宋体" w:eastAsia="宋体" w:cs="宋体"/>
                <w:sz w:val="18"/>
                <w:szCs w:val="18"/>
              </w:rPr>
            </w:pPr>
            <w:r>
              <w:rPr>
                <w:rFonts w:ascii="宋体" w:hAnsi="宋体" w:eastAsia="宋体" w:cs="宋体"/>
                <w:sz w:val="18"/>
                <w:szCs w:val="18"/>
              </w:rPr>
              <w:t>减：提取法定盈余公积</w:t>
            </w:r>
          </w:p>
        </w:tc>
        <w:tc>
          <w:tcPr>
            <w:tcW w:w="3213" w:type="dxa"/>
            <w:tcBorders>
              <w:top w:val="single" w:color="auto" w:sz="2" w:space="0"/>
              <w:left w:val="single" w:color="auto" w:sz="2" w:space="0"/>
              <w:bottom w:val="single" w:color="auto" w:sz="2" w:space="0"/>
              <w:right w:val="single" w:color="auto" w:sz="2" w:space="0"/>
            </w:tcBorders>
            <w:vAlign w:val="center"/>
          </w:tcPr>
          <w:p w14:paraId="5F9F931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331,375.21</w:t>
            </w:r>
          </w:p>
        </w:tc>
        <w:tc>
          <w:tcPr>
            <w:tcW w:w="3213" w:type="dxa"/>
            <w:tcBorders>
              <w:top w:val="single" w:color="auto" w:sz="2" w:space="0"/>
              <w:left w:val="single" w:color="auto" w:sz="2" w:space="0"/>
              <w:bottom w:val="single" w:color="auto" w:sz="2" w:space="0"/>
              <w:right w:val="single" w:color="auto" w:sz="2" w:space="0"/>
            </w:tcBorders>
            <w:vAlign w:val="center"/>
          </w:tcPr>
          <w:p w14:paraId="0180AE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3,533,189.15</w:t>
            </w:r>
          </w:p>
        </w:tc>
      </w:tr>
      <w:tr w14:paraId="1DEF7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A3BE9E0">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6FD6E7E2">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C5051DF">
            <w:pPr>
              <w:spacing w:before="0" w:after="0" w:line="240" w:lineRule="exact"/>
              <w:jc w:val="right"/>
              <w:rPr>
                <w:rFonts w:hint="default" w:ascii="Times New Roman" w:hAnsi="Times New Roman" w:eastAsia="宋体" w:cs="Times New Roman"/>
                <w:sz w:val="18"/>
                <w:szCs w:val="18"/>
              </w:rPr>
            </w:pPr>
          </w:p>
        </w:tc>
      </w:tr>
      <w:tr w14:paraId="447D0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45DF2B">
            <w:pPr>
              <w:spacing w:before="40" w:after="40" w:line="240" w:lineRule="exact"/>
              <w:jc w:val="left"/>
              <w:rPr>
                <w:rFonts w:ascii="宋体" w:hAnsi="宋体" w:eastAsia="宋体" w:cs="宋体"/>
                <w:sz w:val="18"/>
                <w:szCs w:val="18"/>
              </w:rPr>
            </w:pPr>
            <w:r>
              <w:rPr>
                <w:rFonts w:ascii="宋体" w:hAnsi="宋体" w:eastAsia="宋体" w:cs="宋体"/>
                <w:sz w:val="18"/>
                <w:szCs w:val="18"/>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4EE54B6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-297,579,374.88</w:t>
            </w:r>
          </w:p>
        </w:tc>
        <w:tc>
          <w:tcPr>
            <w:tcW w:w="3213" w:type="dxa"/>
            <w:tcBorders>
              <w:top w:val="single" w:color="auto" w:sz="2" w:space="0"/>
              <w:left w:val="single" w:color="auto" w:sz="2" w:space="0"/>
              <w:bottom w:val="single" w:color="auto" w:sz="2" w:space="0"/>
              <w:right w:val="single" w:color="auto" w:sz="2" w:space="0"/>
            </w:tcBorders>
            <w:vAlign w:val="center"/>
          </w:tcPr>
          <w:p w14:paraId="0D44D4B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-321,594,027.95</w:t>
            </w:r>
          </w:p>
        </w:tc>
      </w:tr>
    </w:tbl>
    <w:p w14:paraId="248A8FAF">
      <w:pPr>
        <w:spacing w:before="100" w:after="100" w:line="240" w:lineRule="exact"/>
        <w:jc w:val="left"/>
        <w:rPr>
          <w:rFonts w:ascii="宋体" w:hAnsi="宋体" w:eastAsia="宋体" w:cs="宋体"/>
          <w:sz w:val="18"/>
          <w:szCs w:val="18"/>
        </w:rPr>
      </w:pPr>
      <w:r>
        <w:rPr>
          <w:rFonts w:ascii="宋体" w:hAnsi="宋体" w:eastAsia="宋体" w:cs="宋体"/>
          <w:sz w:val="18"/>
          <w:szCs w:val="18"/>
        </w:rPr>
        <w:t>调整期初未分配利润明细：</w:t>
      </w:r>
    </w:p>
    <w:p w14:paraId="5BE45A22">
      <w:pPr>
        <w:spacing w:before="100" w:after="10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）、由于《企业会计准则》及其相关新规定进行追溯调整，影响期初未分配利润</w:t>
      </w:r>
      <w:r>
        <w:rPr>
          <w:rFonts w:hint="default" w:ascii="Times New Roman" w:hAnsi="Times New Roman" w:eastAsia="宋体" w:cs="Times New Roman"/>
          <w:sz w:val="18"/>
          <w:szCs w:val="18"/>
        </w:rPr>
        <w:t>0</w:t>
      </w:r>
      <w:r>
        <w:rPr>
          <w:rFonts w:ascii="宋体" w:hAnsi="宋体" w:eastAsia="宋体" w:cs="宋体"/>
          <w:sz w:val="18"/>
          <w:szCs w:val="18"/>
        </w:rPr>
        <w:t>.</w:t>
      </w:r>
      <w:r>
        <w:rPr>
          <w:rFonts w:hint="default" w:ascii="Times New Roman" w:hAnsi="Times New Roman" w:eastAsia="宋体" w:cs="Times New Roman"/>
          <w:sz w:val="18"/>
          <w:szCs w:val="18"/>
        </w:rPr>
        <w:t>00</w:t>
      </w:r>
      <w:r>
        <w:rPr>
          <w:rFonts w:ascii="宋体" w:hAnsi="宋体" w:eastAsia="宋体" w:cs="宋体"/>
          <w:sz w:val="18"/>
          <w:szCs w:val="18"/>
        </w:rPr>
        <w:t>元。</w:t>
      </w:r>
    </w:p>
    <w:p w14:paraId="2CE4684D">
      <w:pPr>
        <w:spacing w:before="100" w:after="100" w:line="240" w:lineRule="exact"/>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）、由于会计政策变更，影响期初未分配利润</w:t>
      </w:r>
      <w:r>
        <w:rPr>
          <w:rFonts w:hint="default" w:ascii="Times New Roman" w:hAnsi="Times New Roman" w:eastAsia="宋体" w:cs="Times New Roman"/>
          <w:sz w:val="18"/>
          <w:szCs w:val="18"/>
        </w:rPr>
        <w:t>0</w:t>
      </w:r>
      <w:r>
        <w:rPr>
          <w:rFonts w:ascii="宋体" w:hAnsi="宋体" w:eastAsia="宋体" w:cs="宋体"/>
          <w:sz w:val="18"/>
          <w:szCs w:val="18"/>
        </w:rPr>
        <w:t>.</w:t>
      </w:r>
      <w:r>
        <w:rPr>
          <w:rFonts w:hint="default" w:ascii="Times New Roman" w:hAnsi="Times New Roman" w:eastAsia="宋体" w:cs="Times New Roman"/>
          <w:sz w:val="18"/>
          <w:szCs w:val="18"/>
        </w:rPr>
        <w:t>00</w:t>
      </w:r>
      <w:r>
        <w:rPr>
          <w:rFonts w:ascii="宋体" w:hAnsi="宋体" w:eastAsia="宋体" w:cs="宋体"/>
          <w:sz w:val="18"/>
          <w:szCs w:val="18"/>
        </w:rPr>
        <w:t>元。</w:t>
      </w:r>
    </w:p>
    <w:p w14:paraId="2995BEA2">
      <w:pPr>
        <w:spacing w:before="100" w:after="100" w:line="240" w:lineRule="exact"/>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）、由于重大会计差错更正，影响期初未分配利润</w:t>
      </w:r>
      <w:r>
        <w:rPr>
          <w:rFonts w:hint="default" w:ascii="Times New Roman" w:hAnsi="Times New Roman" w:eastAsia="宋体" w:cs="Times New Roman"/>
          <w:sz w:val="18"/>
          <w:szCs w:val="18"/>
        </w:rPr>
        <w:t>0</w:t>
      </w:r>
      <w:r>
        <w:rPr>
          <w:rFonts w:ascii="宋体" w:hAnsi="宋体" w:eastAsia="宋体" w:cs="宋体"/>
          <w:sz w:val="18"/>
          <w:szCs w:val="18"/>
        </w:rPr>
        <w:t>.</w:t>
      </w:r>
      <w:r>
        <w:rPr>
          <w:rFonts w:hint="default" w:ascii="Times New Roman" w:hAnsi="Times New Roman" w:eastAsia="宋体" w:cs="Times New Roman"/>
          <w:sz w:val="18"/>
          <w:szCs w:val="18"/>
        </w:rPr>
        <w:t>00</w:t>
      </w:r>
      <w:r>
        <w:rPr>
          <w:rFonts w:ascii="宋体" w:hAnsi="宋体" w:eastAsia="宋体" w:cs="宋体"/>
          <w:sz w:val="18"/>
          <w:szCs w:val="18"/>
        </w:rPr>
        <w:t>元。</w:t>
      </w:r>
    </w:p>
    <w:p w14:paraId="12BAD491">
      <w:pPr>
        <w:spacing w:before="100" w:after="100" w:line="240" w:lineRule="exact"/>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）、由于同一控制导致的合并范围变更，影响期初未分配利润</w:t>
      </w:r>
      <w:r>
        <w:rPr>
          <w:rFonts w:hint="default" w:ascii="Times New Roman" w:hAnsi="Times New Roman" w:eastAsia="宋体" w:cs="Times New Roman"/>
          <w:sz w:val="18"/>
          <w:szCs w:val="18"/>
        </w:rPr>
        <w:t>0</w:t>
      </w:r>
      <w:r>
        <w:rPr>
          <w:rFonts w:ascii="宋体" w:hAnsi="宋体" w:eastAsia="宋体" w:cs="宋体"/>
          <w:sz w:val="18"/>
          <w:szCs w:val="18"/>
        </w:rPr>
        <w:t>.</w:t>
      </w:r>
      <w:r>
        <w:rPr>
          <w:rFonts w:hint="default" w:ascii="Times New Roman" w:hAnsi="Times New Roman" w:eastAsia="宋体" w:cs="Times New Roman"/>
          <w:sz w:val="18"/>
          <w:szCs w:val="18"/>
        </w:rPr>
        <w:t>00</w:t>
      </w:r>
      <w:r>
        <w:rPr>
          <w:rFonts w:ascii="宋体" w:hAnsi="宋体" w:eastAsia="宋体" w:cs="宋体"/>
          <w:sz w:val="18"/>
          <w:szCs w:val="18"/>
        </w:rPr>
        <w:t>元。</w:t>
      </w:r>
    </w:p>
    <w:p w14:paraId="50D31A52">
      <w:pPr>
        <w:spacing w:before="100" w:after="100" w:line="240" w:lineRule="exact"/>
        <w:jc w:val="left"/>
        <w:rPr>
          <w:rFonts w:ascii="宋体" w:hAnsi="宋体" w:eastAsia="宋体" w:cs="宋体"/>
          <w:sz w:val="18"/>
          <w:szCs w:val="18"/>
        </w:rPr>
      </w:pPr>
      <w:r>
        <w:rPr>
          <w:rFonts w:hint="default" w:ascii="Times New Roman" w:hAnsi="Times New Roman" w:eastAsia="宋体" w:cs="Times New Roman"/>
          <w:sz w:val="18"/>
          <w:szCs w:val="18"/>
        </w:rPr>
        <w:t>5</w:t>
      </w:r>
      <w:r>
        <w:rPr>
          <w:rFonts w:ascii="宋体" w:hAnsi="宋体" w:eastAsia="宋体" w:cs="宋体"/>
          <w:sz w:val="18"/>
          <w:szCs w:val="18"/>
        </w:rPr>
        <w:t>）、其他调整合计影响期初未分配利润</w:t>
      </w:r>
      <w:r>
        <w:rPr>
          <w:rFonts w:hint="default" w:ascii="Times New Roman" w:hAnsi="Times New Roman" w:eastAsia="宋体" w:cs="Times New Roman"/>
          <w:sz w:val="18"/>
          <w:szCs w:val="18"/>
        </w:rPr>
        <w:t>0</w:t>
      </w:r>
      <w:r>
        <w:rPr>
          <w:rFonts w:ascii="宋体" w:hAnsi="宋体" w:eastAsia="宋体" w:cs="宋体"/>
          <w:sz w:val="18"/>
          <w:szCs w:val="18"/>
        </w:rPr>
        <w:t>.</w:t>
      </w:r>
      <w:r>
        <w:rPr>
          <w:rFonts w:hint="default" w:ascii="Times New Roman" w:hAnsi="Times New Roman" w:eastAsia="宋体" w:cs="Times New Roman"/>
          <w:sz w:val="18"/>
          <w:szCs w:val="18"/>
        </w:rPr>
        <w:t>00</w:t>
      </w:r>
      <w:r>
        <w:rPr>
          <w:rFonts w:ascii="宋体" w:hAnsi="宋体" w:eastAsia="宋体" w:cs="宋体"/>
          <w:sz w:val="18"/>
          <w:szCs w:val="18"/>
        </w:rPr>
        <w:t>元。</w:t>
      </w:r>
    </w:p>
    <w:p w14:paraId="168DFE63">
      <w:pPr>
        <w:spacing w:before="100" w:after="100" w:line="240" w:lineRule="exact"/>
        <w:jc w:val="left"/>
        <w:rPr>
          <w:rFonts w:ascii="宋体" w:hAnsi="宋体" w:eastAsia="宋体" w:cs="宋体"/>
          <w:sz w:val="18"/>
          <w:szCs w:val="18"/>
        </w:rPr>
      </w:pPr>
      <w:r>
        <w:rPr>
          <w:rFonts w:ascii="宋体" w:hAnsi="宋体" w:eastAsia="宋体" w:cs="宋体"/>
          <w:sz w:val="18"/>
          <w:szCs w:val="18"/>
        </w:rPr>
        <w:t>使用资本公积弥补亏损详细情况说明：</w:t>
      </w:r>
    </w:p>
    <w:p w14:paraId="2500CFE3">
      <w:pPr>
        <w:pStyle w:val="3"/>
        <w:keepNext/>
        <w:keepLines/>
        <w:spacing w:before="300" w:after="300" w:line="280" w:lineRule="exact"/>
        <w:jc w:val="left"/>
        <w:outlineLvl w:val="2"/>
        <w:rPr>
          <w:rFonts w:ascii="宋体" w:hAnsi="宋体" w:eastAsia="宋体" w:cs="宋体"/>
          <w:b/>
          <w:bCs/>
          <w:sz w:val="21"/>
          <w:szCs w:val="21"/>
        </w:rPr>
      </w:pPr>
      <w:bookmarkStart w:id="359" w:name="_Toc989169"/>
      <w:r>
        <w:rPr>
          <w:rFonts w:hint="default" w:ascii="Times New Roman" w:hAnsi="Times New Roman" w:eastAsia="宋体" w:cs="Times New Roman"/>
          <w:b/>
          <w:bCs/>
          <w:sz w:val="21"/>
          <w:szCs w:val="21"/>
        </w:rPr>
        <w:t>37</w:t>
      </w:r>
      <w:r>
        <w:rPr>
          <w:rFonts w:ascii="宋体" w:hAnsi="宋体" w:eastAsia="宋体" w:cs="宋体"/>
          <w:b/>
          <w:bCs/>
          <w:sz w:val="21"/>
          <w:szCs w:val="21"/>
        </w:rPr>
        <w:t>、营业收入和营业成本</w:t>
      </w:r>
      <w:bookmarkEnd w:id="359"/>
    </w:p>
    <w:p w14:paraId="06A867C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0A85C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AB7E2F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7782E41">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FC7B9FA">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0658D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B4BA4F2"/>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05746BD">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2D9B34C">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14FF927">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058750C">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14:paraId="274B8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1E8921D">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14:paraId="77F3804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372,844,533.44</w:t>
            </w:r>
          </w:p>
        </w:tc>
        <w:tc>
          <w:tcPr>
            <w:tcW w:w="1928" w:type="dxa"/>
            <w:tcBorders>
              <w:top w:val="single" w:color="auto" w:sz="2" w:space="0"/>
              <w:left w:val="single" w:color="auto" w:sz="2" w:space="0"/>
              <w:bottom w:val="single" w:color="auto" w:sz="2" w:space="0"/>
              <w:right w:val="single" w:color="auto" w:sz="2" w:space="0"/>
            </w:tcBorders>
            <w:vAlign w:val="center"/>
          </w:tcPr>
          <w:p w14:paraId="232C0E9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77,390,998.74</w:t>
            </w:r>
          </w:p>
        </w:tc>
        <w:tc>
          <w:tcPr>
            <w:tcW w:w="1928" w:type="dxa"/>
            <w:tcBorders>
              <w:top w:val="single" w:color="auto" w:sz="2" w:space="0"/>
              <w:left w:val="single" w:color="auto" w:sz="2" w:space="0"/>
              <w:bottom w:val="single" w:color="auto" w:sz="2" w:space="0"/>
              <w:right w:val="single" w:color="auto" w:sz="2" w:space="0"/>
            </w:tcBorders>
            <w:vAlign w:val="center"/>
          </w:tcPr>
          <w:p w14:paraId="6370BCC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363,517,929.52</w:t>
            </w:r>
          </w:p>
        </w:tc>
        <w:tc>
          <w:tcPr>
            <w:tcW w:w="1928" w:type="dxa"/>
            <w:tcBorders>
              <w:top w:val="single" w:color="auto" w:sz="2" w:space="0"/>
              <w:left w:val="single" w:color="auto" w:sz="2" w:space="0"/>
              <w:bottom w:val="single" w:color="auto" w:sz="2" w:space="0"/>
              <w:right w:val="single" w:color="auto" w:sz="2" w:space="0"/>
            </w:tcBorders>
            <w:vAlign w:val="center"/>
          </w:tcPr>
          <w:p w14:paraId="08E548D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66,240,303.29</w:t>
            </w:r>
          </w:p>
        </w:tc>
      </w:tr>
      <w:tr w14:paraId="3DBBF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CC7AAFF">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14:paraId="79874DE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14,905,234.46</w:t>
            </w:r>
          </w:p>
        </w:tc>
        <w:tc>
          <w:tcPr>
            <w:tcW w:w="1928" w:type="dxa"/>
            <w:tcBorders>
              <w:top w:val="single" w:color="auto" w:sz="2" w:space="0"/>
              <w:left w:val="single" w:color="auto" w:sz="2" w:space="0"/>
              <w:bottom w:val="single" w:color="auto" w:sz="2" w:space="0"/>
              <w:right w:val="single" w:color="auto" w:sz="2" w:space="0"/>
            </w:tcBorders>
            <w:vAlign w:val="center"/>
          </w:tcPr>
          <w:p w14:paraId="7A39481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11,279,269.00</w:t>
            </w:r>
          </w:p>
        </w:tc>
        <w:tc>
          <w:tcPr>
            <w:tcW w:w="1928" w:type="dxa"/>
            <w:tcBorders>
              <w:top w:val="single" w:color="auto" w:sz="2" w:space="0"/>
              <w:left w:val="single" w:color="auto" w:sz="2" w:space="0"/>
              <w:bottom w:val="single" w:color="auto" w:sz="2" w:space="0"/>
              <w:right w:val="single" w:color="auto" w:sz="2" w:space="0"/>
            </w:tcBorders>
            <w:vAlign w:val="center"/>
          </w:tcPr>
          <w:p w14:paraId="266D1BA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13,965,174.28</w:t>
            </w:r>
          </w:p>
        </w:tc>
        <w:tc>
          <w:tcPr>
            <w:tcW w:w="1928" w:type="dxa"/>
            <w:tcBorders>
              <w:top w:val="single" w:color="auto" w:sz="2" w:space="0"/>
              <w:left w:val="single" w:color="auto" w:sz="2" w:space="0"/>
              <w:bottom w:val="single" w:color="auto" w:sz="2" w:space="0"/>
              <w:right w:val="single" w:color="auto" w:sz="2" w:space="0"/>
            </w:tcBorders>
            <w:vAlign w:val="center"/>
          </w:tcPr>
          <w:p w14:paraId="431EF0B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11,285,540.40</w:t>
            </w:r>
          </w:p>
        </w:tc>
      </w:tr>
      <w:tr w14:paraId="5DEEA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4C878F4">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3797D11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387,749,767.90</w:t>
            </w:r>
          </w:p>
        </w:tc>
        <w:tc>
          <w:tcPr>
            <w:tcW w:w="1928" w:type="dxa"/>
            <w:tcBorders>
              <w:top w:val="single" w:color="auto" w:sz="2" w:space="0"/>
              <w:left w:val="single" w:color="auto" w:sz="2" w:space="0"/>
              <w:bottom w:val="single" w:color="auto" w:sz="2" w:space="0"/>
              <w:right w:val="single" w:color="auto" w:sz="2" w:space="0"/>
            </w:tcBorders>
            <w:vAlign w:val="center"/>
          </w:tcPr>
          <w:p w14:paraId="72DAF04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88,670,267.74</w:t>
            </w:r>
          </w:p>
        </w:tc>
        <w:tc>
          <w:tcPr>
            <w:tcW w:w="1928" w:type="dxa"/>
            <w:tcBorders>
              <w:top w:val="single" w:color="auto" w:sz="2" w:space="0"/>
              <w:left w:val="single" w:color="auto" w:sz="2" w:space="0"/>
              <w:bottom w:val="single" w:color="auto" w:sz="2" w:space="0"/>
              <w:right w:val="single" w:color="auto" w:sz="2" w:space="0"/>
            </w:tcBorders>
            <w:vAlign w:val="center"/>
          </w:tcPr>
          <w:p w14:paraId="2142335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377,483,103.80</w:t>
            </w:r>
          </w:p>
        </w:tc>
        <w:tc>
          <w:tcPr>
            <w:tcW w:w="1928" w:type="dxa"/>
            <w:tcBorders>
              <w:top w:val="single" w:color="auto" w:sz="2" w:space="0"/>
              <w:left w:val="single" w:color="auto" w:sz="2" w:space="0"/>
              <w:bottom w:val="single" w:color="auto" w:sz="2" w:space="0"/>
              <w:right w:val="single" w:color="auto" w:sz="2" w:space="0"/>
            </w:tcBorders>
            <w:vAlign w:val="center"/>
          </w:tcPr>
          <w:p w14:paraId="10C12CB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77,525,843.69</w:t>
            </w:r>
          </w:p>
        </w:tc>
      </w:tr>
    </w:tbl>
    <w:p w14:paraId="64AF3C5A">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公司报告期内经审计利润总额、净利润、扣除非经常性损益后的净利润三者孰低为负值</w:t>
      </w:r>
    </w:p>
    <w:p w14:paraId="69734D94">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01D4FCBA">
      <w:pPr>
        <w:spacing w:before="0" w:after="0" w:line="240" w:lineRule="exact"/>
        <w:jc w:val="left"/>
        <w:rPr>
          <w:rFonts w:ascii="宋体" w:hAnsi="宋体" w:eastAsia="宋体" w:cs="宋体"/>
          <w:sz w:val="18"/>
          <w:szCs w:val="18"/>
        </w:rPr>
      </w:pPr>
      <w:r>
        <w:rPr>
          <w:rFonts w:ascii="宋体" w:hAnsi="宋体" w:eastAsia="宋体" w:cs="宋体"/>
          <w:sz w:val="18"/>
          <w:szCs w:val="18"/>
        </w:rPr>
        <w:t>营业收入、营业成本的分解信息：</w:t>
      </w:r>
    </w:p>
    <w:p w14:paraId="34BDAC6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09B22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6FAF9D9">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C1C7569">
            <w:pPr>
              <w:spacing w:before="40" w:after="40" w:line="240" w:lineRule="exact"/>
              <w:jc w:val="center"/>
              <w:rPr>
                <w:rFonts w:ascii="宋体" w:hAnsi="宋体" w:eastAsia="宋体" w:cs="宋体"/>
                <w:sz w:val="18"/>
                <w:szCs w:val="18"/>
              </w:rPr>
            </w:pPr>
            <w:r>
              <w:rPr>
                <w:rFonts w:ascii="宋体" w:hAnsi="宋体" w:eastAsia="宋体" w:cs="宋体"/>
                <w:sz w:val="18"/>
                <w:szCs w:val="18"/>
              </w:rPr>
              <w:t>分部</w:t>
            </w:r>
            <w:r>
              <w:rPr>
                <w:rFonts w:hint="default" w:ascii="Times New Roman" w:hAnsi="Times New Roman" w:eastAsia="宋体" w:cs="Times New Roman"/>
                <w:sz w:val="18"/>
                <w:szCs w:val="18"/>
              </w:rPr>
              <w:t>1</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A53650E">
            <w:pPr>
              <w:spacing w:before="40" w:after="40" w:line="240" w:lineRule="exact"/>
              <w:jc w:val="center"/>
              <w:rPr>
                <w:rFonts w:ascii="宋体" w:hAnsi="宋体" w:eastAsia="宋体" w:cs="宋体"/>
                <w:sz w:val="18"/>
                <w:szCs w:val="18"/>
              </w:rPr>
            </w:pPr>
            <w:r>
              <w:rPr>
                <w:rFonts w:ascii="宋体" w:hAnsi="宋体" w:eastAsia="宋体" w:cs="宋体"/>
                <w:sz w:val="18"/>
                <w:szCs w:val="18"/>
              </w:rPr>
              <w:t>分部</w:t>
            </w:r>
            <w:r>
              <w:rPr>
                <w:rFonts w:hint="default" w:ascii="Times New Roman" w:hAnsi="Times New Roman" w:eastAsia="宋体" w:cs="Times New Roman"/>
                <w:sz w:val="18"/>
                <w:szCs w:val="18"/>
              </w:rPr>
              <w:t>2</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7006699F">
            <w:pPr>
              <w:spacing w:before="0" w:after="0" w:line="240" w:lineRule="exact"/>
              <w:jc w:val="center"/>
              <w:rPr>
                <w:rFonts w:ascii="宋体" w:hAnsi="宋体" w:eastAsia="宋体" w:cs="宋体"/>
                <w:sz w:val="18"/>
                <w:szCs w:val="18"/>
              </w:rPr>
            </w:pP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2B66F90">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236EC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F7747C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F69AA82">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3AD1C42">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E01C0E8">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9D11872">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6A86D9B">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99DFA33">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9AFC011">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77365B9">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r>
      <w:tr w14:paraId="55FEB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A2CCCBB">
            <w:pPr>
              <w:spacing w:before="40" w:after="40" w:line="240" w:lineRule="exact"/>
              <w:jc w:val="left"/>
              <w:rPr>
                <w:rFonts w:ascii="宋体" w:hAnsi="宋体" w:eastAsia="宋体" w:cs="宋体"/>
                <w:sz w:val="18"/>
                <w:szCs w:val="18"/>
              </w:rPr>
            </w:pPr>
            <w:r>
              <w:rPr>
                <w:rFonts w:ascii="宋体" w:hAnsi="宋体" w:eastAsia="宋体" w:cs="宋体"/>
                <w:sz w:val="18"/>
                <w:szCs w:val="18"/>
              </w:rPr>
              <w:t>业务类型</w:t>
            </w:r>
          </w:p>
        </w:tc>
        <w:tc>
          <w:tcPr>
            <w:tcW w:w="1071" w:type="dxa"/>
            <w:tcBorders>
              <w:top w:val="single" w:color="auto" w:sz="2" w:space="0"/>
              <w:left w:val="single" w:color="auto" w:sz="2" w:space="0"/>
              <w:bottom w:val="single" w:color="auto" w:sz="2" w:space="0"/>
              <w:right w:val="single" w:color="auto" w:sz="2" w:space="0"/>
            </w:tcBorders>
            <w:vAlign w:val="center"/>
          </w:tcPr>
          <w:p w14:paraId="38983BD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022086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097C1C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A030CA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AC44B6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384BA5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01FDB1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5E6EA76">
            <w:pPr>
              <w:spacing w:before="0" w:after="0" w:line="240" w:lineRule="exact"/>
              <w:jc w:val="right"/>
              <w:rPr>
                <w:rFonts w:ascii="宋体" w:hAnsi="宋体" w:eastAsia="宋体" w:cs="宋体"/>
                <w:sz w:val="18"/>
                <w:szCs w:val="18"/>
              </w:rPr>
            </w:pPr>
          </w:p>
        </w:tc>
      </w:tr>
      <w:tr w14:paraId="52675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B8DBB3A">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B988F3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5D7DC8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80CC6B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91A55F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86A878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9130AE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D192DE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11BF14E"/>
        </w:tc>
      </w:tr>
      <w:tr w14:paraId="5EA60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5998C69">
            <w:pPr>
              <w:spacing w:before="0" w:after="0" w:line="240" w:lineRule="exact"/>
              <w:jc w:val="left"/>
              <w:rPr>
                <w:rFonts w:ascii="宋体" w:hAnsi="宋体" w:eastAsia="宋体" w:cs="宋体"/>
                <w:sz w:val="18"/>
                <w:szCs w:val="18"/>
              </w:rPr>
            </w:pPr>
            <w:r>
              <w:rPr>
                <w:rFonts w:ascii="宋体" w:hAnsi="宋体" w:eastAsia="宋体" w:cs="宋体"/>
                <w:sz w:val="18"/>
                <w:szCs w:val="18"/>
              </w:rPr>
              <w:t>医疗器械</w:t>
            </w:r>
          </w:p>
        </w:tc>
        <w:tc>
          <w:tcPr>
            <w:tcW w:w="1071" w:type="dxa"/>
            <w:tcBorders>
              <w:top w:val="single" w:color="auto" w:sz="2" w:space="0"/>
              <w:left w:val="single" w:color="auto" w:sz="2" w:space="0"/>
              <w:bottom w:val="single" w:color="auto" w:sz="2" w:space="0"/>
              <w:right w:val="single" w:color="auto" w:sz="2" w:space="0"/>
            </w:tcBorders>
            <w:vAlign w:val="center"/>
          </w:tcPr>
          <w:p w14:paraId="6F760F0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283,283,972.07</w:t>
            </w:r>
          </w:p>
        </w:tc>
        <w:tc>
          <w:tcPr>
            <w:tcW w:w="1071" w:type="dxa"/>
            <w:tcBorders>
              <w:top w:val="single" w:color="auto" w:sz="2" w:space="0"/>
              <w:left w:val="single" w:color="auto" w:sz="2" w:space="0"/>
              <w:bottom w:val="single" w:color="auto" w:sz="2" w:space="0"/>
              <w:right w:val="single" w:color="auto" w:sz="2" w:space="0"/>
            </w:tcBorders>
            <w:vAlign w:val="center"/>
          </w:tcPr>
          <w:p w14:paraId="1049F72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61,950,611.62</w:t>
            </w:r>
          </w:p>
        </w:tc>
        <w:tc>
          <w:tcPr>
            <w:tcW w:w="1071" w:type="dxa"/>
            <w:tcBorders>
              <w:top w:val="single" w:color="auto" w:sz="2" w:space="0"/>
              <w:left w:val="single" w:color="auto" w:sz="2" w:space="0"/>
              <w:bottom w:val="single" w:color="auto" w:sz="2" w:space="0"/>
              <w:right w:val="single" w:color="auto" w:sz="2" w:space="0"/>
            </w:tcBorders>
            <w:vAlign w:val="center"/>
          </w:tcPr>
          <w:p w14:paraId="45D6698F">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E56280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C09F6AB">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3F5B2C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2987BA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283,283,972.07</w:t>
            </w:r>
          </w:p>
        </w:tc>
        <w:tc>
          <w:tcPr>
            <w:tcW w:w="1071" w:type="dxa"/>
            <w:tcBorders>
              <w:top w:val="single" w:color="auto" w:sz="2" w:space="0"/>
              <w:left w:val="single" w:color="auto" w:sz="2" w:space="0"/>
              <w:bottom w:val="single" w:color="auto" w:sz="2" w:space="0"/>
              <w:right w:val="single" w:color="auto" w:sz="2" w:space="0"/>
            </w:tcBorders>
            <w:vAlign w:val="center"/>
          </w:tcPr>
          <w:p w14:paraId="11AB09A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61,950,611.62</w:t>
            </w:r>
          </w:p>
        </w:tc>
      </w:tr>
      <w:tr w14:paraId="5C1EA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D9547BF">
            <w:pPr>
              <w:spacing w:before="0" w:after="0" w:line="240" w:lineRule="exact"/>
              <w:jc w:val="left"/>
              <w:rPr>
                <w:rFonts w:ascii="宋体" w:hAnsi="宋体" w:eastAsia="宋体" w:cs="宋体"/>
                <w:sz w:val="18"/>
                <w:szCs w:val="18"/>
              </w:rPr>
            </w:pPr>
            <w:r>
              <w:rPr>
                <w:rFonts w:ascii="宋体" w:hAnsi="宋体" w:eastAsia="宋体" w:cs="宋体"/>
                <w:sz w:val="18"/>
                <w:szCs w:val="18"/>
              </w:rPr>
              <w:t>药品</w:t>
            </w:r>
          </w:p>
        </w:tc>
        <w:tc>
          <w:tcPr>
            <w:tcW w:w="1071" w:type="dxa"/>
            <w:tcBorders>
              <w:top w:val="single" w:color="auto" w:sz="2" w:space="0"/>
              <w:left w:val="single" w:color="auto" w:sz="2" w:space="0"/>
              <w:bottom w:val="single" w:color="auto" w:sz="2" w:space="0"/>
              <w:right w:val="single" w:color="auto" w:sz="2" w:space="0"/>
            </w:tcBorders>
            <w:vAlign w:val="center"/>
          </w:tcPr>
          <w:p w14:paraId="65A9366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57,875,163.56</w:t>
            </w:r>
          </w:p>
        </w:tc>
        <w:tc>
          <w:tcPr>
            <w:tcW w:w="1071" w:type="dxa"/>
            <w:tcBorders>
              <w:top w:val="single" w:color="auto" w:sz="2" w:space="0"/>
              <w:left w:val="single" w:color="auto" w:sz="2" w:space="0"/>
              <w:bottom w:val="single" w:color="auto" w:sz="2" w:space="0"/>
              <w:right w:val="single" w:color="auto" w:sz="2" w:space="0"/>
            </w:tcBorders>
            <w:vAlign w:val="center"/>
          </w:tcPr>
          <w:p w14:paraId="44ACA31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8,945,707.58</w:t>
            </w:r>
          </w:p>
        </w:tc>
        <w:tc>
          <w:tcPr>
            <w:tcW w:w="1071" w:type="dxa"/>
            <w:tcBorders>
              <w:top w:val="single" w:color="auto" w:sz="2" w:space="0"/>
              <w:left w:val="single" w:color="auto" w:sz="2" w:space="0"/>
              <w:bottom w:val="single" w:color="auto" w:sz="2" w:space="0"/>
              <w:right w:val="single" w:color="auto" w:sz="2" w:space="0"/>
            </w:tcBorders>
            <w:vAlign w:val="center"/>
          </w:tcPr>
          <w:p w14:paraId="0BF6E9E9">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20DB02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C9556C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AFF1533">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E1F4F2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57,875,163.56</w:t>
            </w:r>
          </w:p>
        </w:tc>
        <w:tc>
          <w:tcPr>
            <w:tcW w:w="1071" w:type="dxa"/>
            <w:tcBorders>
              <w:top w:val="single" w:color="auto" w:sz="2" w:space="0"/>
              <w:left w:val="single" w:color="auto" w:sz="2" w:space="0"/>
              <w:bottom w:val="single" w:color="auto" w:sz="2" w:space="0"/>
              <w:right w:val="single" w:color="auto" w:sz="2" w:space="0"/>
            </w:tcBorders>
            <w:vAlign w:val="center"/>
          </w:tcPr>
          <w:p w14:paraId="55E32EC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8,945,707.58</w:t>
            </w:r>
          </w:p>
        </w:tc>
      </w:tr>
      <w:tr w14:paraId="1D31B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1C5A3F8">
            <w:pPr>
              <w:spacing w:before="0" w:after="0" w:line="240" w:lineRule="exact"/>
              <w:jc w:val="left"/>
              <w:rPr>
                <w:rFonts w:ascii="宋体" w:hAnsi="宋体" w:eastAsia="宋体" w:cs="宋体"/>
                <w:sz w:val="18"/>
                <w:szCs w:val="18"/>
              </w:rPr>
            </w:pPr>
            <w:r>
              <w:rPr>
                <w:rFonts w:ascii="宋体" w:hAnsi="宋体" w:eastAsia="宋体" w:cs="宋体"/>
                <w:sz w:val="18"/>
                <w:szCs w:val="18"/>
              </w:rPr>
              <w:t>租赁及其他</w:t>
            </w:r>
          </w:p>
        </w:tc>
        <w:tc>
          <w:tcPr>
            <w:tcW w:w="1071" w:type="dxa"/>
            <w:tcBorders>
              <w:top w:val="single" w:color="auto" w:sz="2" w:space="0"/>
              <w:left w:val="single" w:color="auto" w:sz="2" w:space="0"/>
              <w:bottom w:val="single" w:color="auto" w:sz="2" w:space="0"/>
              <w:right w:val="single" w:color="auto" w:sz="2" w:space="0"/>
            </w:tcBorders>
            <w:vAlign w:val="center"/>
          </w:tcPr>
          <w:p w14:paraId="411BFF3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46,590,632.27</w:t>
            </w:r>
          </w:p>
        </w:tc>
        <w:tc>
          <w:tcPr>
            <w:tcW w:w="1071" w:type="dxa"/>
            <w:tcBorders>
              <w:top w:val="single" w:color="auto" w:sz="2" w:space="0"/>
              <w:left w:val="single" w:color="auto" w:sz="2" w:space="0"/>
              <w:bottom w:val="single" w:color="auto" w:sz="2" w:space="0"/>
              <w:right w:val="single" w:color="auto" w:sz="2" w:space="0"/>
            </w:tcBorders>
            <w:vAlign w:val="center"/>
          </w:tcPr>
          <w:p w14:paraId="2104B3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17,773,948.54</w:t>
            </w:r>
          </w:p>
        </w:tc>
        <w:tc>
          <w:tcPr>
            <w:tcW w:w="1071" w:type="dxa"/>
            <w:tcBorders>
              <w:top w:val="single" w:color="auto" w:sz="2" w:space="0"/>
              <w:left w:val="single" w:color="auto" w:sz="2" w:space="0"/>
              <w:bottom w:val="single" w:color="auto" w:sz="2" w:space="0"/>
              <w:right w:val="single" w:color="auto" w:sz="2" w:space="0"/>
            </w:tcBorders>
            <w:vAlign w:val="center"/>
          </w:tcPr>
          <w:p w14:paraId="0B2A3EEE">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7075D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C549EA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88FA03B">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B4011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46,590,632.27</w:t>
            </w:r>
          </w:p>
        </w:tc>
        <w:tc>
          <w:tcPr>
            <w:tcW w:w="1071" w:type="dxa"/>
            <w:tcBorders>
              <w:top w:val="single" w:color="auto" w:sz="2" w:space="0"/>
              <w:left w:val="single" w:color="auto" w:sz="2" w:space="0"/>
              <w:bottom w:val="single" w:color="auto" w:sz="2" w:space="0"/>
              <w:right w:val="single" w:color="auto" w:sz="2" w:space="0"/>
            </w:tcBorders>
            <w:vAlign w:val="center"/>
          </w:tcPr>
          <w:p w14:paraId="6FFA6FD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17,773,948.54</w:t>
            </w:r>
          </w:p>
        </w:tc>
      </w:tr>
      <w:tr w14:paraId="688DB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0865619">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071" w:type="dxa"/>
            <w:tcBorders>
              <w:top w:val="single" w:color="auto" w:sz="2" w:space="0"/>
              <w:left w:val="single" w:color="auto" w:sz="2" w:space="0"/>
              <w:bottom w:val="single" w:color="auto" w:sz="2" w:space="0"/>
              <w:right w:val="single" w:color="auto" w:sz="2" w:space="0"/>
            </w:tcBorders>
            <w:vAlign w:val="center"/>
          </w:tcPr>
          <w:p w14:paraId="788161FE">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2EADE4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6BECDA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4893D31">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8BFE0F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95FEF0C">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4AC301B">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0E752F6">
            <w:pPr>
              <w:spacing w:before="0" w:after="0" w:line="240" w:lineRule="exact"/>
              <w:jc w:val="right"/>
              <w:rPr>
                <w:rFonts w:hint="default" w:ascii="Times New Roman" w:hAnsi="Times New Roman" w:eastAsia="宋体" w:cs="Times New Roman"/>
                <w:sz w:val="18"/>
                <w:szCs w:val="18"/>
              </w:rPr>
            </w:pPr>
          </w:p>
        </w:tc>
      </w:tr>
      <w:tr w14:paraId="27DE6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759697D">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FE24C7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22F7F3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971AE2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452CDB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56674A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377A7F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E5253AD"/>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45AA9B0"/>
        </w:tc>
      </w:tr>
      <w:tr w14:paraId="4B673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2B03E99">
            <w:pPr>
              <w:spacing w:before="0" w:after="0" w:line="240" w:lineRule="exact"/>
              <w:jc w:val="left"/>
              <w:rPr>
                <w:rFonts w:ascii="宋体" w:hAnsi="宋体" w:eastAsia="宋体" w:cs="宋体"/>
                <w:sz w:val="18"/>
                <w:szCs w:val="18"/>
              </w:rPr>
            </w:pPr>
            <w:r>
              <w:rPr>
                <w:rFonts w:ascii="宋体" w:hAnsi="宋体" w:eastAsia="宋体" w:cs="宋体"/>
                <w:sz w:val="18"/>
                <w:szCs w:val="18"/>
              </w:rPr>
              <w:t>北大区</w:t>
            </w:r>
          </w:p>
        </w:tc>
        <w:tc>
          <w:tcPr>
            <w:tcW w:w="1071" w:type="dxa"/>
            <w:tcBorders>
              <w:top w:val="single" w:color="auto" w:sz="2" w:space="0"/>
              <w:left w:val="single" w:color="auto" w:sz="2" w:space="0"/>
              <w:bottom w:val="single" w:color="auto" w:sz="2" w:space="0"/>
              <w:right w:val="single" w:color="auto" w:sz="2" w:space="0"/>
            </w:tcBorders>
            <w:vAlign w:val="center"/>
          </w:tcPr>
          <w:p w14:paraId="68733C7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86,171,616.02</w:t>
            </w:r>
          </w:p>
        </w:tc>
        <w:tc>
          <w:tcPr>
            <w:tcW w:w="1071" w:type="dxa"/>
            <w:tcBorders>
              <w:top w:val="single" w:color="auto" w:sz="2" w:space="0"/>
              <w:left w:val="single" w:color="auto" w:sz="2" w:space="0"/>
              <w:bottom w:val="single" w:color="auto" w:sz="2" w:space="0"/>
              <w:right w:val="single" w:color="auto" w:sz="2" w:space="0"/>
            </w:tcBorders>
            <w:vAlign w:val="center"/>
          </w:tcPr>
          <w:p w14:paraId="05D1FE4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12,344,520.01</w:t>
            </w:r>
          </w:p>
        </w:tc>
        <w:tc>
          <w:tcPr>
            <w:tcW w:w="1071" w:type="dxa"/>
            <w:tcBorders>
              <w:top w:val="single" w:color="auto" w:sz="2" w:space="0"/>
              <w:left w:val="single" w:color="auto" w:sz="2" w:space="0"/>
              <w:bottom w:val="single" w:color="auto" w:sz="2" w:space="0"/>
              <w:right w:val="single" w:color="auto" w:sz="2" w:space="0"/>
            </w:tcBorders>
            <w:vAlign w:val="center"/>
          </w:tcPr>
          <w:p w14:paraId="4997571B">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AAB047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31D93F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E59A103">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D6918C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86,171,616.02</w:t>
            </w:r>
          </w:p>
        </w:tc>
        <w:tc>
          <w:tcPr>
            <w:tcW w:w="1071" w:type="dxa"/>
            <w:tcBorders>
              <w:top w:val="single" w:color="auto" w:sz="2" w:space="0"/>
              <w:left w:val="single" w:color="auto" w:sz="2" w:space="0"/>
              <w:bottom w:val="single" w:color="auto" w:sz="2" w:space="0"/>
              <w:right w:val="single" w:color="auto" w:sz="2" w:space="0"/>
            </w:tcBorders>
            <w:vAlign w:val="center"/>
          </w:tcPr>
          <w:p w14:paraId="46EE928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12,344,520.01</w:t>
            </w:r>
          </w:p>
        </w:tc>
      </w:tr>
      <w:tr w14:paraId="45F23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8610AFB">
            <w:pPr>
              <w:spacing w:before="0" w:after="0" w:line="240" w:lineRule="exact"/>
              <w:jc w:val="left"/>
              <w:rPr>
                <w:rFonts w:ascii="宋体" w:hAnsi="宋体" w:eastAsia="宋体" w:cs="宋体"/>
                <w:sz w:val="18"/>
                <w:szCs w:val="18"/>
              </w:rPr>
            </w:pPr>
            <w:r>
              <w:rPr>
                <w:rFonts w:ascii="宋体" w:hAnsi="宋体" w:eastAsia="宋体" w:cs="宋体"/>
                <w:sz w:val="18"/>
                <w:szCs w:val="18"/>
              </w:rPr>
              <w:t>东大区</w:t>
            </w:r>
          </w:p>
        </w:tc>
        <w:tc>
          <w:tcPr>
            <w:tcW w:w="1071" w:type="dxa"/>
            <w:tcBorders>
              <w:top w:val="single" w:color="auto" w:sz="2" w:space="0"/>
              <w:left w:val="single" w:color="auto" w:sz="2" w:space="0"/>
              <w:bottom w:val="single" w:color="auto" w:sz="2" w:space="0"/>
              <w:right w:val="single" w:color="auto" w:sz="2" w:space="0"/>
            </w:tcBorders>
            <w:vAlign w:val="center"/>
          </w:tcPr>
          <w:p w14:paraId="5661F7A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129,535,542.90</w:t>
            </w:r>
          </w:p>
        </w:tc>
        <w:tc>
          <w:tcPr>
            <w:tcW w:w="1071" w:type="dxa"/>
            <w:tcBorders>
              <w:top w:val="single" w:color="auto" w:sz="2" w:space="0"/>
              <w:left w:val="single" w:color="auto" w:sz="2" w:space="0"/>
              <w:bottom w:val="single" w:color="auto" w:sz="2" w:space="0"/>
              <w:right w:val="single" w:color="auto" w:sz="2" w:space="0"/>
            </w:tcBorders>
            <w:vAlign w:val="center"/>
          </w:tcPr>
          <w:p w14:paraId="45775B9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28,812,321.23</w:t>
            </w:r>
          </w:p>
        </w:tc>
        <w:tc>
          <w:tcPr>
            <w:tcW w:w="1071" w:type="dxa"/>
            <w:tcBorders>
              <w:top w:val="single" w:color="auto" w:sz="2" w:space="0"/>
              <w:left w:val="single" w:color="auto" w:sz="2" w:space="0"/>
              <w:bottom w:val="single" w:color="auto" w:sz="2" w:space="0"/>
              <w:right w:val="single" w:color="auto" w:sz="2" w:space="0"/>
            </w:tcBorders>
            <w:vAlign w:val="center"/>
          </w:tcPr>
          <w:p w14:paraId="0150DED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5C8AB53">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14BB41D">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813269B">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F8251A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129,535,542.90</w:t>
            </w:r>
          </w:p>
        </w:tc>
        <w:tc>
          <w:tcPr>
            <w:tcW w:w="1071" w:type="dxa"/>
            <w:tcBorders>
              <w:top w:val="single" w:color="auto" w:sz="2" w:space="0"/>
              <w:left w:val="single" w:color="auto" w:sz="2" w:space="0"/>
              <w:bottom w:val="single" w:color="auto" w:sz="2" w:space="0"/>
              <w:right w:val="single" w:color="auto" w:sz="2" w:space="0"/>
            </w:tcBorders>
            <w:vAlign w:val="center"/>
          </w:tcPr>
          <w:p w14:paraId="2808F78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28,812,321.23</w:t>
            </w:r>
          </w:p>
        </w:tc>
      </w:tr>
      <w:tr w14:paraId="23941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FF8A931">
            <w:pPr>
              <w:spacing w:before="0" w:after="0" w:line="240" w:lineRule="exact"/>
              <w:jc w:val="left"/>
              <w:rPr>
                <w:rFonts w:ascii="宋体" w:hAnsi="宋体" w:eastAsia="宋体" w:cs="宋体"/>
                <w:sz w:val="18"/>
                <w:szCs w:val="18"/>
              </w:rPr>
            </w:pPr>
            <w:r>
              <w:rPr>
                <w:rFonts w:ascii="宋体" w:hAnsi="宋体" w:eastAsia="宋体" w:cs="宋体"/>
                <w:sz w:val="18"/>
                <w:szCs w:val="18"/>
              </w:rPr>
              <w:t>南大区</w:t>
            </w:r>
          </w:p>
        </w:tc>
        <w:tc>
          <w:tcPr>
            <w:tcW w:w="1071" w:type="dxa"/>
            <w:tcBorders>
              <w:top w:val="single" w:color="auto" w:sz="2" w:space="0"/>
              <w:left w:val="single" w:color="auto" w:sz="2" w:space="0"/>
              <w:bottom w:val="single" w:color="auto" w:sz="2" w:space="0"/>
              <w:right w:val="single" w:color="auto" w:sz="2" w:space="0"/>
            </w:tcBorders>
            <w:vAlign w:val="center"/>
          </w:tcPr>
          <w:p w14:paraId="6E2BA6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91,413,816.20</w:t>
            </w:r>
          </w:p>
        </w:tc>
        <w:tc>
          <w:tcPr>
            <w:tcW w:w="1071" w:type="dxa"/>
            <w:tcBorders>
              <w:top w:val="single" w:color="auto" w:sz="2" w:space="0"/>
              <w:left w:val="single" w:color="auto" w:sz="2" w:space="0"/>
              <w:bottom w:val="single" w:color="auto" w:sz="2" w:space="0"/>
              <w:right w:val="single" w:color="auto" w:sz="2" w:space="0"/>
            </w:tcBorders>
            <w:vAlign w:val="center"/>
          </w:tcPr>
          <w:p w14:paraId="52E7001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29,704,310.93</w:t>
            </w:r>
          </w:p>
        </w:tc>
        <w:tc>
          <w:tcPr>
            <w:tcW w:w="1071" w:type="dxa"/>
            <w:tcBorders>
              <w:top w:val="single" w:color="auto" w:sz="2" w:space="0"/>
              <w:left w:val="single" w:color="auto" w:sz="2" w:space="0"/>
              <w:bottom w:val="single" w:color="auto" w:sz="2" w:space="0"/>
              <w:right w:val="single" w:color="auto" w:sz="2" w:space="0"/>
            </w:tcBorders>
            <w:vAlign w:val="center"/>
          </w:tcPr>
          <w:p w14:paraId="7F383FAB">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0D3DAC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7A3CA84">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DE26968">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BFF4DD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91,413,816.20</w:t>
            </w:r>
          </w:p>
        </w:tc>
        <w:tc>
          <w:tcPr>
            <w:tcW w:w="1071" w:type="dxa"/>
            <w:tcBorders>
              <w:top w:val="single" w:color="auto" w:sz="2" w:space="0"/>
              <w:left w:val="single" w:color="auto" w:sz="2" w:space="0"/>
              <w:bottom w:val="single" w:color="auto" w:sz="2" w:space="0"/>
              <w:right w:val="single" w:color="auto" w:sz="2" w:space="0"/>
            </w:tcBorders>
            <w:vAlign w:val="center"/>
          </w:tcPr>
          <w:p w14:paraId="50C1348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29,704,310.93</w:t>
            </w:r>
          </w:p>
        </w:tc>
      </w:tr>
      <w:tr w14:paraId="396D2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4AA8A8C">
            <w:pPr>
              <w:spacing w:before="0" w:after="0" w:line="240" w:lineRule="exact"/>
              <w:jc w:val="left"/>
              <w:rPr>
                <w:rFonts w:ascii="宋体" w:hAnsi="宋体" w:eastAsia="宋体" w:cs="宋体"/>
                <w:sz w:val="18"/>
                <w:szCs w:val="18"/>
              </w:rPr>
            </w:pPr>
            <w:r>
              <w:rPr>
                <w:rFonts w:ascii="宋体" w:hAnsi="宋体" w:eastAsia="宋体" w:cs="宋体"/>
                <w:sz w:val="18"/>
                <w:szCs w:val="18"/>
              </w:rPr>
              <w:t>西大区</w:t>
            </w:r>
          </w:p>
        </w:tc>
        <w:tc>
          <w:tcPr>
            <w:tcW w:w="1071" w:type="dxa"/>
            <w:tcBorders>
              <w:top w:val="single" w:color="auto" w:sz="2" w:space="0"/>
              <w:left w:val="single" w:color="auto" w:sz="2" w:space="0"/>
              <w:bottom w:val="single" w:color="auto" w:sz="2" w:space="0"/>
              <w:right w:val="single" w:color="auto" w:sz="2" w:space="0"/>
            </w:tcBorders>
            <w:vAlign w:val="center"/>
          </w:tcPr>
          <w:p w14:paraId="5370D06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80,628,792.78</w:t>
            </w:r>
          </w:p>
        </w:tc>
        <w:tc>
          <w:tcPr>
            <w:tcW w:w="1071" w:type="dxa"/>
            <w:tcBorders>
              <w:top w:val="single" w:color="auto" w:sz="2" w:space="0"/>
              <w:left w:val="single" w:color="auto" w:sz="2" w:space="0"/>
              <w:bottom w:val="single" w:color="auto" w:sz="2" w:space="0"/>
              <w:right w:val="single" w:color="auto" w:sz="2" w:space="0"/>
            </w:tcBorders>
            <w:vAlign w:val="center"/>
          </w:tcPr>
          <w:p w14:paraId="4DF8763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17,809,115.57</w:t>
            </w:r>
          </w:p>
        </w:tc>
        <w:tc>
          <w:tcPr>
            <w:tcW w:w="1071" w:type="dxa"/>
            <w:tcBorders>
              <w:top w:val="single" w:color="auto" w:sz="2" w:space="0"/>
              <w:left w:val="single" w:color="auto" w:sz="2" w:space="0"/>
              <w:bottom w:val="single" w:color="auto" w:sz="2" w:space="0"/>
              <w:right w:val="single" w:color="auto" w:sz="2" w:space="0"/>
            </w:tcBorders>
            <w:vAlign w:val="center"/>
          </w:tcPr>
          <w:p w14:paraId="7D6F000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5D60796">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D5F913E">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510C6FC">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46C1A2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80,628,792.78</w:t>
            </w:r>
          </w:p>
        </w:tc>
        <w:tc>
          <w:tcPr>
            <w:tcW w:w="1071" w:type="dxa"/>
            <w:tcBorders>
              <w:top w:val="single" w:color="auto" w:sz="2" w:space="0"/>
              <w:left w:val="single" w:color="auto" w:sz="2" w:space="0"/>
              <w:bottom w:val="single" w:color="auto" w:sz="2" w:space="0"/>
              <w:right w:val="single" w:color="auto" w:sz="2" w:space="0"/>
            </w:tcBorders>
            <w:vAlign w:val="center"/>
          </w:tcPr>
          <w:p w14:paraId="55D540B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17,809,115.57</w:t>
            </w:r>
          </w:p>
        </w:tc>
      </w:tr>
      <w:tr w14:paraId="09230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3AD717F">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071" w:type="dxa"/>
            <w:tcBorders>
              <w:top w:val="single" w:color="auto" w:sz="2" w:space="0"/>
              <w:left w:val="single" w:color="auto" w:sz="2" w:space="0"/>
              <w:bottom w:val="single" w:color="auto" w:sz="2" w:space="0"/>
              <w:right w:val="single" w:color="auto" w:sz="2" w:space="0"/>
            </w:tcBorders>
            <w:vAlign w:val="center"/>
          </w:tcPr>
          <w:p w14:paraId="287EEBB8">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2BAE79D">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8D4795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D32AACF">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AF1ABA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9D9A41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3D2E9F7">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8F249AF">
            <w:pPr>
              <w:spacing w:before="0" w:after="0" w:line="240" w:lineRule="exact"/>
              <w:jc w:val="right"/>
              <w:rPr>
                <w:rFonts w:hint="default" w:ascii="Times New Roman" w:hAnsi="Times New Roman" w:eastAsia="宋体" w:cs="Times New Roman"/>
                <w:sz w:val="18"/>
                <w:szCs w:val="18"/>
              </w:rPr>
            </w:pPr>
          </w:p>
        </w:tc>
      </w:tr>
      <w:tr w14:paraId="3727A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8262E74">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10FC36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80EA8C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A896EC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92FA390"/>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996712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858E20D"/>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CC083E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5A136D1"/>
        </w:tc>
      </w:tr>
      <w:tr w14:paraId="63593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E3D4BE4">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422BD7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9C23F1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2DB899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29E202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5F04EC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25184D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464C6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9487611">
            <w:pPr>
              <w:spacing w:before="0" w:after="0" w:line="240" w:lineRule="exact"/>
              <w:jc w:val="right"/>
              <w:rPr>
                <w:rFonts w:ascii="宋体" w:hAnsi="宋体" w:eastAsia="宋体" w:cs="宋体"/>
                <w:sz w:val="18"/>
                <w:szCs w:val="18"/>
              </w:rPr>
            </w:pPr>
          </w:p>
        </w:tc>
      </w:tr>
      <w:tr w14:paraId="35254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C28F263">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071" w:type="dxa"/>
            <w:tcBorders>
              <w:top w:val="single" w:color="auto" w:sz="2" w:space="0"/>
              <w:left w:val="single" w:color="auto" w:sz="2" w:space="0"/>
              <w:bottom w:val="single" w:color="auto" w:sz="2" w:space="0"/>
              <w:right w:val="single" w:color="auto" w:sz="2" w:space="0"/>
            </w:tcBorders>
            <w:vAlign w:val="center"/>
          </w:tcPr>
          <w:p w14:paraId="6F97DA5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55DDB4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62EF5B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84539C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DC6EF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1851E7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5DC76C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39EC821">
            <w:pPr>
              <w:spacing w:before="0" w:after="0" w:line="240" w:lineRule="exact"/>
              <w:jc w:val="right"/>
              <w:rPr>
                <w:rFonts w:ascii="宋体" w:hAnsi="宋体" w:eastAsia="宋体" w:cs="宋体"/>
                <w:sz w:val="18"/>
                <w:szCs w:val="18"/>
              </w:rPr>
            </w:pPr>
          </w:p>
        </w:tc>
      </w:tr>
      <w:tr w14:paraId="45845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05381D1">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87BD5D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CD6B94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570437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873C2F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298F64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DE64DB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429668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B04BFC1"/>
        </w:tc>
      </w:tr>
      <w:tr w14:paraId="59FCE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19E67EA">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BEB447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D80770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4EE187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A79C0B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305BEE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5EC5A9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E6FFFE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D43F857">
            <w:pPr>
              <w:spacing w:before="0" w:after="0" w:line="240" w:lineRule="exact"/>
              <w:jc w:val="right"/>
              <w:rPr>
                <w:rFonts w:ascii="宋体" w:hAnsi="宋体" w:eastAsia="宋体" w:cs="宋体"/>
                <w:sz w:val="18"/>
                <w:szCs w:val="18"/>
              </w:rPr>
            </w:pPr>
          </w:p>
        </w:tc>
      </w:tr>
      <w:tr w14:paraId="0E3FA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0BB62D6">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071" w:type="dxa"/>
            <w:tcBorders>
              <w:top w:val="single" w:color="auto" w:sz="2" w:space="0"/>
              <w:left w:val="single" w:color="auto" w:sz="2" w:space="0"/>
              <w:bottom w:val="single" w:color="auto" w:sz="2" w:space="0"/>
              <w:right w:val="single" w:color="auto" w:sz="2" w:space="0"/>
            </w:tcBorders>
            <w:vAlign w:val="center"/>
          </w:tcPr>
          <w:p w14:paraId="3EB1551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9A8BF2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FA2746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3CDD4D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AA3835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3FFAFE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B9F4F6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508779F">
            <w:pPr>
              <w:spacing w:before="0" w:after="0" w:line="240" w:lineRule="exact"/>
              <w:jc w:val="right"/>
              <w:rPr>
                <w:rFonts w:ascii="宋体" w:hAnsi="宋体" w:eastAsia="宋体" w:cs="宋体"/>
                <w:sz w:val="18"/>
                <w:szCs w:val="18"/>
              </w:rPr>
            </w:pPr>
          </w:p>
        </w:tc>
      </w:tr>
      <w:tr w14:paraId="26425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00B85DF">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A440CBD"/>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E27589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424695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3A6BE0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991C7A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0F74EF5"/>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C15A11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8F3BA80"/>
        </w:tc>
      </w:tr>
      <w:tr w14:paraId="14DE3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E154DDF">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0DD159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5ECEA0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8ED847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6C5E1B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130883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668151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951730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5DAA462">
            <w:pPr>
              <w:spacing w:before="0" w:after="0" w:line="240" w:lineRule="exact"/>
              <w:jc w:val="right"/>
              <w:rPr>
                <w:rFonts w:ascii="宋体" w:hAnsi="宋体" w:eastAsia="宋体" w:cs="宋体"/>
                <w:sz w:val="18"/>
                <w:szCs w:val="18"/>
              </w:rPr>
            </w:pPr>
          </w:p>
        </w:tc>
      </w:tr>
      <w:tr w14:paraId="46E83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3EB7407">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071" w:type="dxa"/>
            <w:tcBorders>
              <w:top w:val="single" w:color="auto" w:sz="2" w:space="0"/>
              <w:left w:val="single" w:color="auto" w:sz="2" w:space="0"/>
              <w:bottom w:val="single" w:color="auto" w:sz="2" w:space="0"/>
              <w:right w:val="single" w:color="auto" w:sz="2" w:space="0"/>
            </w:tcBorders>
            <w:vAlign w:val="center"/>
          </w:tcPr>
          <w:p w14:paraId="4EDDDE5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83B71C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86FD94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46CD58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2368BB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E149E8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511D4C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DEFC06E">
            <w:pPr>
              <w:spacing w:before="0" w:after="0" w:line="240" w:lineRule="exact"/>
              <w:jc w:val="right"/>
              <w:rPr>
                <w:rFonts w:ascii="宋体" w:hAnsi="宋体" w:eastAsia="宋体" w:cs="宋体"/>
                <w:sz w:val="18"/>
                <w:szCs w:val="18"/>
              </w:rPr>
            </w:pPr>
          </w:p>
        </w:tc>
      </w:tr>
      <w:tr w14:paraId="16980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102A4FE">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9D62ED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BE377C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A88AE6A"/>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C3BD87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D95426A"/>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448486A"/>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0C1B4E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8A3235E"/>
        </w:tc>
      </w:tr>
      <w:tr w14:paraId="331B0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9118A40">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AF50B3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06C04E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8F798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32918F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604D1E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5A308A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672DC8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A31FA1A">
            <w:pPr>
              <w:spacing w:before="0" w:after="0" w:line="240" w:lineRule="exact"/>
              <w:jc w:val="right"/>
              <w:rPr>
                <w:rFonts w:ascii="宋体" w:hAnsi="宋体" w:eastAsia="宋体" w:cs="宋体"/>
                <w:sz w:val="18"/>
                <w:szCs w:val="18"/>
              </w:rPr>
            </w:pPr>
          </w:p>
        </w:tc>
      </w:tr>
      <w:tr w14:paraId="1931A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EFCE915">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071" w:type="dxa"/>
            <w:tcBorders>
              <w:top w:val="single" w:color="auto" w:sz="2" w:space="0"/>
              <w:left w:val="single" w:color="auto" w:sz="2" w:space="0"/>
              <w:bottom w:val="single" w:color="auto" w:sz="2" w:space="0"/>
              <w:right w:val="single" w:color="auto" w:sz="2" w:space="0"/>
            </w:tcBorders>
            <w:vAlign w:val="center"/>
          </w:tcPr>
          <w:p w14:paraId="675E31D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2ABAEF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88760D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97CCAB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6AB93F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526047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43B5DF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904C7B5">
            <w:pPr>
              <w:spacing w:before="0" w:after="0" w:line="240" w:lineRule="exact"/>
              <w:jc w:val="right"/>
              <w:rPr>
                <w:rFonts w:ascii="宋体" w:hAnsi="宋体" w:eastAsia="宋体" w:cs="宋体"/>
                <w:sz w:val="18"/>
                <w:szCs w:val="18"/>
              </w:rPr>
            </w:pPr>
          </w:p>
        </w:tc>
      </w:tr>
      <w:tr w14:paraId="18692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CABC399">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953459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B186C4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142694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FD4DC0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788FB3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493E33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992AAF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F1AB809"/>
        </w:tc>
      </w:tr>
      <w:tr w14:paraId="3B761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271B408">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ABE84C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1AEAE6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CEA9BE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D4040C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2E2DE44">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41B154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EDFCA2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6931F89">
            <w:pPr>
              <w:spacing w:before="0" w:after="0" w:line="240" w:lineRule="exact"/>
              <w:jc w:val="right"/>
              <w:rPr>
                <w:rFonts w:hint="default" w:ascii="Times New Roman" w:hAnsi="Times New Roman" w:eastAsia="宋体" w:cs="Times New Roman"/>
                <w:sz w:val="18"/>
                <w:szCs w:val="18"/>
              </w:rPr>
            </w:pPr>
          </w:p>
        </w:tc>
      </w:tr>
      <w:tr w14:paraId="0DFF7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24B0B74">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14:paraId="5E7B832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387,749,767.90</w:t>
            </w:r>
          </w:p>
        </w:tc>
        <w:tc>
          <w:tcPr>
            <w:tcW w:w="1071" w:type="dxa"/>
            <w:tcBorders>
              <w:top w:val="single" w:color="auto" w:sz="2" w:space="0"/>
              <w:left w:val="single" w:color="auto" w:sz="2" w:space="0"/>
              <w:bottom w:val="single" w:color="auto" w:sz="2" w:space="0"/>
              <w:right w:val="single" w:color="auto" w:sz="2" w:space="0"/>
            </w:tcBorders>
            <w:vAlign w:val="center"/>
          </w:tcPr>
          <w:p w14:paraId="1E54DE5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88,670,267.74</w:t>
            </w:r>
          </w:p>
        </w:tc>
        <w:tc>
          <w:tcPr>
            <w:tcW w:w="1071" w:type="dxa"/>
            <w:tcBorders>
              <w:top w:val="single" w:color="auto" w:sz="2" w:space="0"/>
              <w:left w:val="single" w:color="auto" w:sz="2" w:space="0"/>
              <w:bottom w:val="single" w:color="auto" w:sz="2" w:space="0"/>
              <w:right w:val="single" w:color="auto" w:sz="2" w:space="0"/>
            </w:tcBorders>
            <w:vAlign w:val="center"/>
          </w:tcPr>
          <w:p w14:paraId="0A92E887">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2BC7E1C">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FE2712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CD2E096">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82E84F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387,749,767.90</w:t>
            </w:r>
          </w:p>
        </w:tc>
        <w:tc>
          <w:tcPr>
            <w:tcW w:w="1071" w:type="dxa"/>
            <w:tcBorders>
              <w:top w:val="single" w:color="auto" w:sz="2" w:space="0"/>
              <w:left w:val="single" w:color="auto" w:sz="2" w:space="0"/>
              <w:bottom w:val="single" w:color="auto" w:sz="2" w:space="0"/>
              <w:right w:val="single" w:color="auto" w:sz="2" w:space="0"/>
            </w:tcBorders>
            <w:vAlign w:val="center"/>
          </w:tcPr>
          <w:p w14:paraId="545D185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88,670,267.74</w:t>
            </w:r>
          </w:p>
        </w:tc>
      </w:tr>
    </w:tbl>
    <w:p w14:paraId="70DFC266">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67C19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AF852B7">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955D4B9">
            <w:pPr>
              <w:spacing w:before="40" w:after="40" w:line="240" w:lineRule="exact"/>
              <w:jc w:val="center"/>
              <w:rPr>
                <w:rFonts w:ascii="宋体" w:hAnsi="宋体" w:eastAsia="宋体" w:cs="宋体"/>
                <w:sz w:val="18"/>
                <w:szCs w:val="18"/>
              </w:rPr>
            </w:pPr>
            <w:r>
              <w:rPr>
                <w:rFonts w:ascii="宋体" w:hAnsi="宋体" w:eastAsia="宋体" w:cs="宋体"/>
                <w:sz w:val="18"/>
                <w:szCs w:val="18"/>
              </w:rPr>
              <w:t>履行履约义务的时间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6EE3E61">
            <w:pPr>
              <w:spacing w:before="40" w:after="40" w:line="240" w:lineRule="exact"/>
              <w:jc w:val="center"/>
              <w:rPr>
                <w:rFonts w:ascii="宋体" w:hAnsi="宋体" w:eastAsia="宋体" w:cs="宋体"/>
                <w:sz w:val="18"/>
                <w:szCs w:val="18"/>
              </w:rPr>
            </w:pPr>
            <w:r>
              <w:rPr>
                <w:rFonts w:ascii="宋体" w:hAnsi="宋体" w:eastAsia="宋体" w:cs="宋体"/>
                <w:sz w:val="18"/>
                <w:szCs w:val="18"/>
              </w:rPr>
              <w:t>重要的支付条款</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847D5E0">
            <w:pPr>
              <w:spacing w:before="40" w:after="40" w:line="240" w:lineRule="exact"/>
              <w:jc w:val="center"/>
              <w:rPr>
                <w:rFonts w:ascii="宋体" w:hAnsi="宋体" w:eastAsia="宋体" w:cs="宋体"/>
                <w:sz w:val="18"/>
                <w:szCs w:val="18"/>
              </w:rPr>
            </w:pPr>
            <w:r>
              <w:rPr>
                <w:rFonts w:ascii="宋体" w:hAnsi="宋体" w:eastAsia="宋体" w:cs="宋体"/>
                <w:sz w:val="18"/>
                <w:szCs w:val="18"/>
              </w:rPr>
              <w:t>公司承诺转让商品的性质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AAB7D60">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是否为主要责任人</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770CE25">
            <w:pPr>
              <w:spacing w:before="40" w:after="40" w:line="240" w:lineRule="exact"/>
              <w:jc w:val="center"/>
              <w:rPr>
                <w:rFonts w:ascii="宋体" w:hAnsi="宋体" w:eastAsia="宋体" w:cs="宋体"/>
                <w:sz w:val="18"/>
                <w:szCs w:val="18"/>
              </w:rPr>
            </w:pPr>
            <w:r>
              <w:rPr>
                <w:rFonts w:ascii="宋体" w:hAnsi="宋体" w:eastAsia="宋体" w:cs="宋体"/>
                <w:sz w:val="18"/>
                <w:szCs w:val="18"/>
              </w:rPr>
              <w:t>公司承担的预期将退还给客户的款项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71F0971">
            <w:pPr>
              <w:spacing w:before="40" w:after="40" w:line="240" w:lineRule="exact"/>
              <w:jc w:val="center"/>
              <w:rPr>
                <w:rFonts w:ascii="宋体" w:hAnsi="宋体" w:eastAsia="宋体" w:cs="宋体"/>
                <w:sz w:val="18"/>
                <w:szCs w:val="18"/>
              </w:rPr>
            </w:pPr>
            <w:r>
              <w:rPr>
                <w:rFonts w:ascii="宋体" w:hAnsi="宋体" w:eastAsia="宋体" w:cs="宋体"/>
                <w:sz w:val="18"/>
                <w:szCs w:val="18"/>
              </w:rPr>
              <w:t>公司提供的质量保证类型及相关义务</w:t>
            </w:r>
          </w:p>
        </w:tc>
      </w:tr>
      <w:tr w14:paraId="3E032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C42B509">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7D2BCBEA">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A67F3B3">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AA88FC1">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F03FC4A">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1801AEF">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8614DA1">
            <w:pPr>
              <w:spacing w:before="0" w:after="0" w:line="240" w:lineRule="exact"/>
              <w:jc w:val="left"/>
              <w:rPr>
                <w:rFonts w:ascii="宋体" w:hAnsi="宋体" w:eastAsia="宋体" w:cs="宋体"/>
                <w:sz w:val="18"/>
                <w:szCs w:val="18"/>
              </w:rPr>
            </w:pPr>
          </w:p>
        </w:tc>
      </w:tr>
    </w:tbl>
    <w:p w14:paraId="19118935">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5897CBFE">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14:paraId="53144643">
      <w:pPr>
        <w:spacing w:before="0" w:after="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w:t>
      </w:r>
      <w:r>
        <w:rPr>
          <w:rFonts w:hint="default" w:ascii="Times New Roman" w:hAnsi="Times New Roman" w:eastAsia="宋体" w:cs="Times New Roman"/>
          <w:sz w:val="18"/>
          <w:szCs w:val="18"/>
        </w:rPr>
        <w:t>18,645,149.40</w:t>
      </w:r>
      <w:r>
        <w:rPr>
          <w:rFonts w:ascii="宋体" w:hAnsi="宋体" w:eastAsia="宋体" w:cs="宋体"/>
          <w:sz w:val="18"/>
          <w:szCs w:val="18"/>
        </w:rPr>
        <w:t>元，其中，</w:t>
      </w:r>
      <w:r>
        <w:rPr>
          <w:rFonts w:hint="default" w:ascii="Times New Roman" w:hAnsi="Times New Roman" w:eastAsia="宋体" w:cs="Times New Roman"/>
          <w:sz w:val="18"/>
          <w:szCs w:val="18"/>
        </w:rPr>
        <w:t>1,100,781.87元预计将于2026年度确认收入，1,114,580.90元</w:t>
      </w:r>
      <w:r>
        <w:rPr>
          <w:rFonts w:ascii="宋体" w:hAnsi="宋体" w:eastAsia="宋体" w:cs="宋体"/>
          <w:sz w:val="18"/>
          <w:szCs w:val="18"/>
        </w:rPr>
        <w:t>预计将于</w:t>
      </w:r>
      <w:r>
        <w:rPr>
          <w:rFonts w:hint="default" w:ascii="Times New Roman" w:hAnsi="Times New Roman" w:eastAsia="宋体" w:cs="Times New Roman"/>
          <w:sz w:val="18"/>
          <w:szCs w:val="18"/>
        </w:rPr>
        <w:t>2027</w:t>
      </w:r>
      <w:r>
        <w:rPr>
          <w:rFonts w:ascii="宋体" w:hAnsi="宋体" w:eastAsia="宋体" w:cs="宋体"/>
          <w:sz w:val="18"/>
          <w:szCs w:val="18"/>
        </w:rPr>
        <w:t>年度确认收入</w:t>
      </w:r>
      <w:r>
        <w:rPr>
          <w:rFonts w:hint="default" w:ascii="Times New Roman" w:hAnsi="Times New Roman" w:eastAsia="宋体" w:cs="Times New Roman"/>
          <w:sz w:val="18"/>
          <w:szCs w:val="18"/>
        </w:rPr>
        <w:t>，16,429,786.63元</w:t>
      </w:r>
      <w:r>
        <w:rPr>
          <w:rFonts w:ascii="宋体" w:hAnsi="宋体" w:eastAsia="宋体" w:cs="宋体"/>
          <w:sz w:val="18"/>
          <w:szCs w:val="18"/>
        </w:rPr>
        <w:t>预计将于</w:t>
      </w:r>
      <w:r>
        <w:rPr>
          <w:rFonts w:hint="default" w:ascii="Times New Roman" w:hAnsi="Times New Roman" w:eastAsia="宋体" w:cs="Times New Roman"/>
          <w:sz w:val="18"/>
          <w:szCs w:val="18"/>
        </w:rPr>
        <w:t>2028</w:t>
      </w:r>
      <w:r>
        <w:rPr>
          <w:rFonts w:ascii="宋体" w:hAnsi="宋体" w:eastAsia="宋体" w:cs="宋体"/>
          <w:sz w:val="18"/>
          <w:szCs w:val="18"/>
        </w:rPr>
        <w:t>年及以后年度确认收入。</w:t>
      </w:r>
    </w:p>
    <w:p w14:paraId="54A9DC3B">
      <w:pPr>
        <w:spacing w:before="100" w:after="100" w:line="240" w:lineRule="exact"/>
        <w:jc w:val="left"/>
        <w:rPr>
          <w:rFonts w:ascii="宋体" w:hAnsi="宋体" w:eastAsia="宋体" w:cs="宋体"/>
          <w:sz w:val="18"/>
          <w:szCs w:val="18"/>
        </w:rPr>
      </w:pPr>
      <w:r>
        <w:rPr>
          <w:rFonts w:ascii="宋体" w:hAnsi="宋体" w:eastAsia="宋体" w:cs="宋体"/>
          <w:sz w:val="18"/>
          <w:szCs w:val="18"/>
        </w:rPr>
        <w:t>合同中可变对价相关信息：</w:t>
      </w:r>
    </w:p>
    <w:p w14:paraId="5BA8F595">
      <w:pPr>
        <w:spacing w:before="100" w:after="100" w:line="240" w:lineRule="exact"/>
        <w:jc w:val="left"/>
        <w:rPr>
          <w:rFonts w:ascii="宋体" w:hAnsi="宋体" w:eastAsia="宋体" w:cs="宋体"/>
          <w:sz w:val="18"/>
          <w:szCs w:val="18"/>
        </w:rPr>
      </w:pPr>
      <w:r>
        <w:rPr>
          <w:rFonts w:ascii="宋体" w:hAnsi="宋体" w:eastAsia="宋体" w:cs="宋体"/>
          <w:sz w:val="18"/>
          <w:szCs w:val="18"/>
        </w:rPr>
        <w:t>重大合同变更或重大交易价格调整</w:t>
      </w:r>
    </w:p>
    <w:p w14:paraId="18069756">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A5E9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124FB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77E3A0">
            <w:pPr>
              <w:spacing w:before="40" w:after="40" w:line="240" w:lineRule="exact"/>
              <w:jc w:val="center"/>
              <w:rPr>
                <w:rFonts w:ascii="宋体" w:hAnsi="宋体" w:eastAsia="宋体" w:cs="宋体"/>
                <w:sz w:val="18"/>
                <w:szCs w:val="18"/>
              </w:rPr>
            </w:pPr>
            <w:r>
              <w:rPr>
                <w:rFonts w:ascii="宋体" w:hAnsi="宋体" w:eastAsia="宋体" w:cs="宋体"/>
                <w:sz w:val="18"/>
                <w:szCs w:val="18"/>
              </w:rPr>
              <w:t>会计处理方法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66FF22">
            <w:pPr>
              <w:spacing w:before="40" w:after="40" w:line="240" w:lineRule="exact"/>
              <w:jc w:val="center"/>
              <w:rPr>
                <w:rFonts w:ascii="宋体" w:hAnsi="宋体" w:eastAsia="宋体" w:cs="宋体"/>
                <w:sz w:val="18"/>
                <w:szCs w:val="18"/>
              </w:rPr>
            </w:pPr>
            <w:r>
              <w:rPr>
                <w:rFonts w:ascii="宋体" w:hAnsi="宋体" w:eastAsia="宋体" w:cs="宋体"/>
                <w:sz w:val="18"/>
                <w:szCs w:val="18"/>
              </w:rPr>
              <w:t>对收入的影响金额</w:t>
            </w:r>
          </w:p>
        </w:tc>
      </w:tr>
    </w:tbl>
    <w:p w14:paraId="357584AD">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31C37FA2">
      <w:pPr>
        <w:pStyle w:val="3"/>
        <w:keepNext/>
        <w:keepLines/>
        <w:spacing w:before="300" w:after="300" w:line="280" w:lineRule="exact"/>
        <w:jc w:val="left"/>
        <w:outlineLvl w:val="2"/>
        <w:rPr>
          <w:rFonts w:ascii="宋体" w:hAnsi="宋体" w:eastAsia="宋体" w:cs="宋体"/>
          <w:b/>
          <w:bCs/>
          <w:sz w:val="21"/>
          <w:szCs w:val="21"/>
        </w:rPr>
      </w:pPr>
      <w:bookmarkStart w:id="360" w:name="_Toc989170"/>
      <w:r>
        <w:rPr>
          <w:rFonts w:hint="default" w:ascii="Times New Roman" w:hAnsi="Times New Roman" w:eastAsia="宋体" w:cs="Times New Roman"/>
          <w:b/>
          <w:bCs/>
          <w:sz w:val="21"/>
          <w:szCs w:val="21"/>
        </w:rPr>
        <w:t>38</w:t>
      </w:r>
      <w:r>
        <w:rPr>
          <w:rFonts w:ascii="宋体" w:hAnsi="宋体" w:eastAsia="宋体" w:cs="宋体"/>
          <w:b/>
          <w:bCs/>
          <w:sz w:val="21"/>
          <w:szCs w:val="21"/>
        </w:rPr>
        <w:t>、税金及附加</w:t>
      </w:r>
      <w:bookmarkEnd w:id="360"/>
    </w:p>
    <w:p w14:paraId="6278760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3FE0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A8100A">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B64DB1">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B9287B">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24210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4026CC">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14:paraId="73C5998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2,525,047.49</w:t>
            </w:r>
          </w:p>
        </w:tc>
        <w:tc>
          <w:tcPr>
            <w:tcW w:w="3213" w:type="dxa"/>
            <w:tcBorders>
              <w:top w:val="single" w:color="auto" w:sz="2" w:space="0"/>
              <w:left w:val="single" w:color="auto" w:sz="2" w:space="0"/>
              <w:bottom w:val="single" w:color="auto" w:sz="2" w:space="0"/>
              <w:right w:val="single" w:color="auto" w:sz="2" w:space="0"/>
            </w:tcBorders>
            <w:vAlign w:val="center"/>
          </w:tcPr>
          <w:p w14:paraId="23F430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1,462,710.96</w:t>
            </w:r>
          </w:p>
        </w:tc>
      </w:tr>
      <w:tr w14:paraId="0E9C5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FEF7DB">
            <w:pPr>
              <w:spacing w:before="40" w:after="4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14:paraId="225EA33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1,081,618.44</w:t>
            </w:r>
          </w:p>
        </w:tc>
        <w:tc>
          <w:tcPr>
            <w:tcW w:w="3213" w:type="dxa"/>
            <w:tcBorders>
              <w:top w:val="single" w:color="auto" w:sz="2" w:space="0"/>
              <w:left w:val="single" w:color="auto" w:sz="2" w:space="0"/>
              <w:bottom w:val="single" w:color="auto" w:sz="2" w:space="0"/>
              <w:right w:val="single" w:color="auto" w:sz="2" w:space="0"/>
            </w:tcBorders>
            <w:vAlign w:val="center"/>
          </w:tcPr>
          <w:p w14:paraId="570A8B9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626,624.92</w:t>
            </w:r>
          </w:p>
        </w:tc>
      </w:tr>
      <w:tr w14:paraId="3F697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7210CA">
            <w:pPr>
              <w:spacing w:before="40" w:after="4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14:paraId="0B6EC7D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2,774,778.83</w:t>
            </w:r>
          </w:p>
        </w:tc>
        <w:tc>
          <w:tcPr>
            <w:tcW w:w="3213" w:type="dxa"/>
            <w:tcBorders>
              <w:top w:val="single" w:color="auto" w:sz="2" w:space="0"/>
              <w:left w:val="single" w:color="auto" w:sz="2" w:space="0"/>
              <w:bottom w:val="single" w:color="auto" w:sz="2" w:space="0"/>
              <w:right w:val="single" w:color="auto" w:sz="2" w:space="0"/>
            </w:tcBorders>
            <w:vAlign w:val="center"/>
          </w:tcPr>
          <w:p w14:paraId="1E0FF70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2,443,967.33</w:t>
            </w:r>
          </w:p>
        </w:tc>
      </w:tr>
      <w:tr w14:paraId="61777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A85E155">
            <w:pPr>
              <w:spacing w:before="0" w:after="0" w:line="240" w:lineRule="exact"/>
              <w:jc w:val="left"/>
              <w:rPr>
                <w:rFonts w:ascii="宋体" w:hAnsi="宋体" w:eastAsia="宋体" w:cs="宋体"/>
                <w:sz w:val="18"/>
                <w:szCs w:val="18"/>
              </w:rPr>
            </w:pPr>
            <w:r>
              <w:rPr>
                <w:rFonts w:ascii="宋体" w:hAnsi="宋体" w:eastAsia="宋体" w:cs="宋体"/>
                <w:sz w:val="18"/>
                <w:szCs w:val="18"/>
              </w:rPr>
              <w:t>地方教育附加</w:t>
            </w:r>
          </w:p>
        </w:tc>
        <w:tc>
          <w:tcPr>
            <w:tcW w:w="3213" w:type="dxa"/>
            <w:tcBorders>
              <w:top w:val="single" w:color="auto" w:sz="2" w:space="0"/>
              <w:left w:val="single" w:color="auto" w:sz="2" w:space="0"/>
              <w:bottom w:val="single" w:color="auto" w:sz="2" w:space="0"/>
              <w:right w:val="single" w:color="auto" w:sz="2" w:space="0"/>
            </w:tcBorders>
            <w:vAlign w:val="center"/>
          </w:tcPr>
          <w:p w14:paraId="6856C79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721,078.95</w:t>
            </w:r>
          </w:p>
        </w:tc>
        <w:tc>
          <w:tcPr>
            <w:tcW w:w="3213" w:type="dxa"/>
            <w:tcBorders>
              <w:top w:val="single" w:color="auto" w:sz="2" w:space="0"/>
              <w:left w:val="single" w:color="auto" w:sz="2" w:space="0"/>
              <w:bottom w:val="single" w:color="auto" w:sz="2" w:space="0"/>
              <w:right w:val="single" w:color="auto" w:sz="2" w:space="0"/>
            </w:tcBorders>
            <w:vAlign w:val="center"/>
          </w:tcPr>
          <w:p w14:paraId="2499FE3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417,749.94</w:t>
            </w:r>
          </w:p>
        </w:tc>
      </w:tr>
      <w:tr w14:paraId="7D2E8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CE558E2">
            <w:pPr>
              <w:spacing w:before="0" w:after="0" w:line="240" w:lineRule="exact"/>
              <w:jc w:val="left"/>
              <w:rPr>
                <w:rFonts w:ascii="宋体" w:hAnsi="宋体" w:eastAsia="宋体" w:cs="宋体"/>
                <w:sz w:val="18"/>
                <w:szCs w:val="18"/>
              </w:rPr>
            </w:pPr>
            <w:r>
              <w:rPr>
                <w:rFonts w:ascii="宋体" w:hAnsi="宋体" w:eastAsia="宋体" w:cs="宋体"/>
                <w:sz w:val="18"/>
                <w:szCs w:val="18"/>
              </w:rPr>
              <w:t>其他税费</w:t>
            </w:r>
          </w:p>
        </w:tc>
        <w:tc>
          <w:tcPr>
            <w:tcW w:w="3213" w:type="dxa"/>
            <w:tcBorders>
              <w:top w:val="single" w:color="auto" w:sz="2" w:space="0"/>
              <w:left w:val="single" w:color="auto" w:sz="2" w:space="0"/>
              <w:bottom w:val="single" w:color="auto" w:sz="2" w:space="0"/>
              <w:right w:val="single" w:color="auto" w:sz="2" w:space="0"/>
            </w:tcBorders>
            <w:vAlign w:val="center"/>
          </w:tcPr>
          <w:p w14:paraId="36BB1B9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355,076.87</w:t>
            </w:r>
          </w:p>
        </w:tc>
        <w:tc>
          <w:tcPr>
            <w:tcW w:w="3213" w:type="dxa"/>
            <w:tcBorders>
              <w:top w:val="single" w:color="auto" w:sz="2" w:space="0"/>
              <w:left w:val="single" w:color="auto" w:sz="2" w:space="0"/>
              <w:bottom w:val="single" w:color="auto" w:sz="2" w:space="0"/>
              <w:right w:val="single" w:color="auto" w:sz="2" w:space="0"/>
            </w:tcBorders>
            <w:vAlign w:val="center"/>
          </w:tcPr>
          <w:p w14:paraId="379C0BA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305,616.91</w:t>
            </w:r>
          </w:p>
        </w:tc>
      </w:tr>
      <w:tr w14:paraId="3132C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394F13">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0DD624D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7,457,600.58</w:t>
            </w:r>
          </w:p>
        </w:tc>
        <w:tc>
          <w:tcPr>
            <w:tcW w:w="3213" w:type="dxa"/>
            <w:tcBorders>
              <w:top w:val="single" w:color="auto" w:sz="2" w:space="0"/>
              <w:left w:val="single" w:color="auto" w:sz="2" w:space="0"/>
              <w:bottom w:val="single" w:color="auto" w:sz="2" w:space="0"/>
              <w:right w:val="single" w:color="auto" w:sz="2" w:space="0"/>
            </w:tcBorders>
            <w:vAlign w:val="center"/>
          </w:tcPr>
          <w:p w14:paraId="50F33BF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5,256,670.06</w:t>
            </w:r>
          </w:p>
        </w:tc>
      </w:tr>
    </w:tbl>
    <w:p w14:paraId="13E0A84F">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3048D5F8">
      <w:pPr>
        <w:pStyle w:val="3"/>
        <w:keepNext/>
        <w:keepLines/>
        <w:spacing w:before="300" w:after="300" w:line="280" w:lineRule="exact"/>
        <w:jc w:val="left"/>
        <w:outlineLvl w:val="2"/>
        <w:rPr>
          <w:rFonts w:ascii="宋体" w:hAnsi="宋体" w:eastAsia="宋体" w:cs="宋体"/>
          <w:b/>
          <w:bCs/>
          <w:sz w:val="21"/>
          <w:szCs w:val="21"/>
        </w:rPr>
      </w:pPr>
      <w:bookmarkStart w:id="361" w:name="_Toc989171"/>
      <w:r>
        <w:rPr>
          <w:rFonts w:hint="default" w:ascii="Times New Roman" w:hAnsi="Times New Roman" w:eastAsia="宋体" w:cs="Times New Roman"/>
          <w:b/>
          <w:bCs/>
          <w:sz w:val="21"/>
          <w:szCs w:val="21"/>
        </w:rPr>
        <w:t>39</w:t>
      </w:r>
      <w:r>
        <w:rPr>
          <w:rFonts w:ascii="宋体" w:hAnsi="宋体" w:eastAsia="宋体" w:cs="宋体"/>
          <w:b/>
          <w:bCs/>
          <w:sz w:val="21"/>
          <w:szCs w:val="21"/>
        </w:rPr>
        <w:t>、管理费用</w:t>
      </w:r>
      <w:bookmarkEnd w:id="361"/>
    </w:p>
    <w:p w14:paraId="1624B13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F6F3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78580E">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C2396F">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E1A5B9">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3A2C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234CD00">
            <w:pPr>
              <w:spacing w:before="0" w:after="0" w:line="240" w:lineRule="exact"/>
              <w:jc w:val="left"/>
              <w:rPr>
                <w:rFonts w:ascii="宋体" w:hAnsi="宋体" w:eastAsia="宋体" w:cs="宋体"/>
                <w:sz w:val="18"/>
                <w:szCs w:val="18"/>
              </w:rPr>
            </w:pPr>
            <w:r>
              <w:rPr>
                <w:rFonts w:ascii="宋体" w:hAnsi="宋体" w:eastAsia="宋体" w:cs="宋体"/>
                <w:sz w:val="18"/>
                <w:szCs w:val="18"/>
              </w:rPr>
              <w:t>工资及福利</w:t>
            </w:r>
          </w:p>
        </w:tc>
        <w:tc>
          <w:tcPr>
            <w:tcW w:w="3213" w:type="dxa"/>
            <w:tcBorders>
              <w:top w:val="single" w:color="auto" w:sz="2" w:space="0"/>
              <w:left w:val="single" w:color="auto" w:sz="2" w:space="0"/>
              <w:bottom w:val="single" w:color="auto" w:sz="2" w:space="0"/>
              <w:right w:val="single" w:color="auto" w:sz="2" w:space="0"/>
            </w:tcBorders>
            <w:vAlign w:val="center"/>
          </w:tcPr>
          <w:p w14:paraId="6344676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27,462,454.83</w:t>
            </w:r>
          </w:p>
        </w:tc>
        <w:tc>
          <w:tcPr>
            <w:tcW w:w="3213" w:type="dxa"/>
            <w:tcBorders>
              <w:top w:val="single" w:color="auto" w:sz="2" w:space="0"/>
              <w:left w:val="single" w:color="auto" w:sz="2" w:space="0"/>
              <w:bottom w:val="single" w:color="auto" w:sz="2" w:space="0"/>
              <w:right w:val="single" w:color="auto" w:sz="2" w:space="0"/>
            </w:tcBorders>
            <w:vAlign w:val="center"/>
          </w:tcPr>
          <w:p w14:paraId="20BFDF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24,437,732.94</w:t>
            </w:r>
          </w:p>
        </w:tc>
      </w:tr>
      <w:tr w14:paraId="68361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F611D66">
            <w:pPr>
              <w:spacing w:before="0" w:after="0" w:line="240" w:lineRule="exact"/>
              <w:jc w:val="left"/>
              <w:rPr>
                <w:rFonts w:ascii="宋体" w:hAnsi="宋体" w:eastAsia="宋体" w:cs="宋体"/>
                <w:sz w:val="18"/>
                <w:szCs w:val="18"/>
              </w:rPr>
            </w:pPr>
            <w:r>
              <w:rPr>
                <w:rFonts w:ascii="宋体" w:hAnsi="宋体" w:eastAsia="宋体" w:cs="宋体"/>
                <w:sz w:val="18"/>
                <w:szCs w:val="18"/>
              </w:rPr>
              <w:t>折旧与摊销</w:t>
            </w:r>
          </w:p>
        </w:tc>
        <w:tc>
          <w:tcPr>
            <w:tcW w:w="3213" w:type="dxa"/>
            <w:tcBorders>
              <w:top w:val="single" w:color="auto" w:sz="2" w:space="0"/>
              <w:left w:val="single" w:color="auto" w:sz="2" w:space="0"/>
              <w:bottom w:val="single" w:color="auto" w:sz="2" w:space="0"/>
              <w:right w:val="single" w:color="auto" w:sz="2" w:space="0"/>
            </w:tcBorders>
            <w:vAlign w:val="center"/>
          </w:tcPr>
          <w:p w14:paraId="10908B1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10,310,723.52</w:t>
            </w:r>
          </w:p>
        </w:tc>
        <w:tc>
          <w:tcPr>
            <w:tcW w:w="3213" w:type="dxa"/>
            <w:tcBorders>
              <w:top w:val="single" w:color="auto" w:sz="2" w:space="0"/>
              <w:left w:val="single" w:color="auto" w:sz="2" w:space="0"/>
              <w:bottom w:val="single" w:color="auto" w:sz="2" w:space="0"/>
              <w:right w:val="single" w:color="auto" w:sz="2" w:space="0"/>
            </w:tcBorders>
            <w:vAlign w:val="center"/>
          </w:tcPr>
          <w:p w14:paraId="1FC8914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7,071,564.11</w:t>
            </w:r>
          </w:p>
        </w:tc>
      </w:tr>
      <w:tr w14:paraId="1815A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CD73158">
            <w:pPr>
              <w:spacing w:before="0" w:after="0" w:line="240" w:lineRule="exact"/>
              <w:jc w:val="left"/>
              <w:rPr>
                <w:rFonts w:ascii="宋体" w:hAnsi="宋体" w:eastAsia="宋体" w:cs="宋体"/>
                <w:sz w:val="18"/>
                <w:szCs w:val="18"/>
              </w:rPr>
            </w:pPr>
            <w:r>
              <w:rPr>
                <w:rFonts w:ascii="宋体" w:hAnsi="宋体" w:eastAsia="宋体" w:cs="宋体"/>
                <w:sz w:val="18"/>
                <w:szCs w:val="18"/>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14:paraId="6121B64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2,154,379.16</w:t>
            </w:r>
          </w:p>
        </w:tc>
        <w:tc>
          <w:tcPr>
            <w:tcW w:w="3213" w:type="dxa"/>
            <w:tcBorders>
              <w:top w:val="single" w:color="auto" w:sz="2" w:space="0"/>
              <w:left w:val="single" w:color="auto" w:sz="2" w:space="0"/>
              <w:bottom w:val="single" w:color="auto" w:sz="2" w:space="0"/>
              <w:right w:val="single" w:color="auto" w:sz="2" w:space="0"/>
            </w:tcBorders>
            <w:vAlign w:val="center"/>
          </w:tcPr>
          <w:p w14:paraId="2F1022E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3,547,240.75</w:t>
            </w:r>
          </w:p>
        </w:tc>
      </w:tr>
      <w:tr w14:paraId="46239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52CDDB6">
            <w:pPr>
              <w:spacing w:before="0" w:after="0" w:line="240" w:lineRule="exact"/>
              <w:jc w:val="left"/>
              <w:rPr>
                <w:rFonts w:ascii="宋体" w:hAnsi="宋体" w:eastAsia="宋体" w:cs="宋体"/>
                <w:sz w:val="18"/>
                <w:szCs w:val="18"/>
              </w:rPr>
            </w:pPr>
            <w:r>
              <w:rPr>
                <w:rFonts w:ascii="宋体" w:hAnsi="宋体" w:eastAsia="宋体" w:cs="宋体"/>
                <w:sz w:val="18"/>
                <w:szCs w:val="18"/>
              </w:rPr>
              <w:t>中介机构费</w:t>
            </w:r>
          </w:p>
        </w:tc>
        <w:tc>
          <w:tcPr>
            <w:tcW w:w="3213" w:type="dxa"/>
            <w:tcBorders>
              <w:top w:val="single" w:color="auto" w:sz="2" w:space="0"/>
              <w:left w:val="single" w:color="auto" w:sz="2" w:space="0"/>
              <w:bottom w:val="single" w:color="auto" w:sz="2" w:space="0"/>
              <w:right w:val="single" w:color="auto" w:sz="2" w:space="0"/>
            </w:tcBorders>
            <w:vAlign w:val="center"/>
          </w:tcPr>
          <w:p w14:paraId="20D571B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6,179,707.63</w:t>
            </w:r>
          </w:p>
        </w:tc>
        <w:tc>
          <w:tcPr>
            <w:tcW w:w="3213" w:type="dxa"/>
            <w:tcBorders>
              <w:top w:val="single" w:color="auto" w:sz="2" w:space="0"/>
              <w:left w:val="single" w:color="auto" w:sz="2" w:space="0"/>
              <w:bottom w:val="single" w:color="auto" w:sz="2" w:space="0"/>
              <w:right w:val="single" w:color="auto" w:sz="2" w:space="0"/>
            </w:tcBorders>
            <w:vAlign w:val="center"/>
          </w:tcPr>
          <w:p w14:paraId="782CB16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11,866,622.02</w:t>
            </w:r>
          </w:p>
        </w:tc>
      </w:tr>
      <w:tr w14:paraId="5B670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C342104">
            <w:pPr>
              <w:spacing w:before="0" w:after="0" w:line="240" w:lineRule="exact"/>
              <w:jc w:val="left"/>
              <w:rPr>
                <w:rFonts w:ascii="宋体" w:hAnsi="宋体" w:eastAsia="宋体" w:cs="宋体"/>
                <w:sz w:val="18"/>
                <w:szCs w:val="18"/>
              </w:rPr>
            </w:pPr>
            <w:r>
              <w:rPr>
                <w:rFonts w:ascii="宋体" w:hAnsi="宋体" w:eastAsia="宋体" w:cs="宋体"/>
                <w:sz w:val="18"/>
                <w:szCs w:val="18"/>
              </w:rPr>
              <w:t>三会费用</w:t>
            </w:r>
          </w:p>
        </w:tc>
        <w:tc>
          <w:tcPr>
            <w:tcW w:w="3213" w:type="dxa"/>
            <w:tcBorders>
              <w:top w:val="single" w:color="auto" w:sz="2" w:space="0"/>
              <w:left w:val="single" w:color="auto" w:sz="2" w:space="0"/>
              <w:bottom w:val="single" w:color="auto" w:sz="2" w:space="0"/>
              <w:right w:val="single" w:color="auto" w:sz="2" w:space="0"/>
            </w:tcBorders>
            <w:vAlign w:val="center"/>
          </w:tcPr>
          <w:p w14:paraId="5565BFF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489,770.92</w:t>
            </w:r>
          </w:p>
        </w:tc>
        <w:tc>
          <w:tcPr>
            <w:tcW w:w="3213" w:type="dxa"/>
            <w:tcBorders>
              <w:top w:val="single" w:color="auto" w:sz="2" w:space="0"/>
              <w:left w:val="single" w:color="auto" w:sz="2" w:space="0"/>
              <w:bottom w:val="single" w:color="auto" w:sz="2" w:space="0"/>
              <w:right w:val="single" w:color="auto" w:sz="2" w:space="0"/>
            </w:tcBorders>
            <w:vAlign w:val="center"/>
          </w:tcPr>
          <w:p w14:paraId="4F59BE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610,318.62</w:t>
            </w:r>
          </w:p>
        </w:tc>
      </w:tr>
      <w:tr w14:paraId="34FF1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C540E33">
            <w:pPr>
              <w:spacing w:before="0" w:after="0" w:line="240" w:lineRule="exact"/>
              <w:jc w:val="left"/>
              <w:rPr>
                <w:rFonts w:ascii="宋体" w:hAnsi="宋体" w:eastAsia="宋体" w:cs="宋体"/>
                <w:sz w:val="18"/>
                <w:szCs w:val="18"/>
              </w:rPr>
            </w:pPr>
            <w:r>
              <w:rPr>
                <w:rFonts w:ascii="宋体" w:hAnsi="宋体" w:eastAsia="宋体" w:cs="宋体"/>
                <w:sz w:val="18"/>
                <w:szCs w:val="18"/>
              </w:rPr>
              <w:t>办公费用</w:t>
            </w:r>
          </w:p>
        </w:tc>
        <w:tc>
          <w:tcPr>
            <w:tcW w:w="3213" w:type="dxa"/>
            <w:tcBorders>
              <w:top w:val="single" w:color="auto" w:sz="2" w:space="0"/>
              <w:left w:val="single" w:color="auto" w:sz="2" w:space="0"/>
              <w:bottom w:val="single" w:color="auto" w:sz="2" w:space="0"/>
              <w:right w:val="single" w:color="auto" w:sz="2" w:space="0"/>
            </w:tcBorders>
            <w:vAlign w:val="center"/>
          </w:tcPr>
          <w:p w14:paraId="56783F0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2,726,282.67</w:t>
            </w:r>
          </w:p>
        </w:tc>
        <w:tc>
          <w:tcPr>
            <w:tcW w:w="3213" w:type="dxa"/>
            <w:tcBorders>
              <w:top w:val="single" w:color="auto" w:sz="2" w:space="0"/>
              <w:left w:val="single" w:color="auto" w:sz="2" w:space="0"/>
              <w:bottom w:val="single" w:color="auto" w:sz="2" w:space="0"/>
              <w:right w:val="single" w:color="auto" w:sz="2" w:space="0"/>
            </w:tcBorders>
            <w:vAlign w:val="center"/>
          </w:tcPr>
          <w:p w14:paraId="39E61B9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3,022,315.92</w:t>
            </w:r>
          </w:p>
        </w:tc>
      </w:tr>
      <w:tr w14:paraId="6E145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76940C5">
            <w:pPr>
              <w:spacing w:before="0" w:after="0" w:line="240" w:lineRule="exact"/>
              <w:jc w:val="left"/>
              <w:rPr>
                <w:rFonts w:ascii="宋体" w:hAnsi="宋体" w:eastAsia="宋体" w:cs="宋体"/>
                <w:sz w:val="18"/>
                <w:szCs w:val="18"/>
              </w:rPr>
            </w:pPr>
            <w:r>
              <w:rPr>
                <w:rFonts w:ascii="宋体" w:hAnsi="宋体" w:eastAsia="宋体" w:cs="宋体"/>
                <w:sz w:val="18"/>
                <w:szCs w:val="18"/>
              </w:rPr>
              <w:t>租赁及物管费</w:t>
            </w:r>
          </w:p>
        </w:tc>
        <w:tc>
          <w:tcPr>
            <w:tcW w:w="3213" w:type="dxa"/>
            <w:tcBorders>
              <w:top w:val="single" w:color="auto" w:sz="2" w:space="0"/>
              <w:left w:val="single" w:color="auto" w:sz="2" w:space="0"/>
              <w:bottom w:val="single" w:color="auto" w:sz="2" w:space="0"/>
              <w:right w:val="single" w:color="auto" w:sz="2" w:space="0"/>
            </w:tcBorders>
            <w:vAlign w:val="center"/>
          </w:tcPr>
          <w:p w14:paraId="36B853E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4,670,684.90</w:t>
            </w:r>
          </w:p>
        </w:tc>
        <w:tc>
          <w:tcPr>
            <w:tcW w:w="3213" w:type="dxa"/>
            <w:tcBorders>
              <w:top w:val="single" w:color="auto" w:sz="2" w:space="0"/>
              <w:left w:val="single" w:color="auto" w:sz="2" w:space="0"/>
              <w:bottom w:val="single" w:color="auto" w:sz="2" w:space="0"/>
              <w:right w:val="single" w:color="auto" w:sz="2" w:space="0"/>
            </w:tcBorders>
            <w:vAlign w:val="center"/>
          </w:tcPr>
          <w:p w14:paraId="7A9441B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2,704,630.23</w:t>
            </w:r>
          </w:p>
        </w:tc>
      </w:tr>
      <w:tr w14:paraId="7FCE6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38E79B8">
            <w:pPr>
              <w:spacing w:before="0" w:after="0" w:line="240" w:lineRule="exact"/>
              <w:jc w:val="left"/>
              <w:rPr>
                <w:rFonts w:ascii="宋体" w:hAnsi="宋体" w:eastAsia="宋体" w:cs="宋体"/>
                <w:sz w:val="18"/>
                <w:szCs w:val="18"/>
              </w:rPr>
            </w:pPr>
            <w:r>
              <w:rPr>
                <w:rFonts w:ascii="宋体" w:hAnsi="宋体" w:eastAsia="宋体" w:cs="宋体"/>
                <w:sz w:val="18"/>
                <w:szCs w:val="18"/>
              </w:rPr>
              <w:t>交通差旅费</w:t>
            </w:r>
          </w:p>
        </w:tc>
        <w:tc>
          <w:tcPr>
            <w:tcW w:w="3213" w:type="dxa"/>
            <w:tcBorders>
              <w:top w:val="single" w:color="auto" w:sz="2" w:space="0"/>
              <w:left w:val="single" w:color="auto" w:sz="2" w:space="0"/>
              <w:bottom w:val="single" w:color="auto" w:sz="2" w:space="0"/>
              <w:right w:val="single" w:color="auto" w:sz="2" w:space="0"/>
            </w:tcBorders>
            <w:vAlign w:val="center"/>
          </w:tcPr>
          <w:p w14:paraId="4CA2CA1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1,188,750.18</w:t>
            </w:r>
          </w:p>
        </w:tc>
        <w:tc>
          <w:tcPr>
            <w:tcW w:w="3213" w:type="dxa"/>
            <w:tcBorders>
              <w:top w:val="single" w:color="auto" w:sz="2" w:space="0"/>
              <w:left w:val="single" w:color="auto" w:sz="2" w:space="0"/>
              <w:bottom w:val="single" w:color="auto" w:sz="2" w:space="0"/>
              <w:right w:val="single" w:color="auto" w:sz="2" w:space="0"/>
            </w:tcBorders>
            <w:vAlign w:val="center"/>
          </w:tcPr>
          <w:p w14:paraId="64CA591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1,205,725.76</w:t>
            </w:r>
          </w:p>
        </w:tc>
      </w:tr>
      <w:tr w14:paraId="4E043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81A0FE7">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1E6B5A2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2,028,242.17</w:t>
            </w:r>
          </w:p>
        </w:tc>
        <w:tc>
          <w:tcPr>
            <w:tcW w:w="3213" w:type="dxa"/>
            <w:tcBorders>
              <w:top w:val="single" w:color="auto" w:sz="2" w:space="0"/>
              <w:left w:val="single" w:color="auto" w:sz="2" w:space="0"/>
              <w:bottom w:val="single" w:color="auto" w:sz="2" w:space="0"/>
              <w:right w:val="single" w:color="auto" w:sz="2" w:space="0"/>
            </w:tcBorders>
            <w:vAlign w:val="center"/>
          </w:tcPr>
          <w:p w14:paraId="0EFDB3E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2,704,200.57</w:t>
            </w:r>
          </w:p>
        </w:tc>
      </w:tr>
      <w:tr w14:paraId="14617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9F4B76">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54BAE3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57,210,995.98</w:t>
            </w:r>
          </w:p>
        </w:tc>
        <w:tc>
          <w:tcPr>
            <w:tcW w:w="3213" w:type="dxa"/>
            <w:tcBorders>
              <w:top w:val="single" w:color="auto" w:sz="2" w:space="0"/>
              <w:left w:val="single" w:color="auto" w:sz="2" w:space="0"/>
              <w:bottom w:val="single" w:color="auto" w:sz="2" w:space="0"/>
              <w:right w:val="single" w:color="auto" w:sz="2" w:space="0"/>
            </w:tcBorders>
            <w:vAlign w:val="center"/>
          </w:tcPr>
          <w:p w14:paraId="7994125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57,170,350.92</w:t>
            </w:r>
          </w:p>
        </w:tc>
      </w:tr>
    </w:tbl>
    <w:p w14:paraId="04F3F17B">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002D81BE">
      <w:pPr>
        <w:pStyle w:val="3"/>
        <w:keepNext/>
        <w:keepLines/>
        <w:spacing w:before="300" w:after="300" w:line="280" w:lineRule="exact"/>
        <w:jc w:val="left"/>
        <w:outlineLvl w:val="2"/>
        <w:rPr>
          <w:rFonts w:ascii="宋体" w:hAnsi="宋体" w:eastAsia="宋体" w:cs="宋体"/>
          <w:b/>
          <w:bCs/>
          <w:sz w:val="21"/>
          <w:szCs w:val="21"/>
        </w:rPr>
      </w:pPr>
      <w:bookmarkStart w:id="362" w:name="_Toc989172"/>
      <w:r>
        <w:rPr>
          <w:rFonts w:hint="default" w:ascii="Times New Roman" w:hAnsi="Times New Roman" w:eastAsia="宋体" w:cs="Times New Roman"/>
          <w:b/>
          <w:bCs/>
          <w:sz w:val="21"/>
          <w:szCs w:val="21"/>
        </w:rPr>
        <w:t>40</w:t>
      </w:r>
      <w:r>
        <w:rPr>
          <w:rFonts w:ascii="宋体" w:hAnsi="宋体" w:eastAsia="宋体" w:cs="宋体"/>
          <w:b/>
          <w:bCs/>
          <w:sz w:val="21"/>
          <w:szCs w:val="21"/>
        </w:rPr>
        <w:t>、销售费用</w:t>
      </w:r>
      <w:bookmarkEnd w:id="362"/>
    </w:p>
    <w:p w14:paraId="59A9404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E1CC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D328BE">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8DAE62">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37445F">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2F5D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DF8CBFC">
            <w:pPr>
              <w:spacing w:before="0" w:after="0" w:line="240" w:lineRule="exact"/>
              <w:jc w:val="left"/>
              <w:rPr>
                <w:rFonts w:ascii="宋体" w:hAnsi="宋体" w:eastAsia="宋体" w:cs="宋体"/>
                <w:sz w:val="18"/>
                <w:szCs w:val="18"/>
              </w:rPr>
            </w:pPr>
            <w:r>
              <w:rPr>
                <w:rFonts w:ascii="宋体" w:hAnsi="宋体" w:eastAsia="宋体" w:cs="宋体"/>
                <w:sz w:val="18"/>
                <w:szCs w:val="18"/>
              </w:rPr>
              <w:t>市场服务费</w:t>
            </w:r>
          </w:p>
        </w:tc>
        <w:tc>
          <w:tcPr>
            <w:tcW w:w="3213" w:type="dxa"/>
            <w:tcBorders>
              <w:top w:val="single" w:color="auto" w:sz="2" w:space="0"/>
              <w:left w:val="single" w:color="auto" w:sz="2" w:space="0"/>
              <w:bottom w:val="single" w:color="auto" w:sz="2" w:space="0"/>
              <w:right w:val="single" w:color="auto" w:sz="2" w:space="0"/>
            </w:tcBorders>
            <w:vAlign w:val="center"/>
          </w:tcPr>
          <w:p w14:paraId="712A821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80,869,010.03</w:t>
            </w:r>
          </w:p>
        </w:tc>
        <w:tc>
          <w:tcPr>
            <w:tcW w:w="3213" w:type="dxa"/>
            <w:tcBorders>
              <w:top w:val="single" w:color="auto" w:sz="2" w:space="0"/>
              <w:left w:val="single" w:color="auto" w:sz="2" w:space="0"/>
              <w:bottom w:val="single" w:color="auto" w:sz="2" w:space="0"/>
              <w:right w:val="single" w:color="auto" w:sz="2" w:space="0"/>
            </w:tcBorders>
            <w:vAlign w:val="center"/>
          </w:tcPr>
          <w:p w14:paraId="6F2D91C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71,328,073.96</w:t>
            </w:r>
          </w:p>
        </w:tc>
      </w:tr>
      <w:tr w14:paraId="0A761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05F9633">
            <w:pPr>
              <w:spacing w:before="0" w:after="0" w:line="240" w:lineRule="exact"/>
              <w:jc w:val="left"/>
              <w:rPr>
                <w:rFonts w:ascii="宋体" w:hAnsi="宋体" w:eastAsia="宋体" w:cs="宋体"/>
                <w:sz w:val="18"/>
                <w:szCs w:val="18"/>
              </w:rPr>
            </w:pPr>
            <w:r>
              <w:rPr>
                <w:rFonts w:ascii="宋体" w:hAnsi="宋体" w:eastAsia="宋体" w:cs="宋体"/>
                <w:sz w:val="18"/>
                <w:szCs w:val="18"/>
              </w:rPr>
              <w:t>会务推广费</w:t>
            </w:r>
          </w:p>
        </w:tc>
        <w:tc>
          <w:tcPr>
            <w:tcW w:w="3213" w:type="dxa"/>
            <w:tcBorders>
              <w:top w:val="single" w:color="auto" w:sz="2" w:space="0"/>
              <w:left w:val="single" w:color="auto" w:sz="2" w:space="0"/>
              <w:bottom w:val="single" w:color="auto" w:sz="2" w:space="0"/>
              <w:right w:val="single" w:color="auto" w:sz="2" w:space="0"/>
            </w:tcBorders>
            <w:vAlign w:val="center"/>
          </w:tcPr>
          <w:p w14:paraId="6EEF916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10,890,918.05</w:t>
            </w:r>
          </w:p>
        </w:tc>
        <w:tc>
          <w:tcPr>
            <w:tcW w:w="3213" w:type="dxa"/>
            <w:tcBorders>
              <w:top w:val="single" w:color="auto" w:sz="2" w:space="0"/>
              <w:left w:val="single" w:color="auto" w:sz="2" w:space="0"/>
              <w:bottom w:val="single" w:color="auto" w:sz="2" w:space="0"/>
              <w:right w:val="single" w:color="auto" w:sz="2" w:space="0"/>
            </w:tcBorders>
            <w:vAlign w:val="center"/>
          </w:tcPr>
          <w:p w14:paraId="13CEEB9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10,970,020.67</w:t>
            </w:r>
          </w:p>
        </w:tc>
      </w:tr>
      <w:tr w14:paraId="01FA3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AF75243">
            <w:pPr>
              <w:spacing w:before="0" w:after="0" w:line="240" w:lineRule="exact"/>
              <w:jc w:val="left"/>
              <w:rPr>
                <w:rFonts w:ascii="宋体" w:hAnsi="宋体" w:eastAsia="宋体" w:cs="宋体"/>
                <w:sz w:val="18"/>
                <w:szCs w:val="18"/>
              </w:rPr>
            </w:pPr>
            <w:r>
              <w:rPr>
                <w:rFonts w:ascii="宋体" w:hAnsi="宋体" w:eastAsia="宋体" w:cs="宋体"/>
                <w:sz w:val="18"/>
                <w:szCs w:val="18"/>
              </w:rPr>
              <w:t>工资及福利</w:t>
            </w:r>
          </w:p>
        </w:tc>
        <w:tc>
          <w:tcPr>
            <w:tcW w:w="3213" w:type="dxa"/>
            <w:tcBorders>
              <w:top w:val="single" w:color="auto" w:sz="2" w:space="0"/>
              <w:left w:val="single" w:color="auto" w:sz="2" w:space="0"/>
              <w:bottom w:val="single" w:color="auto" w:sz="2" w:space="0"/>
              <w:right w:val="single" w:color="auto" w:sz="2" w:space="0"/>
            </w:tcBorders>
            <w:vAlign w:val="center"/>
          </w:tcPr>
          <w:p w14:paraId="23AEB1F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44,635,393.19</w:t>
            </w:r>
          </w:p>
        </w:tc>
        <w:tc>
          <w:tcPr>
            <w:tcW w:w="3213" w:type="dxa"/>
            <w:tcBorders>
              <w:top w:val="single" w:color="auto" w:sz="2" w:space="0"/>
              <w:left w:val="single" w:color="auto" w:sz="2" w:space="0"/>
              <w:bottom w:val="single" w:color="auto" w:sz="2" w:space="0"/>
              <w:right w:val="single" w:color="auto" w:sz="2" w:space="0"/>
            </w:tcBorders>
            <w:vAlign w:val="center"/>
          </w:tcPr>
          <w:p w14:paraId="5AFD4A2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48,879,927.28</w:t>
            </w:r>
          </w:p>
        </w:tc>
      </w:tr>
      <w:tr w14:paraId="69A3A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EE04769">
            <w:pPr>
              <w:spacing w:before="0" w:after="0" w:line="240" w:lineRule="exact"/>
              <w:jc w:val="left"/>
              <w:rPr>
                <w:rFonts w:ascii="宋体" w:hAnsi="宋体" w:eastAsia="宋体" w:cs="宋体"/>
                <w:sz w:val="18"/>
                <w:szCs w:val="18"/>
              </w:rPr>
            </w:pPr>
            <w:r>
              <w:rPr>
                <w:rFonts w:ascii="宋体" w:hAnsi="宋体" w:eastAsia="宋体" w:cs="宋体"/>
                <w:sz w:val="18"/>
                <w:szCs w:val="18"/>
              </w:rPr>
              <w:t>办公费</w:t>
            </w:r>
          </w:p>
        </w:tc>
        <w:tc>
          <w:tcPr>
            <w:tcW w:w="3213" w:type="dxa"/>
            <w:tcBorders>
              <w:top w:val="single" w:color="auto" w:sz="2" w:space="0"/>
              <w:left w:val="single" w:color="auto" w:sz="2" w:space="0"/>
              <w:bottom w:val="single" w:color="auto" w:sz="2" w:space="0"/>
              <w:right w:val="single" w:color="auto" w:sz="2" w:space="0"/>
            </w:tcBorders>
            <w:vAlign w:val="center"/>
          </w:tcPr>
          <w:p w14:paraId="388F6D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3,694,273.05</w:t>
            </w:r>
          </w:p>
        </w:tc>
        <w:tc>
          <w:tcPr>
            <w:tcW w:w="3213" w:type="dxa"/>
            <w:tcBorders>
              <w:top w:val="single" w:color="auto" w:sz="2" w:space="0"/>
              <w:left w:val="single" w:color="auto" w:sz="2" w:space="0"/>
              <w:bottom w:val="single" w:color="auto" w:sz="2" w:space="0"/>
              <w:right w:val="single" w:color="auto" w:sz="2" w:space="0"/>
            </w:tcBorders>
            <w:vAlign w:val="center"/>
          </w:tcPr>
          <w:p w14:paraId="4E8B1B1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4,566,850.81</w:t>
            </w:r>
          </w:p>
        </w:tc>
      </w:tr>
      <w:tr w14:paraId="33B12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41F213A">
            <w:pPr>
              <w:spacing w:before="0" w:after="0" w:line="240" w:lineRule="exact"/>
              <w:jc w:val="left"/>
              <w:rPr>
                <w:rFonts w:ascii="宋体" w:hAnsi="宋体" w:eastAsia="宋体" w:cs="宋体"/>
                <w:sz w:val="18"/>
                <w:szCs w:val="18"/>
              </w:rPr>
            </w:pPr>
            <w:r>
              <w:rPr>
                <w:rFonts w:ascii="宋体" w:hAnsi="宋体" w:eastAsia="宋体" w:cs="宋体"/>
                <w:sz w:val="18"/>
                <w:szCs w:val="18"/>
              </w:rPr>
              <w:t>交通差旅费</w:t>
            </w:r>
          </w:p>
        </w:tc>
        <w:tc>
          <w:tcPr>
            <w:tcW w:w="3213" w:type="dxa"/>
            <w:tcBorders>
              <w:top w:val="single" w:color="auto" w:sz="2" w:space="0"/>
              <w:left w:val="single" w:color="auto" w:sz="2" w:space="0"/>
              <w:bottom w:val="single" w:color="auto" w:sz="2" w:space="0"/>
              <w:right w:val="single" w:color="auto" w:sz="2" w:space="0"/>
            </w:tcBorders>
            <w:vAlign w:val="center"/>
          </w:tcPr>
          <w:p w14:paraId="70FF91E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6,903,883.09</w:t>
            </w:r>
          </w:p>
        </w:tc>
        <w:tc>
          <w:tcPr>
            <w:tcW w:w="3213" w:type="dxa"/>
            <w:tcBorders>
              <w:top w:val="single" w:color="auto" w:sz="2" w:space="0"/>
              <w:left w:val="single" w:color="auto" w:sz="2" w:space="0"/>
              <w:bottom w:val="single" w:color="auto" w:sz="2" w:space="0"/>
              <w:right w:val="single" w:color="auto" w:sz="2" w:space="0"/>
            </w:tcBorders>
            <w:vAlign w:val="center"/>
          </w:tcPr>
          <w:p w14:paraId="194F37D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7,748,842.45</w:t>
            </w:r>
          </w:p>
        </w:tc>
      </w:tr>
      <w:tr w14:paraId="58268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32ED6BC">
            <w:pPr>
              <w:spacing w:before="0" w:after="0" w:line="240" w:lineRule="exact"/>
              <w:jc w:val="left"/>
              <w:rPr>
                <w:rFonts w:ascii="宋体" w:hAnsi="宋体" w:eastAsia="宋体" w:cs="宋体"/>
                <w:sz w:val="18"/>
                <w:szCs w:val="18"/>
              </w:rPr>
            </w:pPr>
            <w:r>
              <w:rPr>
                <w:rFonts w:ascii="宋体" w:hAnsi="宋体" w:eastAsia="宋体" w:cs="宋体"/>
                <w:sz w:val="18"/>
                <w:szCs w:val="18"/>
              </w:rPr>
              <w:t>业务拓展费</w:t>
            </w:r>
          </w:p>
        </w:tc>
        <w:tc>
          <w:tcPr>
            <w:tcW w:w="3213" w:type="dxa"/>
            <w:tcBorders>
              <w:top w:val="single" w:color="auto" w:sz="2" w:space="0"/>
              <w:left w:val="single" w:color="auto" w:sz="2" w:space="0"/>
              <w:bottom w:val="single" w:color="auto" w:sz="2" w:space="0"/>
              <w:right w:val="single" w:color="auto" w:sz="2" w:space="0"/>
            </w:tcBorders>
            <w:vAlign w:val="center"/>
          </w:tcPr>
          <w:p w14:paraId="3AE75B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8,747,736.51</w:t>
            </w:r>
          </w:p>
        </w:tc>
        <w:tc>
          <w:tcPr>
            <w:tcW w:w="3213" w:type="dxa"/>
            <w:tcBorders>
              <w:top w:val="single" w:color="auto" w:sz="2" w:space="0"/>
              <w:left w:val="single" w:color="auto" w:sz="2" w:space="0"/>
              <w:bottom w:val="single" w:color="auto" w:sz="2" w:space="0"/>
              <w:right w:val="single" w:color="auto" w:sz="2" w:space="0"/>
            </w:tcBorders>
            <w:vAlign w:val="center"/>
          </w:tcPr>
          <w:p w14:paraId="583F784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9,373,381.21</w:t>
            </w:r>
          </w:p>
        </w:tc>
      </w:tr>
      <w:tr w14:paraId="50330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8C96324">
            <w:pPr>
              <w:spacing w:before="0" w:after="0" w:line="240" w:lineRule="exact"/>
              <w:jc w:val="left"/>
              <w:rPr>
                <w:rFonts w:ascii="宋体" w:hAnsi="宋体" w:eastAsia="宋体" w:cs="宋体"/>
                <w:sz w:val="18"/>
                <w:szCs w:val="18"/>
              </w:rPr>
            </w:pPr>
            <w:r>
              <w:rPr>
                <w:rFonts w:ascii="宋体" w:hAnsi="宋体" w:eastAsia="宋体" w:cs="宋体"/>
                <w:sz w:val="18"/>
                <w:szCs w:val="18"/>
              </w:rPr>
              <w:t>折旧与摊销</w:t>
            </w:r>
          </w:p>
        </w:tc>
        <w:tc>
          <w:tcPr>
            <w:tcW w:w="3213" w:type="dxa"/>
            <w:tcBorders>
              <w:top w:val="single" w:color="auto" w:sz="2" w:space="0"/>
              <w:left w:val="single" w:color="auto" w:sz="2" w:space="0"/>
              <w:bottom w:val="single" w:color="auto" w:sz="2" w:space="0"/>
              <w:right w:val="single" w:color="auto" w:sz="2" w:space="0"/>
            </w:tcBorders>
            <w:vAlign w:val="center"/>
          </w:tcPr>
          <w:p w14:paraId="4E91DF2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2,439,045.74</w:t>
            </w:r>
          </w:p>
        </w:tc>
        <w:tc>
          <w:tcPr>
            <w:tcW w:w="3213" w:type="dxa"/>
            <w:tcBorders>
              <w:top w:val="single" w:color="auto" w:sz="2" w:space="0"/>
              <w:left w:val="single" w:color="auto" w:sz="2" w:space="0"/>
              <w:bottom w:val="single" w:color="auto" w:sz="2" w:space="0"/>
              <w:right w:val="single" w:color="auto" w:sz="2" w:space="0"/>
            </w:tcBorders>
            <w:vAlign w:val="center"/>
          </w:tcPr>
          <w:p w14:paraId="789459B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2,842,905.53</w:t>
            </w:r>
          </w:p>
        </w:tc>
      </w:tr>
      <w:tr w14:paraId="66831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D0691A2">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7E8833A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2,755,133.27</w:t>
            </w:r>
          </w:p>
        </w:tc>
        <w:tc>
          <w:tcPr>
            <w:tcW w:w="3213" w:type="dxa"/>
            <w:tcBorders>
              <w:top w:val="single" w:color="auto" w:sz="2" w:space="0"/>
              <w:left w:val="single" w:color="auto" w:sz="2" w:space="0"/>
              <w:bottom w:val="single" w:color="auto" w:sz="2" w:space="0"/>
              <w:right w:val="single" w:color="auto" w:sz="2" w:space="0"/>
            </w:tcBorders>
            <w:vAlign w:val="center"/>
          </w:tcPr>
          <w:p w14:paraId="2F0E6BD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1,750,392.29</w:t>
            </w:r>
          </w:p>
        </w:tc>
      </w:tr>
      <w:tr w14:paraId="0E5C7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3F4D67">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04FDAF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160,935,392.93</w:t>
            </w:r>
          </w:p>
        </w:tc>
        <w:tc>
          <w:tcPr>
            <w:tcW w:w="3213" w:type="dxa"/>
            <w:tcBorders>
              <w:top w:val="single" w:color="auto" w:sz="2" w:space="0"/>
              <w:left w:val="single" w:color="auto" w:sz="2" w:space="0"/>
              <w:bottom w:val="single" w:color="auto" w:sz="2" w:space="0"/>
              <w:right w:val="single" w:color="auto" w:sz="2" w:space="0"/>
            </w:tcBorders>
            <w:vAlign w:val="center"/>
          </w:tcPr>
          <w:p w14:paraId="45EFC74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157,460,394.20</w:t>
            </w:r>
          </w:p>
        </w:tc>
      </w:tr>
    </w:tbl>
    <w:p w14:paraId="52FFFAA2">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0115F983">
      <w:pPr>
        <w:pStyle w:val="3"/>
        <w:keepNext/>
        <w:keepLines/>
        <w:spacing w:before="300" w:after="300" w:line="280" w:lineRule="exact"/>
        <w:jc w:val="left"/>
        <w:outlineLvl w:val="2"/>
        <w:rPr>
          <w:rFonts w:ascii="宋体" w:hAnsi="宋体" w:eastAsia="宋体" w:cs="宋体"/>
          <w:b/>
          <w:bCs/>
          <w:sz w:val="21"/>
          <w:szCs w:val="21"/>
        </w:rPr>
      </w:pPr>
      <w:bookmarkStart w:id="363" w:name="_Toc989173"/>
      <w:r>
        <w:rPr>
          <w:rFonts w:hint="default" w:ascii="Times New Roman" w:hAnsi="Times New Roman" w:eastAsia="宋体" w:cs="Times New Roman"/>
          <w:b/>
          <w:bCs/>
          <w:sz w:val="21"/>
          <w:szCs w:val="21"/>
        </w:rPr>
        <w:t>41</w:t>
      </w:r>
      <w:r>
        <w:rPr>
          <w:rFonts w:ascii="宋体" w:hAnsi="宋体" w:eastAsia="宋体" w:cs="宋体"/>
          <w:b/>
          <w:bCs/>
          <w:sz w:val="21"/>
          <w:szCs w:val="21"/>
        </w:rPr>
        <w:t>、研发费用</w:t>
      </w:r>
      <w:bookmarkEnd w:id="363"/>
    </w:p>
    <w:p w14:paraId="32A69A8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EB4D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A18EC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A1B322">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915D91">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66FAA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3D5ADA9">
            <w:pPr>
              <w:spacing w:before="0" w:after="0" w:line="240" w:lineRule="exact"/>
              <w:jc w:val="left"/>
              <w:rPr>
                <w:rFonts w:ascii="宋体" w:hAnsi="宋体" w:eastAsia="宋体" w:cs="宋体"/>
                <w:sz w:val="18"/>
                <w:szCs w:val="18"/>
              </w:rPr>
            </w:pPr>
            <w:r>
              <w:rPr>
                <w:rFonts w:ascii="宋体" w:hAnsi="宋体" w:eastAsia="宋体" w:cs="宋体"/>
                <w:sz w:val="18"/>
                <w:szCs w:val="18"/>
              </w:rPr>
              <w:t>工资及福利</w:t>
            </w:r>
          </w:p>
        </w:tc>
        <w:tc>
          <w:tcPr>
            <w:tcW w:w="3213" w:type="dxa"/>
            <w:tcBorders>
              <w:top w:val="single" w:color="auto" w:sz="2" w:space="0"/>
              <w:left w:val="single" w:color="auto" w:sz="2" w:space="0"/>
              <w:bottom w:val="single" w:color="auto" w:sz="2" w:space="0"/>
              <w:right w:val="single" w:color="auto" w:sz="2" w:space="0"/>
            </w:tcBorders>
            <w:vAlign w:val="center"/>
          </w:tcPr>
          <w:p w14:paraId="6AF163A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14,725,922.41</w:t>
            </w:r>
          </w:p>
        </w:tc>
        <w:tc>
          <w:tcPr>
            <w:tcW w:w="3213" w:type="dxa"/>
            <w:tcBorders>
              <w:top w:val="single" w:color="auto" w:sz="2" w:space="0"/>
              <w:left w:val="single" w:color="auto" w:sz="2" w:space="0"/>
              <w:bottom w:val="single" w:color="auto" w:sz="2" w:space="0"/>
              <w:right w:val="single" w:color="auto" w:sz="2" w:space="0"/>
            </w:tcBorders>
            <w:vAlign w:val="center"/>
          </w:tcPr>
          <w:p w14:paraId="5059A2A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13,709,555.42</w:t>
            </w:r>
          </w:p>
        </w:tc>
      </w:tr>
      <w:tr w14:paraId="6275E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9E135CE">
            <w:pPr>
              <w:spacing w:before="0" w:after="0" w:line="240" w:lineRule="exact"/>
              <w:jc w:val="left"/>
              <w:rPr>
                <w:rFonts w:ascii="宋体" w:hAnsi="宋体" w:eastAsia="宋体" w:cs="宋体"/>
                <w:sz w:val="18"/>
                <w:szCs w:val="18"/>
              </w:rPr>
            </w:pPr>
            <w:r>
              <w:rPr>
                <w:rFonts w:ascii="宋体" w:hAnsi="宋体" w:eastAsia="宋体" w:cs="宋体"/>
                <w:sz w:val="18"/>
                <w:szCs w:val="18"/>
              </w:rPr>
              <w:t>折旧与摊销</w:t>
            </w:r>
          </w:p>
        </w:tc>
        <w:tc>
          <w:tcPr>
            <w:tcW w:w="3213" w:type="dxa"/>
            <w:tcBorders>
              <w:top w:val="single" w:color="auto" w:sz="2" w:space="0"/>
              <w:left w:val="single" w:color="auto" w:sz="2" w:space="0"/>
              <w:bottom w:val="single" w:color="auto" w:sz="2" w:space="0"/>
              <w:right w:val="single" w:color="auto" w:sz="2" w:space="0"/>
            </w:tcBorders>
            <w:vAlign w:val="center"/>
          </w:tcPr>
          <w:p w14:paraId="2E58A4A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3,233,775.29</w:t>
            </w:r>
          </w:p>
        </w:tc>
        <w:tc>
          <w:tcPr>
            <w:tcW w:w="3213" w:type="dxa"/>
            <w:tcBorders>
              <w:top w:val="single" w:color="auto" w:sz="2" w:space="0"/>
              <w:left w:val="single" w:color="auto" w:sz="2" w:space="0"/>
              <w:bottom w:val="single" w:color="auto" w:sz="2" w:space="0"/>
              <w:right w:val="single" w:color="auto" w:sz="2" w:space="0"/>
            </w:tcBorders>
            <w:vAlign w:val="center"/>
          </w:tcPr>
          <w:p w14:paraId="1DA3C4F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4,485,707.42</w:t>
            </w:r>
          </w:p>
        </w:tc>
      </w:tr>
      <w:tr w14:paraId="3BD84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EA278F4">
            <w:pPr>
              <w:spacing w:before="0" w:after="0" w:line="240" w:lineRule="exact"/>
              <w:jc w:val="left"/>
              <w:rPr>
                <w:rFonts w:ascii="宋体" w:hAnsi="宋体" w:eastAsia="宋体" w:cs="宋体"/>
                <w:sz w:val="18"/>
                <w:szCs w:val="18"/>
              </w:rPr>
            </w:pPr>
            <w:r>
              <w:rPr>
                <w:rFonts w:ascii="宋体" w:hAnsi="宋体" w:eastAsia="宋体" w:cs="宋体"/>
                <w:sz w:val="18"/>
                <w:szCs w:val="18"/>
              </w:rPr>
              <w:t>材料及动力费</w:t>
            </w:r>
          </w:p>
        </w:tc>
        <w:tc>
          <w:tcPr>
            <w:tcW w:w="3213" w:type="dxa"/>
            <w:tcBorders>
              <w:top w:val="single" w:color="auto" w:sz="2" w:space="0"/>
              <w:left w:val="single" w:color="auto" w:sz="2" w:space="0"/>
              <w:bottom w:val="single" w:color="auto" w:sz="2" w:space="0"/>
              <w:right w:val="single" w:color="auto" w:sz="2" w:space="0"/>
            </w:tcBorders>
            <w:vAlign w:val="center"/>
          </w:tcPr>
          <w:p w14:paraId="0092EAD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8,732,951.73</w:t>
            </w:r>
          </w:p>
        </w:tc>
        <w:tc>
          <w:tcPr>
            <w:tcW w:w="3213" w:type="dxa"/>
            <w:tcBorders>
              <w:top w:val="single" w:color="auto" w:sz="2" w:space="0"/>
              <w:left w:val="single" w:color="auto" w:sz="2" w:space="0"/>
              <w:bottom w:val="single" w:color="auto" w:sz="2" w:space="0"/>
              <w:right w:val="single" w:color="auto" w:sz="2" w:space="0"/>
            </w:tcBorders>
            <w:vAlign w:val="center"/>
          </w:tcPr>
          <w:p w14:paraId="616DCEC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6,140,747.82</w:t>
            </w:r>
          </w:p>
        </w:tc>
      </w:tr>
      <w:tr w14:paraId="11DED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D377C2E">
            <w:pPr>
              <w:spacing w:before="0" w:after="0" w:line="240" w:lineRule="exact"/>
              <w:jc w:val="left"/>
              <w:rPr>
                <w:rFonts w:ascii="宋体" w:hAnsi="宋体" w:eastAsia="宋体" w:cs="宋体"/>
                <w:sz w:val="18"/>
                <w:szCs w:val="18"/>
              </w:rPr>
            </w:pPr>
            <w:r>
              <w:rPr>
                <w:rFonts w:ascii="宋体" w:hAnsi="宋体"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14:paraId="6F73E84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557,551.82</w:t>
            </w:r>
          </w:p>
        </w:tc>
        <w:tc>
          <w:tcPr>
            <w:tcW w:w="3213" w:type="dxa"/>
            <w:tcBorders>
              <w:top w:val="single" w:color="auto" w:sz="2" w:space="0"/>
              <w:left w:val="single" w:color="auto" w:sz="2" w:space="0"/>
              <w:bottom w:val="single" w:color="auto" w:sz="2" w:space="0"/>
              <w:right w:val="single" w:color="auto" w:sz="2" w:space="0"/>
            </w:tcBorders>
            <w:vAlign w:val="center"/>
          </w:tcPr>
          <w:p w14:paraId="437A0EA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769,574.64</w:t>
            </w:r>
          </w:p>
        </w:tc>
      </w:tr>
      <w:tr w14:paraId="1FAC6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83E7FF5">
            <w:pPr>
              <w:spacing w:before="0" w:after="0" w:line="240" w:lineRule="exact"/>
              <w:jc w:val="left"/>
              <w:rPr>
                <w:rFonts w:ascii="宋体" w:hAnsi="宋体" w:eastAsia="宋体" w:cs="宋体"/>
                <w:sz w:val="18"/>
                <w:szCs w:val="18"/>
              </w:rPr>
            </w:pPr>
            <w:r>
              <w:rPr>
                <w:rFonts w:ascii="宋体" w:hAnsi="宋体" w:eastAsia="宋体" w:cs="宋体"/>
                <w:sz w:val="18"/>
                <w:szCs w:val="18"/>
              </w:rPr>
              <w:t>专家咨询费</w:t>
            </w:r>
          </w:p>
        </w:tc>
        <w:tc>
          <w:tcPr>
            <w:tcW w:w="3213" w:type="dxa"/>
            <w:tcBorders>
              <w:top w:val="single" w:color="auto" w:sz="2" w:space="0"/>
              <w:left w:val="single" w:color="auto" w:sz="2" w:space="0"/>
              <w:bottom w:val="single" w:color="auto" w:sz="2" w:space="0"/>
              <w:right w:val="single" w:color="auto" w:sz="2" w:space="0"/>
            </w:tcBorders>
            <w:vAlign w:val="center"/>
          </w:tcPr>
          <w:p w14:paraId="5D5BFD0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636,922.01</w:t>
            </w:r>
          </w:p>
        </w:tc>
        <w:tc>
          <w:tcPr>
            <w:tcW w:w="3213" w:type="dxa"/>
            <w:tcBorders>
              <w:top w:val="single" w:color="auto" w:sz="2" w:space="0"/>
              <w:left w:val="single" w:color="auto" w:sz="2" w:space="0"/>
              <w:bottom w:val="single" w:color="auto" w:sz="2" w:space="0"/>
              <w:right w:val="single" w:color="auto" w:sz="2" w:space="0"/>
            </w:tcBorders>
            <w:vAlign w:val="center"/>
          </w:tcPr>
          <w:p w14:paraId="61CE3CA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1,451,719.58</w:t>
            </w:r>
          </w:p>
        </w:tc>
      </w:tr>
      <w:tr w14:paraId="77286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266B12C">
            <w:pPr>
              <w:spacing w:before="0" w:after="0" w:line="240" w:lineRule="exact"/>
              <w:jc w:val="left"/>
              <w:rPr>
                <w:rFonts w:ascii="宋体" w:hAnsi="宋体" w:eastAsia="宋体" w:cs="宋体"/>
                <w:sz w:val="18"/>
                <w:szCs w:val="18"/>
              </w:rPr>
            </w:pPr>
            <w:r>
              <w:rPr>
                <w:rFonts w:ascii="宋体" w:hAnsi="宋体" w:eastAsia="宋体" w:cs="宋体"/>
                <w:sz w:val="18"/>
                <w:szCs w:val="18"/>
              </w:rPr>
              <w:t>测试化验加工费</w:t>
            </w:r>
          </w:p>
        </w:tc>
        <w:tc>
          <w:tcPr>
            <w:tcW w:w="3213" w:type="dxa"/>
            <w:tcBorders>
              <w:top w:val="single" w:color="auto" w:sz="2" w:space="0"/>
              <w:left w:val="single" w:color="auto" w:sz="2" w:space="0"/>
              <w:bottom w:val="single" w:color="auto" w:sz="2" w:space="0"/>
              <w:right w:val="single" w:color="auto" w:sz="2" w:space="0"/>
            </w:tcBorders>
            <w:vAlign w:val="center"/>
          </w:tcPr>
          <w:p w14:paraId="3A5D333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12,107,895.37</w:t>
            </w:r>
          </w:p>
        </w:tc>
        <w:tc>
          <w:tcPr>
            <w:tcW w:w="3213" w:type="dxa"/>
            <w:tcBorders>
              <w:top w:val="single" w:color="auto" w:sz="2" w:space="0"/>
              <w:left w:val="single" w:color="auto" w:sz="2" w:space="0"/>
              <w:bottom w:val="single" w:color="auto" w:sz="2" w:space="0"/>
              <w:right w:val="single" w:color="auto" w:sz="2" w:space="0"/>
            </w:tcBorders>
            <w:vAlign w:val="center"/>
          </w:tcPr>
          <w:p w14:paraId="2CF1E33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8,379,336.85</w:t>
            </w:r>
          </w:p>
        </w:tc>
      </w:tr>
      <w:tr w14:paraId="544D0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0CE5410">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2D35A9C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970,707.13</w:t>
            </w:r>
          </w:p>
        </w:tc>
        <w:tc>
          <w:tcPr>
            <w:tcW w:w="3213" w:type="dxa"/>
            <w:tcBorders>
              <w:top w:val="single" w:color="auto" w:sz="2" w:space="0"/>
              <w:left w:val="single" w:color="auto" w:sz="2" w:space="0"/>
              <w:bottom w:val="single" w:color="auto" w:sz="2" w:space="0"/>
              <w:right w:val="single" w:color="auto" w:sz="2" w:space="0"/>
            </w:tcBorders>
            <w:vAlign w:val="center"/>
          </w:tcPr>
          <w:p w14:paraId="597C5E5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1,228,316.69</w:t>
            </w:r>
          </w:p>
        </w:tc>
      </w:tr>
      <w:tr w14:paraId="15D12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EEAD2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97CA0A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40,965,725.76</w:t>
            </w:r>
          </w:p>
        </w:tc>
        <w:tc>
          <w:tcPr>
            <w:tcW w:w="3213" w:type="dxa"/>
            <w:tcBorders>
              <w:top w:val="single" w:color="auto" w:sz="2" w:space="0"/>
              <w:left w:val="single" w:color="auto" w:sz="2" w:space="0"/>
              <w:bottom w:val="single" w:color="auto" w:sz="2" w:space="0"/>
              <w:right w:val="single" w:color="auto" w:sz="2" w:space="0"/>
            </w:tcBorders>
            <w:vAlign w:val="center"/>
          </w:tcPr>
          <w:p w14:paraId="413682A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36,164,958.42</w:t>
            </w:r>
          </w:p>
        </w:tc>
      </w:tr>
    </w:tbl>
    <w:p w14:paraId="0EF2C649">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6C63BF0D">
      <w:pPr>
        <w:pStyle w:val="3"/>
        <w:keepNext/>
        <w:keepLines/>
        <w:spacing w:before="300" w:after="300" w:line="280" w:lineRule="exact"/>
        <w:jc w:val="left"/>
        <w:outlineLvl w:val="2"/>
        <w:rPr>
          <w:rFonts w:ascii="宋体" w:hAnsi="宋体" w:eastAsia="宋体" w:cs="宋体"/>
          <w:b/>
          <w:bCs/>
          <w:sz w:val="21"/>
          <w:szCs w:val="21"/>
        </w:rPr>
      </w:pPr>
      <w:bookmarkStart w:id="364" w:name="_Toc989174"/>
      <w:r>
        <w:rPr>
          <w:rFonts w:hint="default" w:ascii="Times New Roman" w:hAnsi="Times New Roman" w:eastAsia="宋体" w:cs="Times New Roman"/>
          <w:b/>
          <w:bCs/>
          <w:sz w:val="21"/>
          <w:szCs w:val="21"/>
        </w:rPr>
        <w:t>42</w:t>
      </w:r>
      <w:r>
        <w:rPr>
          <w:rFonts w:ascii="宋体" w:hAnsi="宋体" w:eastAsia="宋体" w:cs="宋体"/>
          <w:b/>
          <w:bCs/>
          <w:sz w:val="21"/>
          <w:szCs w:val="21"/>
        </w:rPr>
        <w:t>、财务费用</w:t>
      </w:r>
      <w:bookmarkEnd w:id="364"/>
    </w:p>
    <w:p w14:paraId="3B940D9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0AED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0216A7">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0B49F5">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8803F7">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27836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B5FE525">
            <w:pPr>
              <w:spacing w:before="0" w:after="0" w:line="240" w:lineRule="exact"/>
              <w:jc w:val="left"/>
              <w:rPr>
                <w:rFonts w:ascii="宋体" w:hAnsi="宋体" w:eastAsia="宋体" w:cs="宋体"/>
                <w:sz w:val="18"/>
                <w:szCs w:val="18"/>
              </w:rPr>
            </w:pPr>
            <w:r>
              <w:rPr>
                <w:rFonts w:ascii="宋体" w:hAnsi="宋体" w:eastAsia="宋体" w:cs="宋体"/>
                <w:sz w:val="18"/>
                <w:szCs w:val="18"/>
              </w:rPr>
              <w:t>利息费用</w:t>
            </w:r>
          </w:p>
        </w:tc>
        <w:tc>
          <w:tcPr>
            <w:tcW w:w="3213" w:type="dxa"/>
            <w:tcBorders>
              <w:top w:val="single" w:color="auto" w:sz="2" w:space="0"/>
              <w:left w:val="single" w:color="auto" w:sz="2" w:space="0"/>
              <w:bottom w:val="single" w:color="auto" w:sz="2" w:space="0"/>
              <w:right w:val="single" w:color="auto" w:sz="2" w:space="0"/>
            </w:tcBorders>
            <w:vAlign w:val="center"/>
          </w:tcPr>
          <w:p w14:paraId="51EAE1B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4,035,969.72</w:t>
            </w:r>
          </w:p>
        </w:tc>
        <w:tc>
          <w:tcPr>
            <w:tcW w:w="3213" w:type="dxa"/>
            <w:tcBorders>
              <w:top w:val="single" w:color="auto" w:sz="2" w:space="0"/>
              <w:left w:val="single" w:color="auto" w:sz="2" w:space="0"/>
              <w:bottom w:val="single" w:color="auto" w:sz="2" w:space="0"/>
              <w:right w:val="single" w:color="auto" w:sz="2" w:space="0"/>
            </w:tcBorders>
            <w:vAlign w:val="center"/>
          </w:tcPr>
          <w:p w14:paraId="55462C1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1,030,373.62</w:t>
            </w:r>
          </w:p>
        </w:tc>
      </w:tr>
      <w:tr w14:paraId="6B053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5D3AC91">
            <w:pPr>
              <w:spacing w:before="0" w:after="0" w:line="240" w:lineRule="exact"/>
              <w:jc w:val="left"/>
              <w:rPr>
                <w:rFonts w:ascii="宋体" w:hAnsi="宋体" w:eastAsia="宋体" w:cs="宋体"/>
                <w:sz w:val="18"/>
                <w:szCs w:val="18"/>
              </w:rPr>
            </w:pPr>
            <w:r>
              <w:rPr>
                <w:rFonts w:ascii="宋体" w:hAnsi="宋体" w:eastAsia="宋体" w:cs="宋体"/>
                <w:sz w:val="18"/>
                <w:szCs w:val="18"/>
              </w:rPr>
              <w:t>减：利息收入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7D61928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663,463.45</w:t>
            </w:r>
          </w:p>
        </w:tc>
        <w:tc>
          <w:tcPr>
            <w:tcW w:w="3213" w:type="dxa"/>
            <w:tcBorders>
              <w:top w:val="single" w:color="auto" w:sz="2" w:space="0"/>
              <w:left w:val="single" w:color="auto" w:sz="2" w:space="0"/>
              <w:bottom w:val="single" w:color="auto" w:sz="2" w:space="0"/>
              <w:right w:val="single" w:color="auto" w:sz="2" w:space="0"/>
            </w:tcBorders>
            <w:vAlign w:val="center"/>
          </w:tcPr>
          <w:p w14:paraId="65990E2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665,099.62</w:t>
            </w:r>
          </w:p>
        </w:tc>
      </w:tr>
      <w:tr w14:paraId="41291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4B62971">
            <w:pPr>
              <w:spacing w:before="0" w:after="0" w:line="240" w:lineRule="exact"/>
              <w:jc w:val="left"/>
              <w:rPr>
                <w:rFonts w:ascii="宋体" w:hAnsi="宋体" w:eastAsia="宋体" w:cs="宋体"/>
                <w:sz w:val="18"/>
                <w:szCs w:val="18"/>
              </w:rPr>
            </w:pPr>
            <w:r>
              <w:rPr>
                <w:rFonts w:ascii="宋体" w:hAnsi="宋体" w:eastAsia="宋体" w:cs="宋体"/>
                <w:sz w:val="18"/>
                <w:szCs w:val="18"/>
              </w:rPr>
              <w:t>汇兑损失</w:t>
            </w:r>
          </w:p>
        </w:tc>
        <w:tc>
          <w:tcPr>
            <w:tcW w:w="3213" w:type="dxa"/>
            <w:tcBorders>
              <w:top w:val="single" w:color="auto" w:sz="2" w:space="0"/>
              <w:left w:val="single" w:color="auto" w:sz="2" w:space="0"/>
              <w:bottom w:val="single" w:color="auto" w:sz="2" w:space="0"/>
              <w:right w:val="single" w:color="auto" w:sz="2" w:space="0"/>
            </w:tcBorders>
            <w:vAlign w:val="center"/>
          </w:tcPr>
          <w:p w14:paraId="57CDA65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77,568.69</w:t>
            </w:r>
          </w:p>
        </w:tc>
        <w:tc>
          <w:tcPr>
            <w:tcW w:w="3213" w:type="dxa"/>
            <w:tcBorders>
              <w:top w:val="single" w:color="auto" w:sz="2" w:space="0"/>
              <w:left w:val="single" w:color="auto" w:sz="2" w:space="0"/>
              <w:bottom w:val="single" w:color="auto" w:sz="2" w:space="0"/>
              <w:right w:val="single" w:color="auto" w:sz="2" w:space="0"/>
            </w:tcBorders>
            <w:vAlign w:val="center"/>
          </w:tcPr>
          <w:p w14:paraId="61B4EC9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344,707.58</w:t>
            </w:r>
          </w:p>
        </w:tc>
      </w:tr>
      <w:tr w14:paraId="32C41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597AF86">
            <w:pPr>
              <w:spacing w:before="0" w:after="0" w:line="240" w:lineRule="exact"/>
              <w:jc w:val="left"/>
              <w:rPr>
                <w:rFonts w:ascii="宋体" w:hAnsi="宋体" w:eastAsia="宋体" w:cs="宋体"/>
                <w:sz w:val="18"/>
                <w:szCs w:val="18"/>
              </w:rPr>
            </w:pPr>
            <w:r>
              <w:rPr>
                <w:rFonts w:ascii="宋体" w:hAnsi="宋体" w:eastAsia="宋体" w:cs="宋体"/>
                <w:sz w:val="18"/>
                <w:szCs w:val="18"/>
              </w:rPr>
              <w:t>减：汇兑收益</w:t>
            </w:r>
          </w:p>
        </w:tc>
        <w:tc>
          <w:tcPr>
            <w:tcW w:w="3213" w:type="dxa"/>
            <w:tcBorders>
              <w:top w:val="single" w:color="auto" w:sz="2" w:space="0"/>
              <w:left w:val="single" w:color="auto" w:sz="2" w:space="0"/>
              <w:bottom w:val="single" w:color="auto" w:sz="2" w:space="0"/>
              <w:right w:val="single" w:color="auto" w:sz="2" w:space="0"/>
            </w:tcBorders>
            <w:vAlign w:val="center"/>
          </w:tcPr>
          <w:p w14:paraId="0C20854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252,274.44</w:t>
            </w:r>
          </w:p>
        </w:tc>
        <w:tc>
          <w:tcPr>
            <w:tcW w:w="3213" w:type="dxa"/>
            <w:tcBorders>
              <w:top w:val="single" w:color="auto" w:sz="2" w:space="0"/>
              <w:left w:val="single" w:color="auto" w:sz="2" w:space="0"/>
              <w:bottom w:val="single" w:color="auto" w:sz="2" w:space="0"/>
              <w:right w:val="single" w:color="auto" w:sz="2" w:space="0"/>
            </w:tcBorders>
            <w:vAlign w:val="center"/>
          </w:tcPr>
          <w:p w14:paraId="7F7F5FE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221,381.02</w:t>
            </w:r>
          </w:p>
        </w:tc>
      </w:tr>
      <w:tr w14:paraId="035DE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C4D5747">
            <w:pPr>
              <w:spacing w:before="0" w:after="0" w:line="240" w:lineRule="exact"/>
              <w:jc w:val="left"/>
              <w:rPr>
                <w:rFonts w:ascii="宋体" w:hAnsi="宋体" w:eastAsia="宋体" w:cs="宋体"/>
                <w:sz w:val="18"/>
                <w:szCs w:val="18"/>
              </w:rPr>
            </w:pPr>
            <w:r>
              <w:rPr>
                <w:rFonts w:ascii="宋体" w:hAnsi="宋体" w:eastAsia="宋体" w:cs="宋体"/>
                <w:sz w:val="18"/>
                <w:szCs w:val="18"/>
              </w:rPr>
              <w:t>其他支出</w:t>
            </w:r>
          </w:p>
        </w:tc>
        <w:tc>
          <w:tcPr>
            <w:tcW w:w="3213" w:type="dxa"/>
            <w:tcBorders>
              <w:top w:val="single" w:color="auto" w:sz="2" w:space="0"/>
              <w:left w:val="single" w:color="auto" w:sz="2" w:space="0"/>
              <w:bottom w:val="single" w:color="auto" w:sz="2" w:space="0"/>
              <w:right w:val="single" w:color="auto" w:sz="2" w:space="0"/>
            </w:tcBorders>
            <w:vAlign w:val="center"/>
          </w:tcPr>
          <w:p w14:paraId="4E6ABFA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185,045.56</w:t>
            </w:r>
          </w:p>
        </w:tc>
        <w:tc>
          <w:tcPr>
            <w:tcW w:w="3213" w:type="dxa"/>
            <w:tcBorders>
              <w:top w:val="single" w:color="auto" w:sz="2" w:space="0"/>
              <w:left w:val="single" w:color="auto" w:sz="2" w:space="0"/>
              <w:bottom w:val="single" w:color="auto" w:sz="2" w:space="0"/>
              <w:right w:val="single" w:color="auto" w:sz="2" w:space="0"/>
            </w:tcBorders>
            <w:vAlign w:val="center"/>
          </w:tcPr>
          <w:p w14:paraId="7098416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875,467.53</w:t>
            </w:r>
          </w:p>
        </w:tc>
      </w:tr>
      <w:tr w14:paraId="005CD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DE7DE2">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DBF382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3,382,846.08</w:t>
            </w:r>
          </w:p>
        </w:tc>
        <w:tc>
          <w:tcPr>
            <w:tcW w:w="3213" w:type="dxa"/>
            <w:tcBorders>
              <w:top w:val="single" w:color="auto" w:sz="2" w:space="0"/>
              <w:left w:val="single" w:color="auto" w:sz="2" w:space="0"/>
              <w:bottom w:val="single" w:color="auto" w:sz="2" w:space="0"/>
              <w:right w:val="single" w:color="auto" w:sz="2" w:space="0"/>
            </w:tcBorders>
            <w:vAlign w:val="center"/>
          </w:tcPr>
          <w:p w14:paraId="3F40B3A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1,364,068.09</w:t>
            </w:r>
          </w:p>
        </w:tc>
      </w:tr>
    </w:tbl>
    <w:p w14:paraId="0BE2E5B0">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44C0D71B">
      <w:pPr>
        <w:pStyle w:val="3"/>
        <w:keepNext/>
        <w:keepLines/>
        <w:spacing w:before="300" w:after="300" w:line="280" w:lineRule="exact"/>
        <w:jc w:val="left"/>
        <w:outlineLvl w:val="2"/>
        <w:rPr>
          <w:rFonts w:ascii="宋体" w:hAnsi="宋体" w:eastAsia="宋体" w:cs="宋体"/>
          <w:b/>
          <w:bCs/>
          <w:sz w:val="21"/>
          <w:szCs w:val="21"/>
        </w:rPr>
      </w:pPr>
      <w:bookmarkStart w:id="365" w:name="_Toc989175"/>
      <w:r>
        <w:rPr>
          <w:rFonts w:hint="default" w:ascii="Times New Roman" w:hAnsi="Times New Roman" w:eastAsia="宋体" w:cs="Times New Roman"/>
          <w:b/>
          <w:bCs/>
          <w:sz w:val="21"/>
          <w:szCs w:val="21"/>
        </w:rPr>
        <w:t>43</w:t>
      </w:r>
      <w:r>
        <w:rPr>
          <w:rFonts w:ascii="宋体" w:hAnsi="宋体" w:eastAsia="宋体" w:cs="宋体"/>
          <w:b/>
          <w:bCs/>
          <w:sz w:val="21"/>
          <w:szCs w:val="21"/>
        </w:rPr>
        <w:t>、其他收益</w:t>
      </w:r>
      <w:bookmarkEnd w:id="365"/>
    </w:p>
    <w:p w14:paraId="196E523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94C6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98BA85">
            <w:pPr>
              <w:spacing w:before="40" w:after="40" w:line="240" w:lineRule="exact"/>
              <w:jc w:val="center"/>
              <w:rPr>
                <w:rFonts w:ascii="宋体" w:hAnsi="宋体" w:eastAsia="宋体" w:cs="宋体"/>
                <w:sz w:val="18"/>
                <w:szCs w:val="18"/>
              </w:rPr>
            </w:pPr>
            <w:r>
              <w:rPr>
                <w:rFonts w:ascii="宋体" w:hAnsi="宋体" w:eastAsia="宋体" w:cs="宋体"/>
                <w:sz w:val="18"/>
                <w:szCs w:val="18"/>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6967CC">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65F9A8">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4753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46E8CAC">
            <w:pPr>
              <w:spacing w:before="0" w:after="0" w:line="240" w:lineRule="exact"/>
              <w:jc w:val="left"/>
              <w:rPr>
                <w:rFonts w:ascii="宋体" w:hAnsi="宋体" w:eastAsia="宋体" w:cs="宋体"/>
                <w:sz w:val="18"/>
                <w:szCs w:val="18"/>
              </w:rPr>
            </w:pPr>
            <w:r>
              <w:rPr>
                <w:rFonts w:ascii="宋体" w:hAnsi="宋体" w:eastAsia="宋体" w:cs="宋体"/>
                <w:sz w:val="18"/>
                <w:szCs w:val="18"/>
              </w:rPr>
              <w:t>人才支撑计划补助</w:t>
            </w:r>
          </w:p>
        </w:tc>
        <w:tc>
          <w:tcPr>
            <w:tcW w:w="3213" w:type="dxa"/>
            <w:tcBorders>
              <w:top w:val="single" w:color="auto" w:sz="2" w:space="0"/>
              <w:left w:val="single" w:color="auto" w:sz="2" w:space="0"/>
              <w:bottom w:val="single" w:color="auto" w:sz="2" w:space="0"/>
              <w:right w:val="single" w:color="auto" w:sz="2" w:space="0"/>
            </w:tcBorders>
            <w:vAlign w:val="center"/>
          </w:tcPr>
          <w:p w14:paraId="196C04E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AF66CD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3,000,000.00</w:t>
            </w:r>
          </w:p>
        </w:tc>
      </w:tr>
      <w:tr w14:paraId="38B9F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817A321">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2024</w:t>
            </w:r>
            <w:r>
              <w:rPr>
                <w:rFonts w:ascii="宋体" w:hAnsi="宋体" w:eastAsia="宋体" w:cs="宋体"/>
                <w:sz w:val="18"/>
                <w:szCs w:val="18"/>
              </w:rPr>
              <w:t>年上半年科技项目配套资助资金</w:t>
            </w:r>
          </w:p>
        </w:tc>
        <w:tc>
          <w:tcPr>
            <w:tcW w:w="3213" w:type="dxa"/>
            <w:tcBorders>
              <w:top w:val="single" w:color="auto" w:sz="2" w:space="0"/>
              <w:left w:val="single" w:color="auto" w:sz="2" w:space="0"/>
              <w:bottom w:val="single" w:color="auto" w:sz="2" w:space="0"/>
              <w:right w:val="single" w:color="auto" w:sz="2" w:space="0"/>
            </w:tcBorders>
            <w:vAlign w:val="center"/>
          </w:tcPr>
          <w:p w14:paraId="72EBC3E5">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B172DA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1,800,000.00</w:t>
            </w:r>
          </w:p>
        </w:tc>
      </w:tr>
      <w:tr w14:paraId="521E8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238FDF2">
            <w:pPr>
              <w:spacing w:before="0" w:after="0" w:line="240" w:lineRule="exact"/>
              <w:jc w:val="left"/>
              <w:rPr>
                <w:rFonts w:ascii="宋体" w:hAnsi="宋体" w:eastAsia="宋体" w:cs="宋体"/>
                <w:sz w:val="18"/>
                <w:szCs w:val="18"/>
              </w:rPr>
            </w:pPr>
            <w:r>
              <w:rPr>
                <w:rFonts w:ascii="宋体" w:hAnsi="宋体" w:eastAsia="宋体" w:cs="宋体"/>
                <w:sz w:val="18"/>
                <w:szCs w:val="18"/>
              </w:rPr>
              <w:t>财政扶持资金</w:t>
            </w:r>
          </w:p>
        </w:tc>
        <w:tc>
          <w:tcPr>
            <w:tcW w:w="3213" w:type="dxa"/>
            <w:tcBorders>
              <w:top w:val="single" w:color="auto" w:sz="2" w:space="0"/>
              <w:left w:val="single" w:color="auto" w:sz="2" w:space="0"/>
              <w:bottom w:val="single" w:color="auto" w:sz="2" w:space="0"/>
              <w:right w:val="single" w:color="auto" w:sz="2" w:space="0"/>
            </w:tcBorders>
            <w:vAlign w:val="center"/>
          </w:tcPr>
          <w:p w14:paraId="16D110D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160,000.00</w:t>
            </w:r>
          </w:p>
        </w:tc>
        <w:tc>
          <w:tcPr>
            <w:tcW w:w="3213" w:type="dxa"/>
            <w:tcBorders>
              <w:top w:val="single" w:color="auto" w:sz="2" w:space="0"/>
              <w:left w:val="single" w:color="auto" w:sz="2" w:space="0"/>
              <w:bottom w:val="single" w:color="auto" w:sz="2" w:space="0"/>
              <w:right w:val="single" w:color="auto" w:sz="2" w:space="0"/>
            </w:tcBorders>
            <w:vAlign w:val="center"/>
          </w:tcPr>
          <w:p w14:paraId="5652B97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1,050,000.00</w:t>
            </w:r>
          </w:p>
        </w:tc>
      </w:tr>
      <w:tr w14:paraId="41BEF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32D55B5">
            <w:pPr>
              <w:spacing w:before="0" w:after="0" w:line="240" w:lineRule="exact"/>
              <w:jc w:val="left"/>
              <w:rPr>
                <w:rFonts w:ascii="宋体" w:hAnsi="宋体" w:eastAsia="宋体" w:cs="宋体"/>
                <w:sz w:val="18"/>
                <w:szCs w:val="18"/>
              </w:rPr>
            </w:pPr>
            <w:r>
              <w:rPr>
                <w:rFonts w:ascii="宋体" w:hAnsi="宋体" w:eastAsia="宋体" w:cs="宋体"/>
                <w:sz w:val="18"/>
                <w:szCs w:val="18"/>
              </w:rPr>
              <w:t>再生型医用植入器械国家工程实验室项目</w:t>
            </w:r>
          </w:p>
        </w:tc>
        <w:tc>
          <w:tcPr>
            <w:tcW w:w="3213" w:type="dxa"/>
            <w:tcBorders>
              <w:top w:val="single" w:color="auto" w:sz="2" w:space="0"/>
              <w:left w:val="single" w:color="auto" w:sz="2" w:space="0"/>
              <w:bottom w:val="single" w:color="auto" w:sz="2" w:space="0"/>
              <w:right w:val="single" w:color="auto" w:sz="2" w:space="0"/>
            </w:tcBorders>
            <w:vAlign w:val="center"/>
          </w:tcPr>
          <w:p w14:paraId="2D2E0C2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592,811.28</w:t>
            </w:r>
          </w:p>
        </w:tc>
        <w:tc>
          <w:tcPr>
            <w:tcW w:w="3213" w:type="dxa"/>
            <w:tcBorders>
              <w:top w:val="single" w:color="auto" w:sz="2" w:space="0"/>
              <w:left w:val="single" w:color="auto" w:sz="2" w:space="0"/>
              <w:bottom w:val="single" w:color="auto" w:sz="2" w:space="0"/>
              <w:right w:val="single" w:color="auto" w:sz="2" w:space="0"/>
            </w:tcBorders>
            <w:vAlign w:val="center"/>
          </w:tcPr>
          <w:p w14:paraId="4C1FC77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592,811.28</w:t>
            </w:r>
          </w:p>
        </w:tc>
      </w:tr>
      <w:tr w14:paraId="7FAE3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AD0B2E1">
            <w:pPr>
              <w:spacing w:before="0" w:after="0" w:line="240" w:lineRule="exact"/>
              <w:jc w:val="left"/>
              <w:rPr>
                <w:rFonts w:ascii="宋体" w:hAnsi="宋体" w:eastAsia="宋体" w:cs="宋体"/>
                <w:sz w:val="18"/>
                <w:szCs w:val="18"/>
              </w:rPr>
            </w:pPr>
            <w:r>
              <w:rPr>
                <w:rFonts w:ascii="宋体" w:hAnsi="宋体" w:eastAsia="宋体" w:cs="宋体"/>
                <w:sz w:val="18"/>
                <w:szCs w:val="18"/>
              </w:rPr>
              <w:t>再生型生物膜高技术产业化示范工程项目</w:t>
            </w:r>
          </w:p>
        </w:tc>
        <w:tc>
          <w:tcPr>
            <w:tcW w:w="3213" w:type="dxa"/>
            <w:tcBorders>
              <w:top w:val="single" w:color="auto" w:sz="2" w:space="0"/>
              <w:left w:val="single" w:color="auto" w:sz="2" w:space="0"/>
              <w:bottom w:val="single" w:color="auto" w:sz="2" w:space="0"/>
              <w:right w:val="single" w:color="auto" w:sz="2" w:space="0"/>
            </w:tcBorders>
            <w:vAlign w:val="center"/>
          </w:tcPr>
          <w:p w14:paraId="48AB6EA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568,397.88</w:t>
            </w:r>
          </w:p>
        </w:tc>
        <w:tc>
          <w:tcPr>
            <w:tcW w:w="3213" w:type="dxa"/>
            <w:tcBorders>
              <w:top w:val="single" w:color="auto" w:sz="2" w:space="0"/>
              <w:left w:val="single" w:color="auto" w:sz="2" w:space="0"/>
              <w:bottom w:val="single" w:color="auto" w:sz="2" w:space="0"/>
              <w:right w:val="single" w:color="auto" w:sz="2" w:space="0"/>
            </w:tcBorders>
            <w:vAlign w:val="center"/>
          </w:tcPr>
          <w:p w14:paraId="3A354C4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568,397.88</w:t>
            </w:r>
          </w:p>
        </w:tc>
      </w:tr>
      <w:tr w14:paraId="1EEA1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7E3B52C">
            <w:pPr>
              <w:spacing w:before="0" w:after="0" w:line="240" w:lineRule="exact"/>
              <w:jc w:val="left"/>
              <w:rPr>
                <w:rFonts w:ascii="宋体" w:hAnsi="宋体" w:eastAsia="宋体" w:cs="宋体"/>
                <w:sz w:val="18"/>
                <w:szCs w:val="18"/>
              </w:rPr>
            </w:pPr>
            <w:r>
              <w:rPr>
                <w:rFonts w:ascii="宋体" w:hAnsi="宋体" w:eastAsia="宋体" w:cs="宋体"/>
                <w:sz w:val="18"/>
                <w:szCs w:val="18"/>
              </w:rPr>
              <w:t>社保补贴</w:t>
            </w:r>
          </w:p>
        </w:tc>
        <w:tc>
          <w:tcPr>
            <w:tcW w:w="3213" w:type="dxa"/>
            <w:tcBorders>
              <w:top w:val="single" w:color="auto" w:sz="2" w:space="0"/>
              <w:left w:val="single" w:color="auto" w:sz="2" w:space="0"/>
              <w:bottom w:val="single" w:color="auto" w:sz="2" w:space="0"/>
              <w:right w:val="single" w:color="auto" w:sz="2" w:space="0"/>
            </w:tcBorders>
            <w:vAlign w:val="center"/>
          </w:tcPr>
          <w:p w14:paraId="6B0B2DC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430,646.05</w:t>
            </w:r>
          </w:p>
        </w:tc>
        <w:tc>
          <w:tcPr>
            <w:tcW w:w="3213" w:type="dxa"/>
            <w:tcBorders>
              <w:top w:val="single" w:color="auto" w:sz="2" w:space="0"/>
              <w:left w:val="single" w:color="auto" w:sz="2" w:space="0"/>
              <w:bottom w:val="single" w:color="auto" w:sz="2" w:space="0"/>
              <w:right w:val="single" w:color="auto" w:sz="2" w:space="0"/>
            </w:tcBorders>
            <w:vAlign w:val="center"/>
          </w:tcPr>
          <w:p w14:paraId="121C04F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458,150.81</w:t>
            </w:r>
          </w:p>
        </w:tc>
      </w:tr>
      <w:tr w14:paraId="0028F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9A88EC0">
            <w:pPr>
              <w:spacing w:before="0" w:after="0" w:line="240" w:lineRule="exact"/>
              <w:jc w:val="left"/>
              <w:rPr>
                <w:rFonts w:ascii="宋体" w:hAnsi="宋体" w:eastAsia="宋体" w:cs="宋体"/>
                <w:sz w:val="18"/>
                <w:szCs w:val="18"/>
              </w:rPr>
            </w:pPr>
            <w:r>
              <w:rPr>
                <w:rFonts w:ascii="宋体" w:hAnsi="宋体" w:eastAsia="宋体" w:cs="宋体"/>
                <w:sz w:val="18"/>
                <w:szCs w:val="18"/>
              </w:rPr>
              <w:t>专精特新企业人才扶持补助</w:t>
            </w:r>
          </w:p>
        </w:tc>
        <w:tc>
          <w:tcPr>
            <w:tcW w:w="3213" w:type="dxa"/>
            <w:tcBorders>
              <w:top w:val="single" w:color="auto" w:sz="2" w:space="0"/>
              <w:left w:val="single" w:color="auto" w:sz="2" w:space="0"/>
              <w:bottom w:val="single" w:color="auto" w:sz="2" w:space="0"/>
              <w:right w:val="single" w:color="auto" w:sz="2" w:space="0"/>
            </w:tcBorders>
            <w:vAlign w:val="center"/>
          </w:tcPr>
          <w:p w14:paraId="1980801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w:t>
            </w:r>
          </w:p>
        </w:tc>
        <w:tc>
          <w:tcPr>
            <w:tcW w:w="3213" w:type="dxa"/>
            <w:tcBorders>
              <w:top w:val="single" w:color="auto" w:sz="2" w:space="0"/>
              <w:left w:val="single" w:color="auto" w:sz="2" w:space="0"/>
              <w:bottom w:val="single" w:color="auto" w:sz="2" w:space="0"/>
              <w:right w:val="single" w:color="auto" w:sz="2" w:space="0"/>
            </w:tcBorders>
            <w:vAlign w:val="center"/>
          </w:tcPr>
          <w:p w14:paraId="78512A3C">
            <w:pPr>
              <w:spacing w:before="0" w:after="0" w:line="240" w:lineRule="exact"/>
              <w:jc w:val="right"/>
              <w:rPr>
                <w:rFonts w:hint="default" w:ascii="Times New Roman" w:hAnsi="Times New Roman" w:eastAsia="宋体" w:cs="Times New Roman"/>
                <w:sz w:val="18"/>
                <w:szCs w:val="18"/>
              </w:rPr>
            </w:pPr>
          </w:p>
        </w:tc>
      </w:tr>
      <w:tr w14:paraId="007FB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55924CD">
            <w:pPr>
              <w:spacing w:before="0" w:after="0" w:line="240" w:lineRule="exact"/>
              <w:jc w:val="left"/>
              <w:rPr>
                <w:rFonts w:ascii="宋体" w:hAnsi="宋体" w:eastAsia="宋体" w:cs="宋体"/>
                <w:sz w:val="18"/>
                <w:szCs w:val="18"/>
              </w:rPr>
            </w:pPr>
            <w:r>
              <w:rPr>
                <w:rFonts w:ascii="宋体" w:hAnsi="宋体" w:eastAsia="宋体" w:cs="宋体"/>
                <w:sz w:val="18"/>
                <w:szCs w:val="18"/>
              </w:rPr>
              <w:t>增值税加计抵减</w:t>
            </w:r>
          </w:p>
        </w:tc>
        <w:tc>
          <w:tcPr>
            <w:tcW w:w="3213" w:type="dxa"/>
            <w:tcBorders>
              <w:top w:val="single" w:color="auto" w:sz="2" w:space="0"/>
              <w:left w:val="single" w:color="auto" w:sz="2" w:space="0"/>
              <w:bottom w:val="single" w:color="auto" w:sz="2" w:space="0"/>
              <w:right w:val="single" w:color="auto" w:sz="2" w:space="0"/>
            </w:tcBorders>
            <w:vAlign w:val="center"/>
          </w:tcPr>
          <w:p w14:paraId="67D941C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78,008.06</w:t>
            </w:r>
          </w:p>
        </w:tc>
        <w:tc>
          <w:tcPr>
            <w:tcW w:w="3213" w:type="dxa"/>
            <w:tcBorders>
              <w:top w:val="single" w:color="auto" w:sz="2" w:space="0"/>
              <w:left w:val="single" w:color="auto" w:sz="2" w:space="0"/>
              <w:bottom w:val="single" w:color="auto" w:sz="2" w:space="0"/>
              <w:right w:val="single" w:color="auto" w:sz="2" w:space="0"/>
            </w:tcBorders>
            <w:vAlign w:val="center"/>
          </w:tcPr>
          <w:p w14:paraId="64EDB9E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445,558.11</w:t>
            </w:r>
          </w:p>
        </w:tc>
      </w:tr>
      <w:tr w14:paraId="46508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1AF367D">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22</w:t>
            </w:r>
            <w:r>
              <w:rPr>
                <w:rFonts w:ascii="宋体" w:hAnsi="宋体" w:eastAsia="宋体" w:cs="宋体"/>
                <w:sz w:val="18"/>
                <w:szCs w:val="18"/>
              </w:rPr>
              <w:t>年“小进规”一次性入库奖励</w:t>
            </w:r>
          </w:p>
        </w:tc>
        <w:tc>
          <w:tcPr>
            <w:tcW w:w="3213" w:type="dxa"/>
            <w:tcBorders>
              <w:top w:val="single" w:color="auto" w:sz="2" w:space="0"/>
              <w:left w:val="single" w:color="auto" w:sz="2" w:space="0"/>
              <w:bottom w:val="single" w:color="auto" w:sz="2" w:space="0"/>
              <w:right w:val="single" w:color="auto" w:sz="2" w:space="0"/>
            </w:tcBorders>
            <w:vAlign w:val="center"/>
          </w:tcPr>
          <w:p w14:paraId="603C65AA">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CF777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w:t>
            </w:r>
          </w:p>
        </w:tc>
      </w:tr>
      <w:tr w14:paraId="35A75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84A0DD4">
            <w:pPr>
              <w:spacing w:before="0" w:after="0" w:line="240" w:lineRule="exact"/>
              <w:jc w:val="left"/>
              <w:rPr>
                <w:rFonts w:ascii="宋体" w:hAnsi="宋体" w:eastAsia="宋体" w:cs="宋体"/>
                <w:sz w:val="18"/>
                <w:szCs w:val="18"/>
              </w:rPr>
            </w:pPr>
            <w:r>
              <w:rPr>
                <w:rFonts w:ascii="宋体" w:hAnsi="宋体" w:eastAsia="宋体" w:cs="宋体"/>
                <w:sz w:val="18"/>
                <w:szCs w:val="18"/>
              </w:rPr>
              <w:t>科技型中小企业评分择优奖励</w:t>
            </w:r>
          </w:p>
        </w:tc>
        <w:tc>
          <w:tcPr>
            <w:tcW w:w="3213" w:type="dxa"/>
            <w:tcBorders>
              <w:top w:val="single" w:color="auto" w:sz="2" w:space="0"/>
              <w:left w:val="single" w:color="auto" w:sz="2" w:space="0"/>
              <w:bottom w:val="single" w:color="auto" w:sz="2" w:space="0"/>
              <w:right w:val="single" w:color="auto" w:sz="2" w:space="0"/>
            </w:tcBorders>
            <w:vAlign w:val="center"/>
          </w:tcPr>
          <w:p w14:paraId="7860B2D7">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F509B0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250,000.00</w:t>
            </w:r>
          </w:p>
        </w:tc>
      </w:tr>
      <w:tr w14:paraId="67B51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B06622D">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27E995E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494,002.25</w:t>
            </w:r>
          </w:p>
        </w:tc>
        <w:tc>
          <w:tcPr>
            <w:tcW w:w="3213" w:type="dxa"/>
            <w:tcBorders>
              <w:top w:val="single" w:color="auto" w:sz="2" w:space="0"/>
              <w:left w:val="single" w:color="auto" w:sz="2" w:space="0"/>
              <w:bottom w:val="single" w:color="auto" w:sz="2" w:space="0"/>
              <w:right w:val="single" w:color="auto" w:sz="2" w:space="0"/>
            </w:tcBorders>
            <w:vAlign w:val="center"/>
          </w:tcPr>
          <w:p w14:paraId="1A6D14E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1,114,931.66</w:t>
            </w:r>
          </w:p>
        </w:tc>
      </w:tr>
    </w:tbl>
    <w:p w14:paraId="5D2C7567">
      <w:pPr>
        <w:pStyle w:val="3"/>
        <w:keepNext/>
        <w:keepLines/>
        <w:spacing w:before="300" w:after="300" w:line="280" w:lineRule="exact"/>
        <w:jc w:val="left"/>
        <w:outlineLvl w:val="2"/>
        <w:rPr>
          <w:rFonts w:ascii="宋体" w:hAnsi="宋体" w:eastAsia="宋体" w:cs="宋体"/>
          <w:b/>
          <w:bCs/>
          <w:sz w:val="21"/>
          <w:szCs w:val="21"/>
        </w:rPr>
      </w:pPr>
      <w:bookmarkStart w:id="366" w:name="_Toc989176"/>
      <w:r>
        <w:rPr>
          <w:rFonts w:ascii="宋体" w:hAnsi="宋体" w:eastAsia="宋体" w:cs="宋体"/>
          <w:b/>
          <w:bCs/>
          <w:sz w:val="21"/>
          <w:szCs w:val="21"/>
        </w:rPr>
        <w:t>44、投资收益</w:t>
      </w:r>
      <w:bookmarkEnd w:id="366"/>
    </w:p>
    <w:p w14:paraId="3EB064C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B406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4C478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5A2A33">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09A24E">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41469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49747D">
            <w:pPr>
              <w:spacing w:before="40" w:after="40" w:line="240" w:lineRule="exact"/>
              <w:jc w:val="lef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46B9A98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1,785,804.55</w:t>
            </w:r>
          </w:p>
        </w:tc>
        <w:tc>
          <w:tcPr>
            <w:tcW w:w="3213" w:type="dxa"/>
            <w:tcBorders>
              <w:top w:val="single" w:color="auto" w:sz="2" w:space="0"/>
              <w:left w:val="single" w:color="auto" w:sz="2" w:space="0"/>
              <w:bottom w:val="single" w:color="auto" w:sz="2" w:space="0"/>
              <w:right w:val="single" w:color="auto" w:sz="2" w:space="0"/>
            </w:tcBorders>
            <w:vAlign w:val="center"/>
          </w:tcPr>
          <w:p w14:paraId="48EC748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711,871.66</w:t>
            </w:r>
          </w:p>
        </w:tc>
      </w:tr>
      <w:tr w14:paraId="48020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5B66A1">
            <w:pPr>
              <w:spacing w:before="40" w:after="40" w:line="240" w:lineRule="exact"/>
              <w:jc w:val="left"/>
              <w:rPr>
                <w:rFonts w:ascii="宋体" w:hAnsi="宋体" w:eastAsia="宋体" w:cs="宋体"/>
                <w:sz w:val="18"/>
                <w:szCs w:val="18"/>
              </w:rPr>
            </w:pPr>
            <w:r>
              <w:rPr>
                <w:rFonts w:ascii="宋体" w:hAnsi="宋体" w:eastAsia="宋体" w:cs="宋体"/>
                <w:sz w:val="18"/>
                <w:szCs w:val="18"/>
              </w:rPr>
              <w:t>处置长期股权投资产生的投资收益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45B90E7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27,060.07</w:t>
            </w:r>
          </w:p>
        </w:tc>
        <w:tc>
          <w:tcPr>
            <w:tcW w:w="3213" w:type="dxa"/>
            <w:tcBorders>
              <w:top w:val="single" w:color="auto" w:sz="2" w:space="0"/>
              <w:left w:val="single" w:color="auto" w:sz="2" w:space="0"/>
              <w:bottom w:val="single" w:color="auto" w:sz="2" w:space="0"/>
              <w:right w:val="single" w:color="auto" w:sz="2" w:space="0"/>
            </w:tcBorders>
            <w:vAlign w:val="center"/>
          </w:tcPr>
          <w:p w14:paraId="7630D9B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-865,543.53</w:t>
            </w:r>
          </w:p>
        </w:tc>
      </w:tr>
      <w:tr w14:paraId="34FC0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409AB5">
            <w:pPr>
              <w:spacing w:before="40" w:after="40" w:line="240" w:lineRule="exact"/>
              <w:jc w:val="left"/>
              <w:rPr>
                <w:rFonts w:ascii="宋体" w:hAnsi="宋体" w:eastAsia="宋体" w:cs="宋体"/>
                <w:sz w:val="18"/>
                <w:szCs w:val="18"/>
              </w:rPr>
            </w:pPr>
            <w:r>
              <w:rPr>
                <w:rFonts w:ascii="宋体" w:hAnsi="宋体" w:eastAsia="宋体" w:cs="宋体"/>
                <w:sz w:val="18"/>
                <w:szCs w:val="18"/>
              </w:rPr>
              <w:t>债务重组收益</w:t>
            </w:r>
          </w:p>
        </w:tc>
        <w:tc>
          <w:tcPr>
            <w:tcW w:w="3213" w:type="dxa"/>
            <w:tcBorders>
              <w:top w:val="single" w:color="auto" w:sz="2" w:space="0"/>
              <w:left w:val="single" w:color="auto" w:sz="2" w:space="0"/>
              <w:bottom w:val="single" w:color="auto" w:sz="2" w:space="0"/>
              <w:right w:val="single" w:color="auto" w:sz="2" w:space="0"/>
            </w:tcBorders>
            <w:vAlign w:val="center"/>
          </w:tcPr>
          <w:p w14:paraId="6CCDEC2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81,750.00</w:t>
            </w:r>
          </w:p>
        </w:tc>
        <w:tc>
          <w:tcPr>
            <w:tcW w:w="3213" w:type="dxa"/>
            <w:tcBorders>
              <w:top w:val="single" w:color="auto" w:sz="2" w:space="0"/>
              <w:left w:val="single" w:color="auto" w:sz="2" w:space="0"/>
              <w:bottom w:val="single" w:color="auto" w:sz="2" w:space="0"/>
              <w:right w:val="single" w:color="auto" w:sz="2" w:space="0"/>
            </w:tcBorders>
            <w:vAlign w:val="center"/>
          </w:tcPr>
          <w:p w14:paraId="79174C7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-737,728.81</w:t>
            </w:r>
          </w:p>
        </w:tc>
      </w:tr>
      <w:tr w14:paraId="01854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9616C42">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6A8BF7F0">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2B0EE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1,497,642.26</w:t>
            </w:r>
          </w:p>
        </w:tc>
      </w:tr>
      <w:tr w14:paraId="253F1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4DFAD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452539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1,894,614.62</w:t>
            </w:r>
          </w:p>
        </w:tc>
        <w:tc>
          <w:tcPr>
            <w:tcW w:w="3213" w:type="dxa"/>
            <w:tcBorders>
              <w:top w:val="single" w:color="auto" w:sz="2" w:space="0"/>
              <w:left w:val="single" w:color="auto" w:sz="2" w:space="0"/>
              <w:bottom w:val="single" w:color="auto" w:sz="2" w:space="0"/>
              <w:right w:val="single" w:color="auto" w:sz="2" w:space="0"/>
            </w:tcBorders>
            <w:vAlign w:val="center"/>
          </w:tcPr>
          <w:p w14:paraId="5416B1C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606,241.58</w:t>
            </w:r>
          </w:p>
        </w:tc>
      </w:tr>
    </w:tbl>
    <w:p w14:paraId="79AFF7DA">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5FBAF581">
      <w:pPr>
        <w:pStyle w:val="3"/>
        <w:keepNext/>
        <w:keepLines/>
        <w:spacing w:before="300" w:after="300" w:line="280" w:lineRule="exact"/>
        <w:jc w:val="left"/>
        <w:outlineLvl w:val="2"/>
        <w:rPr>
          <w:rFonts w:ascii="宋体" w:hAnsi="宋体" w:eastAsia="宋体" w:cs="宋体"/>
          <w:b/>
          <w:bCs/>
          <w:sz w:val="21"/>
          <w:szCs w:val="21"/>
        </w:rPr>
      </w:pPr>
      <w:bookmarkStart w:id="367" w:name="_Toc989177"/>
      <w:r>
        <w:rPr>
          <w:rFonts w:hint="default" w:ascii="Times New Roman" w:hAnsi="Times New Roman" w:eastAsia="宋体" w:cs="Times New Roman"/>
          <w:b/>
          <w:bCs/>
          <w:sz w:val="21"/>
          <w:szCs w:val="21"/>
        </w:rPr>
        <w:t>45</w:t>
      </w:r>
      <w:r>
        <w:rPr>
          <w:rFonts w:ascii="宋体" w:hAnsi="宋体" w:eastAsia="宋体" w:cs="宋体"/>
          <w:b/>
          <w:bCs/>
          <w:sz w:val="21"/>
          <w:szCs w:val="21"/>
        </w:rPr>
        <w:t>、信用减值损失</w:t>
      </w:r>
      <w:bookmarkEnd w:id="367"/>
    </w:p>
    <w:p w14:paraId="7E3E751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4B84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2F9F7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249CFF">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4F4348">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55A03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24B16E">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14:paraId="6676FF3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-1,532,863.74</w:t>
            </w:r>
          </w:p>
        </w:tc>
        <w:tc>
          <w:tcPr>
            <w:tcW w:w="3213" w:type="dxa"/>
            <w:tcBorders>
              <w:top w:val="single" w:color="auto" w:sz="2" w:space="0"/>
              <w:left w:val="single" w:color="auto" w:sz="2" w:space="0"/>
              <w:bottom w:val="single" w:color="auto" w:sz="2" w:space="0"/>
              <w:right w:val="single" w:color="auto" w:sz="2" w:space="0"/>
            </w:tcBorders>
            <w:vAlign w:val="center"/>
          </w:tcPr>
          <w:p w14:paraId="3E70DE4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-8,558,115.48</w:t>
            </w:r>
          </w:p>
        </w:tc>
      </w:tr>
      <w:tr w14:paraId="66F3D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BE70B2">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14:paraId="03D858D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248,064.55</w:t>
            </w:r>
          </w:p>
        </w:tc>
        <w:tc>
          <w:tcPr>
            <w:tcW w:w="3213" w:type="dxa"/>
            <w:tcBorders>
              <w:top w:val="single" w:color="auto" w:sz="2" w:space="0"/>
              <w:left w:val="single" w:color="auto" w:sz="2" w:space="0"/>
              <w:bottom w:val="single" w:color="auto" w:sz="2" w:space="0"/>
              <w:right w:val="single" w:color="auto" w:sz="2" w:space="0"/>
            </w:tcBorders>
            <w:vAlign w:val="center"/>
          </w:tcPr>
          <w:p w14:paraId="0E84C49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1,114,700.81</w:t>
            </w:r>
          </w:p>
        </w:tc>
      </w:tr>
      <w:tr w14:paraId="14478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E897FF">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19B3A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-1,284,799.19</w:t>
            </w:r>
          </w:p>
        </w:tc>
        <w:tc>
          <w:tcPr>
            <w:tcW w:w="3213" w:type="dxa"/>
            <w:tcBorders>
              <w:top w:val="single" w:color="auto" w:sz="2" w:space="0"/>
              <w:left w:val="single" w:color="auto" w:sz="2" w:space="0"/>
              <w:bottom w:val="single" w:color="auto" w:sz="2" w:space="0"/>
              <w:right w:val="single" w:color="auto" w:sz="2" w:space="0"/>
            </w:tcBorders>
            <w:vAlign w:val="center"/>
          </w:tcPr>
          <w:p w14:paraId="78B176E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-7,443,414.67</w:t>
            </w:r>
          </w:p>
        </w:tc>
      </w:tr>
    </w:tbl>
    <w:p w14:paraId="4E4019E0">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5D45D157">
      <w:pPr>
        <w:pStyle w:val="3"/>
        <w:keepNext/>
        <w:keepLines/>
        <w:spacing w:before="300" w:after="300" w:line="280" w:lineRule="exact"/>
        <w:jc w:val="left"/>
        <w:outlineLvl w:val="2"/>
        <w:rPr>
          <w:rFonts w:ascii="宋体" w:hAnsi="宋体" w:eastAsia="宋体" w:cs="宋体"/>
          <w:b/>
          <w:bCs/>
          <w:sz w:val="21"/>
          <w:szCs w:val="21"/>
        </w:rPr>
      </w:pPr>
      <w:bookmarkStart w:id="368" w:name="_Toc989178"/>
      <w:r>
        <w:rPr>
          <w:rFonts w:hint="default" w:ascii="Times New Roman" w:hAnsi="Times New Roman" w:eastAsia="宋体" w:cs="Times New Roman"/>
          <w:b/>
          <w:bCs/>
          <w:sz w:val="21"/>
          <w:szCs w:val="21"/>
        </w:rPr>
        <w:t>46</w:t>
      </w:r>
      <w:r>
        <w:rPr>
          <w:rFonts w:ascii="宋体" w:hAnsi="宋体" w:eastAsia="宋体" w:cs="宋体"/>
          <w:b/>
          <w:bCs/>
          <w:sz w:val="21"/>
          <w:szCs w:val="21"/>
        </w:rPr>
        <w:t>、资产减值损失</w:t>
      </w:r>
      <w:bookmarkEnd w:id="368"/>
    </w:p>
    <w:p w14:paraId="7E3BD7E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0DD3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741A57">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5E900D">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E507AC">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6E9A8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CE214A">
            <w:pPr>
              <w:spacing w:before="40" w:after="40" w:line="240" w:lineRule="exact"/>
              <w:jc w:val="left"/>
              <w:rPr>
                <w:rFonts w:ascii="宋体" w:hAnsi="宋体" w:eastAsia="宋体" w:cs="宋体"/>
                <w:sz w:val="18"/>
                <w:szCs w:val="18"/>
              </w:rPr>
            </w:pPr>
            <w:r>
              <w:rPr>
                <w:rFonts w:ascii="宋体" w:hAnsi="宋体" w:eastAsia="宋体" w:cs="宋体"/>
                <w:sz w:val="18"/>
                <w:szCs w:val="18"/>
              </w:rPr>
              <w:t>一、存货跌价损失及合同履约成本减值损失</w:t>
            </w:r>
          </w:p>
        </w:tc>
        <w:tc>
          <w:tcPr>
            <w:tcW w:w="3213" w:type="dxa"/>
            <w:tcBorders>
              <w:top w:val="single" w:color="auto" w:sz="2" w:space="0"/>
              <w:left w:val="single" w:color="auto" w:sz="2" w:space="0"/>
              <w:bottom w:val="single" w:color="auto" w:sz="2" w:space="0"/>
              <w:right w:val="single" w:color="auto" w:sz="2" w:space="0"/>
            </w:tcBorders>
            <w:vAlign w:val="center"/>
          </w:tcPr>
          <w:p w14:paraId="5F3D8FE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-1,901,987.23</w:t>
            </w:r>
          </w:p>
        </w:tc>
        <w:tc>
          <w:tcPr>
            <w:tcW w:w="3213" w:type="dxa"/>
            <w:tcBorders>
              <w:top w:val="single" w:color="auto" w:sz="2" w:space="0"/>
              <w:left w:val="single" w:color="auto" w:sz="2" w:space="0"/>
              <w:bottom w:val="single" w:color="auto" w:sz="2" w:space="0"/>
              <w:right w:val="single" w:color="auto" w:sz="2" w:space="0"/>
            </w:tcBorders>
            <w:vAlign w:val="center"/>
          </w:tcPr>
          <w:p w14:paraId="50540E5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-1,305,632.91</w:t>
            </w:r>
          </w:p>
        </w:tc>
      </w:tr>
      <w:tr w14:paraId="6A38C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030103">
            <w:pPr>
              <w:spacing w:before="40" w:after="40" w:line="240" w:lineRule="exact"/>
              <w:jc w:val="left"/>
              <w:rPr>
                <w:rFonts w:ascii="宋体" w:hAnsi="宋体" w:eastAsia="宋体" w:cs="宋体"/>
                <w:sz w:val="18"/>
                <w:szCs w:val="18"/>
              </w:rPr>
            </w:pPr>
            <w:r>
              <w:rPr>
                <w:rFonts w:ascii="宋体" w:hAnsi="宋体" w:eastAsia="宋体" w:cs="宋体"/>
                <w:sz w:val="18"/>
                <w:szCs w:val="18"/>
              </w:rPr>
              <w:t>二、长期股权投资减值损失</w:t>
            </w:r>
          </w:p>
        </w:tc>
        <w:tc>
          <w:tcPr>
            <w:tcW w:w="3213" w:type="dxa"/>
            <w:tcBorders>
              <w:top w:val="single" w:color="auto" w:sz="2" w:space="0"/>
              <w:left w:val="single" w:color="auto" w:sz="2" w:space="0"/>
              <w:bottom w:val="single" w:color="auto" w:sz="2" w:space="0"/>
              <w:right w:val="single" w:color="auto" w:sz="2" w:space="0"/>
            </w:tcBorders>
            <w:vAlign w:val="center"/>
          </w:tcPr>
          <w:p w14:paraId="2B1EC1E1">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54EADC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-10,840,387.35</w:t>
            </w:r>
          </w:p>
        </w:tc>
      </w:tr>
      <w:tr w14:paraId="24F4B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7B9FDC">
            <w:pPr>
              <w:spacing w:before="40" w:after="40" w:line="240" w:lineRule="exact"/>
              <w:jc w:val="left"/>
              <w:rPr>
                <w:rFonts w:ascii="宋体" w:hAnsi="宋体" w:eastAsia="宋体" w:cs="宋体"/>
                <w:sz w:val="18"/>
                <w:szCs w:val="18"/>
              </w:rPr>
            </w:pPr>
            <w:r>
              <w:rPr>
                <w:rFonts w:ascii="宋体" w:hAnsi="宋体" w:eastAsia="宋体" w:cs="宋体"/>
                <w:sz w:val="18"/>
                <w:szCs w:val="18"/>
              </w:rPr>
              <w:t>九、无形资产减值损失</w:t>
            </w:r>
          </w:p>
        </w:tc>
        <w:tc>
          <w:tcPr>
            <w:tcW w:w="3213" w:type="dxa"/>
            <w:tcBorders>
              <w:top w:val="single" w:color="auto" w:sz="2" w:space="0"/>
              <w:left w:val="single" w:color="auto" w:sz="2" w:space="0"/>
              <w:bottom w:val="single" w:color="auto" w:sz="2" w:space="0"/>
              <w:right w:val="single" w:color="auto" w:sz="2" w:space="0"/>
            </w:tcBorders>
            <w:vAlign w:val="center"/>
          </w:tcPr>
          <w:p w14:paraId="52FB8D53">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3B125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-4,926,217.91</w:t>
            </w:r>
          </w:p>
        </w:tc>
      </w:tr>
      <w:tr w14:paraId="5DC2E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0212EF">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15D7F9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-1,901,987.23</w:t>
            </w:r>
          </w:p>
        </w:tc>
        <w:tc>
          <w:tcPr>
            <w:tcW w:w="3213" w:type="dxa"/>
            <w:tcBorders>
              <w:top w:val="single" w:color="auto" w:sz="2" w:space="0"/>
              <w:left w:val="single" w:color="auto" w:sz="2" w:space="0"/>
              <w:bottom w:val="single" w:color="auto" w:sz="2" w:space="0"/>
              <w:right w:val="single" w:color="auto" w:sz="2" w:space="0"/>
            </w:tcBorders>
            <w:vAlign w:val="center"/>
          </w:tcPr>
          <w:p w14:paraId="5135115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-17,072,238.17</w:t>
            </w:r>
          </w:p>
        </w:tc>
      </w:tr>
    </w:tbl>
    <w:p w14:paraId="3A852EFC">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10BCC08A">
      <w:pPr>
        <w:pStyle w:val="3"/>
        <w:keepNext/>
        <w:keepLines/>
        <w:spacing w:before="300" w:after="300" w:line="280" w:lineRule="exact"/>
        <w:jc w:val="left"/>
        <w:outlineLvl w:val="2"/>
        <w:rPr>
          <w:rFonts w:ascii="宋体" w:hAnsi="宋体" w:eastAsia="宋体" w:cs="宋体"/>
          <w:b/>
          <w:bCs/>
          <w:sz w:val="21"/>
          <w:szCs w:val="21"/>
        </w:rPr>
      </w:pPr>
      <w:bookmarkStart w:id="369" w:name="_Toc989179"/>
      <w:r>
        <w:rPr>
          <w:rFonts w:hint="default" w:ascii="Times New Roman" w:hAnsi="Times New Roman" w:eastAsia="宋体" w:cs="Times New Roman"/>
          <w:b/>
          <w:bCs/>
          <w:sz w:val="21"/>
          <w:szCs w:val="21"/>
        </w:rPr>
        <w:t>47</w:t>
      </w:r>
      <w:r>
        <w:rPr>
          <w:rFonts w:ascii="宋体" w:hAnsi="宋体" w:eastAsia="宋体" w:cs="宋体"/>
          <w:b/>
          <w:bCs/>
          <w:sz w:val="21"/>
          <w:szCs w:val="21"/>
        </w:rPr>
        <w:t>、资产处置收益</w:t>
      </w:r>
      <w:bookmarkEnd w:id="369"/>
    </w:p>
    <w:p w14:paraId="2FD1023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D925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E6421C">
            <w:pPr>
              <w:spacing w:before="40" w:after="40" w:line="240" w:lineRule="exact"/>
              <w:jc w:val="center"/>
              <w:rPr>
                <w:rFonts w:ascii="宋体" w:hAnsi="宋体" w:eastAsia="宋体" w:cs="宋体"/>
                <w:sz w:val="18"/>
                <w:szCs w:val="18"/>
              </w:rPr>
            </w:pPr>
            <w:r>
              <w:rPr>
                <w:rFonts w:ascii="宋体" w:hAnsi="宋体" w:eastAsia="宋体" w:cs="宋体"/>
                <w:sz w:val="18"/>
                <w:szCs w:val="18"/>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8F8499">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E7FE09">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1D732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D4D6230">
            <w:pPr>
              <w:spacing w:before="0" w:after="0" w:line="240" w:lineRule="exact"/>
              <w:jc w:val="left"/>
              <w:rPr>
                <w:rFonts w:ascii="宋体" w:hAnsi="宋体" w:eastAsia="宋体" w:cs="宋体"/>
                <w:sz w:val="18"/>
                <w:szCs w:val="18"/>
              </w:rPr>
            </w:pPr>
            <w:r>
              <w:rPr>
                <w:rFonts w:ascii="宋体" w:hAnsi="宋体" w:eastAsia="宋体" w:cs="宋体"/>
                <w:sz w:val="18"/>
                <w:szCs w:val="18"/>
              </w:rPr>
              <w:t>固定资产处置收益</w:t>
            </w:r>
          </w:p>
        </w:tc>
        <w:tc>
          <w:tcPr>
            <w:tcW w:w="3213" w:type="dxa"/>
            <w:tcBorders>
              <w:top w:val="single" w:color="auto" w:sz="2" w:space="0"/>
              <w:left w:val="single" w:color="auto" w:sz="2" w:space="0"/>
              <w:bottom w:val="single" w:color="auto" w:sz="2" w:space="0"/>
              <w:right w:val="single" w:color="auto" w:sz="2" w:space="0"/>
            </w:tcBorders>
            <w:vAlign w:val="center"/>
          </w:tcPr>
          <w:p w14:paraId="5C8444F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-5,119.40</w:t>
            </w:r>
          </w:p>
        </w:tc>
        <w:tc>
          <w:tcPr>
            <w:tcW w:w="3213" w:type="dxa"/>
            <w:tcBorders>
              <w:top w:val="single" w:color="auto" w:sz="2" w:space="0"/>
              <w:left w:val="single" w:color="auto" w:sz="2" w:space="0"/>
              <w:bottom w:val="single" w:color="auto" w:sz="2" w:space="0"/>
              <w:right w:val="single" w:color="auto" w:sz="2" w:space="0"/>
            </w:tcBorders>
            <w:vAlign w:val="center"/>
          </w:tcPr>
          <w:p w14:paraId="21CA69A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32,334.57</w:t>
            </w:r>
          </w:p>
        </w:tc>
      </w:tr>
    </w:tbl>
    <w:p w14:paraId="5431C2DC">
      <w:pPr>
        <w:pStyle w:val="3"/>
        <w:keepNext/>
        <w:keepLines/>
        <w:spacing w:before="300" w:after="300" w:line="280" w:lineRule="exact"/>
        <w:jc w:val="left"/>
        <w:outlineLvl w:val="2"/>
        <w:rPr>
          <w:rFonts w:ascii="宋体" w:hAnsi="宋体" w:eastAsia="宋体" w:cs="宋体"/>
          <w:b/>
          <w:bCs/>
          <w:sz w:val="21"/>
          <w:szCs w:val="21"/>
        </w:rPr>
      </w:pPr>
      <w:bookmarkStart w:id="370" w:name="_Toc989180"/>
      <w:r>
        <w:rPr>
          <w:rFonts w:hint="default" w:ascii="Times New Roman" w:hAnsi="Times New Roman" w:eastAsia="宋体" w:cs="Times New Roman"/>
          <w:b/>
          <w:bCs/>
          <w:sz w:val="21"/>
          <w:szCs w:val="21"/>
        </w:rPr>
        <w:t>48</w:t>
      </w:r>
      <w:r>
        <w:rPr>
          <w:rFonts w:ascii="宋体" w:hAnsi="宋体" w:eastAsia="宋体" w:cs="宋体"/>
          <w:b/>
          <w:bCs/>
          <w:sz w:val="21"/>
          <w:szCs w:val="21"/>
        </w:rPr>
        <w:t>、营业外收入</w:t>
      </w:r>
      <w:bookmarkEnd w:id="370"/>
    </w:p>
    <w:p w14:paraId="2E2B20C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6F497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3D63B14">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6751C68">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C52341E">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9F14712">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14:paraId="1917A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C5EBD81">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14:paraId="0202AC9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900,054.95</w:t>
            </w:r>
          </w:p>
        </w:tc>
        <w:tc>
          <w:tcPr>
            <w:tcW w:w="2410" w:type="dxa"/>
            <w:tcBorders>
              <w:top w:val="single" w:color="auto" w:sz="2" w:space="0"/>
              <w:left w:val="single" w:color="auto" w:sz="2" w:space="0"/>
              <w:bottom w:val="single" w:color="auto" w:sz="2" w:space="0"/>
              <w:right w:val="single" w:color="auto" w:sz="2" w:space="0"/>
            </w:tcBorders>
            <w:vAlign w:val="center"/>
          </w:tcPr>
          <w:p w14:paraId="42306EC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23,603.65</w:t>
            </w:r>
          </w:p>
        </w:tc>
        <w:tc>
          <w:tcPr>
            <w:tcW w:w="2410" w:type="dxa"/>
            <w:tcBorders>
              <w:top w:val="single" w:color="auto" w:sz="2" w:space="0"/>
              <w:left w:val="single" w:color="auto" w:sz="2" w:space="0"/>
              <w:bottom w:val="single" w:color="auto" w:sz="2" w:space="0"/>
              <w:right w:val="single" w:color="auto" w:sz="2" w:space="0"/>
            </w:tcBorders>
            <w:vAlign w:val="center"/>
          </w:tcPr>
          <w:p w14:paraId="45D9121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900,054.95</w:t>
            </w:r>
          </w:p>
        </w:tc>
      </w:tr>
      <w:tr w14:paraId="6486D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3F65989">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1E59819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900,054.95</w:t>
            </w:r>
          </w:p>
        </w:tc>
        <w:tc>
          <w:tcPr>
            <w:tcW w:w="2410" w:type="dxa"/>
            <w:tcBorders>
              <w:top w:val="single" w:color="auto" w:sz="2" w:space="0"/>
              <w:left w:val="single" w:color="auto" w:sz="2" w:space="0"/>
              <w:bottom w:val="single" w:color="auto" w:sz="2" w:space="0"/>
              <w:right w:val="single" w:color="auto" w:sz="2" w:space="0"/>
            </w:tcBorders>
            <w:vAlign w:val="center"/>
          </w:tcPr>
          <w:p w14:paraId="4C76A4F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23,603.65</w:t>
            </w:r>
          </w:p>
        </w:tc>
        <w:tc>
          <w:tcPr>
            <w:tcW w:w="2410" w:type="dxa"/>
            <w:tcBorders>
              <w:top w:val="single" w:color="auto" w:sz="2" w:space="0"/>
              <w:left w:val="single" w:color="auto" w:sz="2" w:space="0"/>
              <w:bottom w:val="single" w:color="auto" w:sz="2" w:space="0"/>
              <w:right w:val="single" w:color="auto" w:sz="2" w:space="0"/>
            </w:tcBorders>
            <w:vAlign w:val="center"/>
          </w:tcPr>
          <w:p w14:paraId="3AC63EA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900,054.95</w:t>
            </w:r>
          </w:p>
        </w:tc>
      </w:tr>
    </w:tbl>
    <w:p w14:paraId="74FF8F5C">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327D70EF">
      <w:pPr>
        <w:pStyle w:val="3"/>
        <w:keepNext/>
        <w:keepLines/>
        <w:spacing w:before="300" w:after="300" w:line="280" w:lineRule="exact"/>
        <w:jc w:val="left"/>
        <w:outlineLvl w:val="2"/>
        <w:rPr>
          <w:rFonts w:ascii="宋体" w:hAnsi="宋体" w:eastAsia="宋体" w:cs="宋体"/>
          <w:b/>
          <w:bCs/>
          <w:sz w:val="21"/>
          <w:szCs w:val="21"/>
        </w:rPr>
      </w:pPr>
      <w:bookmarkStart w:id="371" w:name="_Toc989181"/>
      <w:r>
        <w:rPr>
          <w:rFonts w:hint="default" w:ascii="Times New Roman" w:hAnsi="Times New Roman" w:eastAsia="宋体" w:cs="Times New Roman"/>
          <w:b/>
          <w:bCs/>
          <w:sz w:val="21"/>
          <w:szCs w:val="21"/>
        </w:rPr>
        <w:t>49</w:t>
      </w:r>
      <w:r>
        <w:rPr>
          <w:rFonts w:ascii="宋体" w:hAnsi="宋体" w:eastAsia="宋体" w:cs="宋体"/>
          <w:b/>
          <w:bCs/>
          <w:sz w:val="21"/>
          <w:szCs w:val="21"/>
        </w:rPr>
        <w:t>、营业外支出</w:t>
      </w:r>
      <w:bookmarkEnd w:id="371"/>
    </w:p>
    <w:p w14:paraId="1D43213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21521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80880D7">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0E4AB49">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BF28B3E">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BB21697">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14:paraId="23C9F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5E59D1A">
            <w:pPr>
              <w:spacing w:before="40" w:after="40" w:line="240" w:lineRule="exact"/>
              <w:jc w:val="left"/>
              <w:rPr>
                <w:rFonts w:ascii="宋体" w:hAnsi="宋体" w:eastAsia="宋体" w:cs="宋体"/>
                <w:sz w:val="18"/>
                <w:szCs w:val="18"/>
              </w:rPr>
            </w:pPr>
            <w:r>
              <w:rPr>
                <w:rFonts w:ascii="宋体" w:hAnsi="宋体" w:eastAsia="宋体" w:cs="宋体"/>
                <w:sz w:val="18"/>
                <w:szCs w:val="18"/>
              </w:rPr>
              <w:t>对外捐赠</w:t>
            </w:r>
          </w:p>
        </w:tc>
        <w:tc>
          <w:tcPr>
            <w:tcW w:w="2410" w:type="dxa"/>
            <w:tcBorders>
              <w:top w:val="single" w:color="auto" w:sz="2" w:space="0"/>
              <w:left w:val="single" w:color="auto" w:sz="2" w:space="0"/>
              <w:bottom w:val="single" w:color="auto" w:sz="2" w:space="0"/>
              <w:right w:val="single" w:color="auto" w:sz="2" w:space="0"/>
            </w:tcBorders>
            <w:vAlign w:val="center"/>
          </w:tcPr>
          <w:p w14:paraId="2CE818E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800,000.00</w:t>
            </w:r>
          </w:p>
        </w:tc>
        <w:tc>
          <w:tcPr>
            <w:tcW w:w="2410" w:type="dxa"/>
            <w:tcBorders>
              <w:top w:val="single" w:color="auto" w:sz="2" w:space="0"/>
              <w:left w:val="single" w:color="auto" w:sz="2" w:space="0"/>
              <w:bottom w:val="single" w:color="auto" w:sz="2" w:space="0"/>
              <w:right w:val="single" w:color="auto" w:sz="2" w:space="0"/>
            </w:tcBorders>
            <w:vAlign w:val="center"/>
          </w:tcPr>
          <w:p w14:paraId="6A70215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170,000.00</w:t>
            </w:r>
          </w:p>
        </w:tc>
        <w:tc>
          <w:tcPr>
            <w:tcW w:w="2410" w:type="dxa"/>
            <w:tcBorders>
              <w:top w:val="single" w:color="auto" w:sz="2" w:space="0"/>
              <w:left w:val="single" w:color="auto" w:sz="2" w:space="0"/>
              <w:bottom w:val="single" w:color="auto" w:sz="2" w:space="0"/>
              <w:right w:val="single" w:color="auto" w:sz="2" w:space="0"/>
            </w:tcBorders>
            <w:vAlign w:val="center"/>
          </w:tcPr>
          <w:p w14:paraId="0E7C39C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800,000.00</w:t>
            </w:r>
          </w:p>
        </w:tc>
      </w:tr>
      <w:tr w14:paraId="67614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621310F">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非流动资产损坏报废损失</w:t>
            </w:r>
          </w:p>
        </w:tc>
        <w:tc>
          <w:tcPr>
            <w:tcW w:w="2410" w:type="dxa"/>
            <w:tcBorders>
              <w:top w:val="single" w:color="auto" w:sz="2" w:space="0"/>
              <w:left w:val="single" w:color="auto" w:sz="2" w:space="0"/>
              <w:bottom w:val="single" w:color="auto" w:sz="2" w:space="0"/>
              <w:right w:val="single" w:color="auto" w:sz="2" w:space="0"/>
            </w:tcBorders>
            <w:vAlign w:val="center"/>
          </w:tcPr>
          <w:p w14:paraId="6693788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76,038.05</w:t>
            </w:r>
          </w:p>
        </w:tc>
        <w:tc>
          <w:tcPr>
            <w:tcW w:w="2410" w:type="dxa"/>
            <w:tcBorders>
              <w:top w:val="single" w:color="auto" w:sz="2" w:space="0"/>
              <w:left w:val="single" w:color="auto" w:sz="2" w:space="0"/>
              <w:bottom w:val="single" w:color="auto" w:sz="2" w:space="0"/>
              <w:right w:val="single" w:color="auto" w:sz="2" w:space="0"/>
            </w:tcBorders>
            <w:vAlign w:val="center"/>
          </w:tcPr>
          <w:p w14:paraId="1ED7CBA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55,102.05</w:t>
            </w:r>
          </w:p>
        </w:tc>
        <w:tc>
          <w:tcPr>
            <w:tcW w:w="2410" w:type="dxa"/>
            <w:tcBorders>
              <w:top w:val="single" w:color="auto" w:sz="2" w:space="0"/>
              <w:left w:val="single" w:color="auto" w:sz="2" w:space="0"/>
              <w:bottom w:val="single" w:color="auto" w:sz="2" w:space="0"/>
              <w:right w:val="single" w:color="auto" w:sz="2" w:space="0"/>
            </w:tcBorders>
            <w:vAlign w:val="center"/>
          </w:tcPr>
          <w:p w14:paraId="45121DA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76,038.05</w:t>
            </w:r>
          </w:p>
        </w:tc>
      </w:tr>
      <w:tr w14:paraId="05808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A359992">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14:paraId="1D91038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972,095.45</w:t>
            </w:r>
          </w:p>
        </w:tc>
        <w:tc>
          <w:tcPr>
            <w:tcW w:w="2410" w:type="dxa"/>
            <w:tcBorders>
              <w:top w:val="single" w:color="auto" w:sz="2" w:space="0"/>
              <w:left w:val="single" w:color="auto" w:sz="2" w:space="0"/>
              <w:bottom w:val="single" w:color="auto" w:sz="2" w:space="0"/>
              <w:right w:val="single" w:color="auto" w:sz="2" w:space="0"/>
            </w:tcBorders>
            <w:vAlign w:val="center"/>
          </w:tcPr>
          <w:p w14:paraId="72A7C82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22,813.96</w:t>
            </w:r>
          </w:p>
        </w:tc>
        <w:tc>
          <w:tcPr>
            <w:tcW w:w="2410" w:type="dxa"/>
            <w:tcBorders>
              <w:top w:val="single" w:color="auto" w:sz="2" w:space="0"/>
              <w:left w:val="single" w:color="auto" w:sz="2" w:space="0"/>
              <w:bottom w:val="single" w:color="auto" w:sz="2" w:space="0"/>
              <w:right w:val="single" w:color="auto" w:sz="2" w:space="0"/>
            </w:tcBorders>
            <w:vAlign w:val="center"/>
          </w:tcPr>
          <w:p w14:paraId="2ACC907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972,095.45</w:t>
            </w:r>
          </w:p>
        </w:tc>
      </w:tr>
      <w:tr w14:paraId="7ADAF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95BD600">
            <w:pPr>
              <w:spacing w:before="0" w:after="0" w:line="240" w:lineRule="exact"/>
              <w:jc w:val="left"/>
              <w:rPr>
                <w:rFonts w:ascii="宋体" w:hAnsi="宋体" w:eastAsia="宋体" w:cs="宋体"/>
                <w:sz w:val="18"/>
                <w:szCs w:val="18"/>
              </w:rPr>
            </w:pPr>
            <w:r>
              <w:rPr>
                <w:rFonts w:ascii="宋体" w:hAnsi="宋体" w:eastAsia="宋体" w:cs="宋体"/>
                <w:sz w:val="18"/>
                <w:szCs w:val="18"/>
              </w:rPr>
              <w:t>滞纳金</w:t>
            </w:r>
          </w:p>
        </w:tc>
        <w:tc>
          <w:tcPr>
            <w:tcW w:w="2410" w:type="dxa"/>
            <w:tcBorders>
              <w:top w:val="single" w:color="auto" w:sz="2" w:space="0"/>
              <w:left w:val="single" w:color="auto" w:sz="2" w:space="0"/>
              <w:bottom w:val="single" w:color="auto" w:sz="2" w:space="0"/>
              <w:right w:val="single" w:color="auto" w:sz="2" w:space="0"/>
            </w:tcBorders>
            <w:vAlign w:val="center"/>
          </w:tcPr>
          <w:p w14:paraId="1C5191D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2,224,872.77</w:t>
            </w:r>
          </w:p>
        </w:tc>
        <w:tc>
          <w:tcPr>
            <w:tcW w:w="2410" w:type="dxa"/>
            <w:tcBorders>
              <w:top w:val="single" w:color="auto" w:sz="2" w:space="0"/>
              <w:left w:val="single" w:color="auto" w:sz="2" w:space="0"/>
              <w:bottom w:val="single" w:color="auto" w:sz="2" w:space="0"/>
              <w:right w:val="single" w:color="auto" w:sz="2" w:space="0"/>
            </w:tcBorders>
            <w:vAlign w:val="center"/>
          </w:tcPr>
          <w:p w14:paraId="288507F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0.81</w:t>
            </w:r>
          </w:p>
        </w:tc>
        <w:tc>
          <w:tcPr>
            <w:tcW w:w="2410" w:type="dxa"/>
            <w:tcBorders>
              <w:top w:val="single" w:color="auto" w:sz="2" w:space="0"/>
              <w:left w:val="single" w:color="auto" w:sz="2" w:space="0"/>
              <w:bottom w:val="single" w:color="auto" w:sz="2" w:space="0"/>
              <w:right w:val="single" w:color="auto" w:sz="2" w:space="0"/>
            </w:tcBorders>
            <w:vAlign w:val="center"/>
          </w:tcPr>
          <w:p w14:paraId="4CCDAE1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2,224,872.77</w:t>
            </w:r>
          </w:p>
        </w:tc>
      </w:tr>
      <w:tr w14:paraId="5D4FD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5756B9D">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3F1AD11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4,073,006.27</w:t>
            </w:r>
          </w:p>
        </w:tc>
        <w:tc>
          <w:tcPr>
            <w:tcW w:w="2410" w:type="dxa"/>
            <w:tcBorders>
              <w:top w:val="single" w:color="auto" w:sz="2" w:space="0"/>
              <w:left w:val="single" w:color="auto" w:sz="2" w:space="0"/>
              <w:bottom w:val="single" w:color="auto" w:sz="2" w:space="0"/>
              <w:right w:val="single" w:color="auto" w:sz="2" w:space="0"/>
            </w:tcBorders>
            <w:vAlign w:val="center"/>
          </w:tcPr>
          <w:p w14:paraId="03634FE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247,916.82</w:t>
            </w:r>
          </w:p>
        </w:tc>
        <w:tc>
          <w:tcPr>
            <w:tcW w:w="2410" w:type="dxa"/>
            <w:tcBorders>
              <w:top w:val="single" w:color="auto" w:sz="2" w:space="0"/>
              <w:left w:val="single" w:color="auto" w:sz="2" w:space="0"/>
              <w:bottom w:val="single" w:color="auto" w:sz="2" w:space="0"/>
              <w:right w:val="single" w:color="auto" w:sz="2" w:space="0"/>
            </w:tcBorders>
            <w:vAlign w:val="center"/>
          </w:tcPr>
          <w:p w14:paraId="1D9C017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4,073,006.27</w:t>
            </w:r>
          </w:p>
        </w:tc>
      </w:tr>
    </w:tbl>
    <w:p w14:paraId="76574F7C">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1FB77C02">
      <w:pPr>
        <w:pStyle w:val="3"/>
        <w:keepNext/>
        <w:keepLines/>
        <w:spacing w:before="300" w:after="300" w:line="280" w:lineRule="exact"/>
        <w:jc w:val="left"/>
        <w:outlineLvl w:val="2"/>
        <w:rPr>
          <w:rFonts w:ascii="宋体" w:hAnsi="宋体" w:eastAsia="宋体" w:cs="宋体"/>
          <w:b/>
          <w:bCs/>
          <w:sz w:val="21"/>
          <w:szCs w:val="21"/>
        </w:rPr>
      </w:pPr>
      <w:bookmarkStart w:id="372" w:name="_Toc989182"/>
      <w:r>
        <w:rPr>
          <w:rFonts w:hint="default" w:ascii="Times New Roman" w:hAnsi="Times New Roman" w:eastAsia="宋体" w:cs="Times New Roman"/>
          <w:b/>
          <w:bCs/>
          <w:sz w:val="21"/>
          <w:szCs w:val="21"/>
        </w:rPr>
        <w:t>50</w:t>
      </w:r>
      <w:r>
        <w:rPr>
          <w:rFonts w:ascii="宋体" w:hAnsi="宋体" w:eastAsia="宋体" w:cs="宋体"/>
          <w:b/>
          <w:bCs/>
          <w:sz w:val="21"/>
          <w:szCs w:val="21"/>
        </w:rPr>
        <w:t>、所得税费用</w:t>
      </w:r>
      <w:bookmarkEnd w:id="372"/>
    </w:p>
    <w:p w14:paraId="03664CE3">
      <w:pPr>
        <w:keepNext/>
        <w:keepLines/>
        <w:spacing w:before="300" w:after="300" w:line="280" w:lineRule="exact"/>
        <w:jc w:val="left"/>
        <w:outlineLvl w:val="3"/>
        <w:rPr>
          <w:rFonts w:ascii="宋体" w:hAnsi="宋体" w:eastAsia="宋体" w:cs="宋体"/>
          <w:b/>
          <w:bCs/>
          <w:sz w:val="21"/>
          <w:szCs w:val="21"/>
        </w:rPr>
      </w:pPr>
      <w:bookmarkStart w:id="373" w:name="_Toc989183"/>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所得税费用表</w:t>
      </w:r>
      <w:bookmarkEnd w:id="373"/>
    </w:p>
    <w:p w14:paraId="3CAF560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4FEF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16343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E47613">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9D717F">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1E6F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E2179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0D8B9D6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13,087,076.89</w:t>
            </w:r>
          </w:p>
        </w:tc>
        <w:tc>
          <w:tcPr>
            <w:tcW w:w="3213" w:type="dxa"/>
            <w:tcBorders>
              <w:top w:val="single" w:color="auto" w:sz="2" w:space="0"/>
              <w:left w:val="single" w:color="auto" w:sz="2" w:space="0"/>
              <w:bottom w:val="single" w:color="auto" w:sz="2" w:space="0"/>
              <w:right w:val="single" w:color="auto" w:sz="2" w:space="0"/>
            </w:tcBorders>
            <w:vAlign w:val="center"/>
          </w:tcPr>
          <w:p w14:paraId="45D7DA2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12,990,462.72</w:t>
            </w:r>
          </w:p>
        </w:tc>
      </w:tr>
      <w:tr w14:paraId="5652B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1C2209">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5C6CE76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-593,785.10</w:t>
            </w:r>
          </w:p>
        </w:tc>
        <w:tc>
          <w:tcPr>
            <w:tcW w:w="3213" w:type="dxa"/>
            <w:tcBorders>
              <w:top w:val="single" w:color="auto" w:sz="2" w:space="0"/>
              <w:left w:val="single" w:color="auto" w:sz="2" w:space="0"/>
              <w:bottom w:val="single" w:color="auto" w:sz="2" w:space="0"/>
              <w:right w:val="single" w:color="auto" w:sz="2" w:space="0"/>
            </w:tcBorders>
            <w:vAlign w:val="center"/>
          </w:tcPr>
          <w:p w14:paraId="1090356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-1,578,677.87</w:t>
            </w:r>
          </w:p>
        </w:tc>
      </w:tr>
      <w:tr w14:paraId="4F07F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AE270D">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DAEEF5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12,493,291.79</w:t>
            </w:r>
          </w:p>
        </w:tc>
        <w:tc>
          <w:tcPr>
            <w:tcW w:w="3213" w:type="dxa"/>
            <w:tcBorders>
              <w:top w:val="single" w:color="auto" w:sz="2" w:space="0"/>
              <w:left w:val="single" w:color="auto" w:sz="2" w:space="0"/>
              <w:bottom w:val="single" w:color="auto" w:sz="2" w:space="0"/>
              <w:right w:val="single" w:color="auto" w:sz="2" w:space="0"/>
            </w:tcBorders>
            <w:vAlign w:val="center"/>
          </w:tcPr>
          <w:p w14:paraId="78B5E8C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11,411,784.85</w:t>
            </w:r>
          </w:p>
        </w:tc>
      </w:tr>
    </w:tbl>
    <w:p w14:paraId="4A8E3E47">
      <w:pPr>
        <w:keepNext/>
        <w:keepLines/>
        <w:spacing w:before="300" w:after="300" w:line="280" w:lineRule="exact"/>
        <w:jc w:val="left"/>
        <w:outlineLvl w:val="3"/>
        <w:rPr>
          <w:rFonts w:ascii="宋体" w:hAnsi="宋体" w:eastAsia="宋体" w:cs="宋体"/>
          <w:b/>
          <w:bCs/>
          <w:sz w:val="21"/>
          <w:szCs w:val="21"/>
        </w:rPr>
      </w:pPr>
      <w:bookmarkStart w:id="374" w:name="_Toc989184"/>
      <w:r>
        <w:rPr>
          <w:rFonts w:hint="default" w:ascii="Times New Roman" w:hAnsi="Times New Roman" w:eastAsia="宋体" w:cs="Times New Roman"/>
          <w:b/>
          <w:bCs/>
          <w:sz w:val="21"/>
          <w:szCs w:val="21"/>
        </w:rPr>
        <w:t>（2） 会计利润与所得税费用调整过程</w:t>
      </w:r>
      <w:bookmarkEnd w:id="374"/>
    </w:p>
    <w:p w14:paraId="19F5078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38A2C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96B486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EADFD83">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r>
      <w:tr w14:paraId="1B662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B54C0CC">
            <w:pPr>
              <w:spacing w:before="40" w:after="40" w:line="240" w:lineRule="exact"/>
              <w:jc w:val="left"/>
              <w:rPr>
                <w:rFonts w:ascii="宋体" w:hAnsi="宋体" w:eastAsia="宋体" w:cs="宋体"/>
                <w:sz w:val="18"/>
                <w:szCs w:val="18"/>
              </w:rPr>
            </w:pPr>
            <w:r>
              <w:rPr>
                <w:rFonts w:ascii="宋体" w:hAnsi="宋体" w:eastAsia="宋体" w:cs="宋体"/>
                <w:sz w:val="18"/>
                <w:szCs w:val="18"/>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14:paraId="2BF415C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27,280,561.83</w:t>
            </w:r>
          </w:p>
        </w:tc>
      </w:tr>
      <w:tr w14:paraId="7AC41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999F5EA">
            <w:pPr>
              <w:spacing w:before="40" w:after="40" w:line="240" w:lineRule="exact"/>
              <w:jc w:val="left"/>
              <w:rPr>
                <w:rFonts w:ascii="宋体" w:hAnsi="宋体" w:eastAsia="宋体" w:cs="宋体"/>
                <w:sz w:val="18"/>
                <w:szCs w:val="18"/>
              </w:rPr>
            </w:pPr>
            <w:r>
              <w:rPr>
                <w:rFonts w:ascii="宋体" w:hAnsi="宋体" w:eastAsia="宋体" w:cs="宋体"/>
                <w:sz w:val="18"/>
                <w:szCs w:val="18"/>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14:paraId="1D389D5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4,092,084.27</w:t>
            </w:r>
          </w:p>
        </w:tc>
      </w:tr>
      <w:tr w14:paraId="3FBE3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7880896">
            <w:pPr>
              <w:spacing w:before="40" w:after="40" w:line="240" w:lineRule="exact"/>
              <w:jc w:val="left"/>
              <w:rPr>
                <w:rFonts w:ascii="宋体" w:hAnsi="宋体" w:eastAsia="宋体" w:cs="宋体"/>
                <w:sz w:val="18"/>
                <w:szCs w:val="18"/>
              </w:rPr>
            </w:pPr>
            <w:r>
              <w:rPr>
                <w:rFonts w:ascii="宋体" w:hAnsi="宋体" w:eastAsia="宋体" w:cs="宋体"/>
                <w:sz w:val="18"/>
                <w:szCs w:val="18"/>
              </w:rPr>
              <w:t>子公司适用不同税率的影响</w:t>
            </w:r>
          </w:p>
        </w:tc>
        <w:tc>
          <w:tcPr>
            <w:tcW w:w="4820" w:type="dxa"/>
            <w:tcBorders>
              <w:top w:val="single" w:color="auto" w:sz="2" w:space="0"/>
              <w:left w:val="single" w:color="auto" w:sz="2" w:space="0"/>
              <w:bottom w:val="single" w:color="auto" w:sz="2" w:space="0"/>
              <w:right w:val="single" w:color="auto" w:sz="2" w:space="0"/>
            </w:tcBorders>
            <w:vAlign w:val="center"/>
          </w:tcPr>
          <w:p w14:paraId="23DB33F2">
            <w:pPr>
              <w:spacing w:before="0" w:after="0" w:line="240" w:lineRule="exact"/>
              <w:jc w:val="right"/>
              <w:rPr>
                <w:rFonts w:hint="default" w:ascii="Times New Roman" w:hAnsi="Times New Roman" w:eastAsia="宋体" w:cs="Times New Roman"/>
                <w:sz w:val="18"/>
                <w:szCs w:val="18"/>
              </w:rPr>
            </w:pPr>
            <w:r>
              <w:rPr>
                <w:rFonts w:hint="default"/>
                <w:sz w:val="18"/>
                <w:szCs w:val="18"/>
              </w:rPr>
              <w:t>1,924,011.39</w:t>
            </w:r>
          </w:p>
        </w:tc>
      </w:tr>
      <w:tr w14:paraId="2F2D4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86F0884">
            <w:pPr>
              <w:spacing w:before="40" w:after="40" w:line="240" w:lineRule="exact"/>
              <w:jc w:val="left"/>
              <w:rPr>
                <w:rFonts w:ascii="宋体" w:hAnsi="宋体" w:eastAsia="宋体" w:cs="宋体"/>
                <w:sz w:val="18"/>
                <w:szCs w:val="18"/>
              </w:rPr>
            </w:pPr>
            <w:r>
              <w:rPr>
                <w:rFonts w:ascii="宋体" w:hAnsi="宋体" w:eastAsia="宋体" w:cs="宋体"/>
                <w:sz w:val="18"/>
                <w:szCs w:val="18"/>
              </w:rPr>
              <w:t>调整以前期间所得税的影响</w:t>
            </w:r>
          </w:p>
        </w:tc>
        <w:tc>
          <w:tcPr>
            <w:tcW w:w="4820" w:type="dxa"/>
            <w:tcBorders>
              <w:top w:val="single" w:color="auto" w:sz="2" w:space="0"/>
              <w:left w:val="single" w:color="auto" w:sz="2" w:space="0"/>
              <w:bottom w:val="single" w:color="auto" w:sz="2" w:space="0"/>
              <w:right w:val="single" w:color="auto" w:sz="2" w:space="0"/>
            </w:tcBorders>
            <w:vAlign w:val="center"/>
          </w:tcPr>
          <w:p w14:paraId="5BA2614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740,540.47</w:t>
            </w:r>
          </w:p>
        </w:tc>
      </w:tr>
      <w:tr w14:paraId="6AE5F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CF337F8">
            <w:pPr>
              <w:spacing w:before="40" w:after="40" w:line="240" w:lineRule="exact"/>
              <w:jc w:val="left"/>
              <w:rPr>
                <w:rFonts w:ascii="宋体" w:hAnsi="宋体" w:eastAsia="宋体" w:cs="宋体"/>
                <w:sz w:val="18"/>
                <w:szCs w:val="18"/>
              </w:rPr>
            </w:pPr>
            <w:r>
              <w:rPr>
                <w:rFonts w:ascii="宋体" w:hAnsi="宋体" w:eastAsia="宋体" w:cs="宋体"/>
                <w:sz w:val="18"/>
                <w:szCs w:val="18"/>
              </w:rPr>
              <w:t>非应税收入的影响</w:t>
            </w:r>
          </w:p>
        </w:tc>
        <w:tc>
          <w:tcPr>
            <w:tcW w:w="4820" w:type="dxa"/>
            <w:tcBorders>
              <w:top w:val="single" w:color="auto" w:sz="2" w:space="0"/>
              <w:left w:val="single" w:color="auto" w:sz="2" w:space="0"/>
              <w:bottom w:val="single" w:color="auto" w:sz="2" w:space="0"/>
              <w:right w:val="single" w:color="auto" w:sz="2" w:space="0"/>
            </w:tcBorders>
            <w:vAlign w:val="center"/>
          </w:tcPr>
          <w:p w14:paraId="3FB22D3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r>
              <w:rPr>
                <w:rFonts w:hint="default"/>
                <w:sz w:val="18"/>
                <w:szCs w:val="18"/>
              </w:rPr>
              <w:t>8</w:t>
            </w:r>
            <w:r>
              <w:rPr>
                <w:rFonts w:hint="eastAsia"/>
                <w:sz w:val="18"/>
                <w:szCs w:val="18"/>
                <w:lang w:val="en-US" w:eastAsia="zh-CN"/>
              </w:rPr>
              <w:t>9</w:t>
            </w:r>
            <w:r>
              <w:rPr>
                <w:rFonts w:hint="default"/>
                <w:sz w:val="18"/>
                <w:szCs w:val="18"/>
              </w:rPr>
              <w:t>,290.23</w:t>
            </w:r>
          </w:p>
        </w:tc>
      </w:tr>
      <w:tr w14:paraId="12BF1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B7E0303">
            <w:pPr>
              <w:spacing w:before="40" w:after="40" w:line="240" w:lineRule="exact"/>
              <w:jc w:val="left"/>
              <w:rPr>
                <w:rFonts w:ascii="宋体" w:hAnsi="宋体" w:eastAsia="宋体" w:cs="宋体"/>
                <w:sz w:val="18"/>
                <w:szCs w:val="18"/>
              </w:rPr>
            </w:pPr>
            <w:r>
              <w:rPr>
                <w:rFonts w:ascii="宋体" w:hAnsi="宋体" w:eastAsia="宋体" w:cs="宋体"/>
                <w:sz w:val="18"/>
                <w:szCs w:val="18"/>
              </w:rPr>
              <w:t>不可抵扣的成本、费用和损失的影响</w:t>
            </w:r>
          </w:p>
        </w:tc>
        <w:tc>
          <w:tcPr>
            <w:tcW w:w="4820" w:type="dxa"/>
            <w:tcBorders>
              <w:top w:val="single" w:color="auto" w:sz="2" w:space="0"/>
              <w:left w:val="single" w:color="auto" w:sz="2" w:space="0"/>
              <w:bottom w:val="single" w:color="auto" w:sz="2" w:space="0"/>
              <w:right w:val="single" w:color="auto" w:sz="2" w:space="0"/>
            </w:tcBorders>
            <w:vAlign w:val="center"/>
          </w:tcPr>
          <w:p w14:paraId="2C07939F">
            <w:pPr>
              <w:spacing w:before="0" w:after="0" w:line="240" w:lineRule="exact"/>
              <w:jc w:val="right"/>
              <w:rPr>
                <w:rFonts w:hint="default" w:ascii="Times New Roman" w:hAnsi="Times New Roman" w:eastAsia="宋体" w:cs="Times New Roman"/>
                <w:sz w:val="18"/>
                <w:szCs w:val="18"/>
              </w:rPr>
            </w:pPr>
            <w:r>
              <w:rPr>
                <w:rFonts w:hint="default"/>
                <w:sz w:val="18"/>
                <w:szCs w:val="18"/>
              </w:rPr>
              <w:t>1,852,418.01</w:t>
            </w:r>
          </w:p>
        </w:tc>
      </w:tr>
      <w:tr w14:paraId="7BA30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E09A5E1">
            <w:pPr>
              <w:spacing w:before="40" w:after="40" w:line="240" w:lineRule="exact"/>
              <w:jc w:val="left"/>
              <w:rPr>
                <w:rFonts w:ascii="宋体" w:hAnsi="宋体" w:eastAsia="宋体" w:cs="宋体"/>
                <w:sz w:val="18"/>
                <w:szCs w:val="18"/>
              </w:rPr>
            </w:pPr>
            <w:r>
              <w:rPr>
                <w:rFonts w:ascii="宋体" w:hAnsi="宋体" w:eastAsia="宋体" w:cs="宋体"/>
                <w:sz w:val="18"/>
                <w:szCs w:val="18"/>
              </w:rPr>
              <w:t>使用前期未确认递延所得税资产的可抵扣亏损的影响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14:paraId="487A854C">
            <w:pPr>
              <w:spacing w:before="0" w:after="0" w:line="240" w:lineRule="exact"/>
              <w:jc w:val="right"/>
              <w:rPr>
                <w:rFonts w:hint="default" w:ascii="Times New Roman" w:hAnsi="Times New Roman" w:eastAsia="宋体" w:cs="Times New Roman"/>
                <w:sz w:val="18"/>
                <w:szCs w:val="18"/>
              </w:rPr>
            </w:pPr>
            <w:r>
              <w:rPr>
                <w:rFonts w:hint="default"/>
                <w:sz w:val="18"/>
                <w:szCs w:val="18"/>
              </w:rPr>
              <w:t>-89,792.22</w:t>
            </w:r>
          </w:p>
        </w:tc>
      </w:tr>
      <w:tr w14:paraId="2F6DC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113123D">
            <w:pPr>
              <w:spacing w:before="40" w:after="40" w:line="240" w:lineRule="exact"/>
              <w:jc w:val="left"/>
              <w:rPr>
                <w:rFonts w:ascii="宋体" w:hAnsi="宋体" w:eastAsia="宋体" w:cs="宋体"/>
                <w:sz w:val="18"/>
                <w:szCs w:val="18"/>
              </w:rPr>
            </w:pPr>
            <w:r>
              <w:rPr>
                <w:rFonts w:ascii="宋体" w:hAnsi="宋体" w:eastAsia="宋体" w:cs="宋体"/>
                <w:sz w:val="18"/>
                <w:szCs w:val="18"/>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14:paraId="4C136D9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6,893,303.48</w:t>
            </w:r>
          </w:p>
        </w:tc>
      </w:tr>
      <w:tr w14:paraId="3EA2D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A99FE7A">
            <w:pPr>
              <w:spacing w:before="0" w:after="0" w:line="240" w:lineRule="exact"/>
              <w:jc w:val="left"/>
              <w:rPr>
                <w:rFonts w:ascii="宋体" w:hAnsi="宋体" w:eastAsia="宋体" w:cs="宋体"/>
                <w:sz w:val="18"/>
                <w:szCs w:val="18"/>
              </w:rPr>
            </w:pPr>
            <w:r>
              <w:rPr>
                <w:rFonts w:ascii="宋体" w:hAnsi="宋体" w:eastAsia="宋体" w:cs="宋体"/>
                <w:sz w:val="18"/>
                <w:szCs w:val="18"/>
              </w:rPr>
              <w:t>研发费用加计扣除的影响</w:t>
            </w:r>
          </w:p>
        </w:tc>
        <w:tc>
          <w:tcPr>
            <w:tcW w:w="4820" w:type="dxa"/>
            <w:tcBorders>
              <w:top w:val="single" w:color="auto" w:sz="2" w:space="0"/>
              <w:left w:val="single" w:color="auto" w:sz="2" w:space="0"/>
              <w:bottom w:val="single" w:color="auto" w:sz="2" w:space="0"/>
              <w:right w:val="single" w:color="auto" w:sz="2" w:space="0"/>
            </w:tcBorders>
            <w:vAlign w:val="center"/>
          </w:tcPr>
          <w:p w14:paraId="61495DF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-2,775,541.59</w:t>
            </w:r>
          </w:p>
        </w:tc>
      </w:tr>
      <w:tr w14:paraId="58808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1F048FA">
            <w:pPr>
              <w:spacing w:before="0" w:after="0" w:line="240" w:lineRule="exact"/>
              <w:jc w:val="left"/>
              <w:rPr>
                <w:rFonts w:ascii="宋体" w:hAnsi="宋体" w:eastAsia="宋体" w:cs="宋体"/>
                <w:sz w:val="18"/>
                <w:szCs w:val="18"/>
              </w:rPr>
            </w:pPr>
            <w:r>
              <w:rPr>
                <w:rFonts w:ascii="宋体" w:hAnsi="宋体" w:eastAsia="宋体" w:cs="宋体"/>
                <w:sz w:val="18"/>
                <w:szCs w:val="18"/>
              </w:rPr>
              <w:t>其他影响</w:t>
            </w:r>
          </w:p>
        </w:tc>
        <w:tc>
          <w:tcPr>
            <w:tcW w:w="4820" w:type="dxa"/>
            <w:tcBorders>
              <w:top w:val="single" w:color="auto" w:sz="2" w:space="0"/>
              <w:left w:val="single" w:color="auto" w:sz="2" w:space="0"/>
              <w:bottom w:val="single" w:color="auto" w:sz="2" w:space="0"/>
              <w:right w:val="single" w:color="auto" w:sz="2" w:space="0"/>
            </w:tcBorders>
            <w:vAlign w:val="center"/>
          </w:tcPr>
          <w:p w14:paraId="5892981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-54,441.79</w:t>
            </w:r>
          </w:p>
        </w:tc>
      </w:tr>
      <w:tr w14:paraId="359D8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38451AD">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14:paraId="6D79CB3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12,493,291.79</w:t>
            </w:r>
          </w:p>
        </w:tc>
      </w:tr>
    </w:tbl>
    <w:p w14:paraId="57B7C030">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036EA3EB">
      <w:pPr>
        <w:pStyle w:val="3"/>
        <w:keepNext/>
        <w:keepLines/>
        <w:spacing w:before="300" w:after="300" w:line="280" w:lineRule="exact"/>
        <w:jc w:val="left"/>
        <w:outlineLvl w:val="2"/>
        <w:rPr>
          <w:rFonts w:ascii="宋体" w:hAnsi="宋体" w:eastAsia="宋体" w:cs="宋体"/>
          <w:b/>
          <w:bCs/>
          <w:sz w:val="21"/>
          <w:szCs w:val="21"/>
        </w:rPr>
      </w:pPr>
      <w:bookmarkStart w:id="375" w:name="_Toc989185"/>
      <w:r>
        <w:rPr>
          <w:rFonts w:hint="default" w:ascii="Times New Roman" w:hAnsi="Times New Roman" w:eastAsia="宋体" w:cs="Times New Roman"/>
          <w:b/>
          <w:bCs/>
          <w:sz w:val="21"/>
          <w:szCs w:val="21"/>
        </w:rPr>
        <w:t>51</w:t>
      </w:r>
      <w:r>
        <w:rPr>
          <w:rFonts w:ascii="宋体" w:hAnsi="宋体" w:eastAsia="宋体" w:cs="宋体"/>
          <w:b/>
          <w:bCs/>
          <w:sz w:val="21"/>
          <w:szCs w:val="21"/>
        </w:rPr>
        <w:t>、其他综合收益</w:t>
      </w:r>
      <w:bookmarkEnd w:id="375"/>
    </w:p>
    <w:p w14:paraId="2322A20A">
      <w:pPr>
        <w:spacing w:before="40" w:after="40" w:line="240" w:lineRule="exact"/>
        <w:jc w:val="left"/>
        <w:rPr>
          <w:rFonts w:ascii="宋体" w:hAnsi="宋体" w:eastAsia="宋体" w:cs="宋体"/>
          <w:sz w:val="18"/>
          <w:szCs w:val="18"/>
        </w:rPr>
      </w:pPr>
      <w:r>
        <w:rPr>
          <w:rFonts w:ascii="宋体" w:hAnsi="宋体" w:eastAsia="宋体" w:cs="宋体"/>
          <w:sz w:val="18"/>
          <w:szCs w:val="18"/>
        </w:rPr>
        <w:t>详见附注</w:t>
      </w:r>
      <w:r>
        <w:rPr>
          <w:rFonts w:hint="default" w:ascii="Times New Roman" w:hAnsi="Times New Roman" w:eastAsia="宋体" w:cs="Times New Roman"/>
          <w:sz w:val="18"/>
          <w:szCs w:val="18"/>
        </w:rPr>
        <w:t>34</w:t>
      </w:r>
      <w:r>
        <w:rPr>
          <w:rFonts w:ascii="宋体" w:hAnsi="宋体" w:eastAsia="宋体" w:cs="宋体"/>
          <w:sz w:val="18"/>
          <w:szCs w:val="18"/>
        </w:rPr>
        <w:t>“其他综合收益”。</w:t>
      </w:r>
    </w:p>
    <w:p w14:paraId="00EC8DE9">
      <w:pPr>
        <w:pStyle w:val="3"/>
        <w:keepNext/>
        <w:keepLines/>
        <w:spacing w:before="300" w:after="300" w:line="280" w:lineRule="exact"/>
        <w:jc w:val="left"/>
        <w:outlineLvl w:val="2"/>
        <w:rPr>
          <w:rFonts w:ascii="宋体" w:hAnsi="宋体" w:eastAsia="宋体" w:cs="宋体"/>
          <w:b/>
          <w:bCs/>
          <w:sz w:val="21"/>
          <w:szCs w:val="21"/>
        </w:rPr>
      </w:pPr>
      <w:bookmarkStart w:id="376" w:name="_Toc989186"/>
      <w:r>
        <w:rPr>
          <w:rFonts w:hint="default" w:ascii="Times New Roman" w:hAnsi="Times New Roman" w:eastAsia="宋体" w:cs="Times New Roman"/>
          <w:b/>
          <w:bCs/>
          <w:sz w:val="21"/>
          <w:szCs w:val="21"/>
        </w:rPr>
        <w:t>52</w:t>
      </w:r>
      <w:r>
        <w:rPr>
          <w:rFonts w:ascii="宋体" w:hAnsi="宋体" w:eastAsia="宋体" w:cs="宋体"/>
          <w:b/>
          <w:bCs/>
          <w:sz w:val="21"/>
          <w:szCs w:val="21"/>
        </w:rPr>
        <w:t>、现金流量表项目</w:t>
      </w:r>
      <w:bookmarkEnd w:id="376"/>
    </w:p>
    <w:p w14:paraId="017888C5">
      <w:pPr>
        <w:keepNext/>
        <w:keepLines/>
        <w:spacing w:before="300" w:after="300" w:line="280" w:lineRule="exact"/>
        <w:jc w:val="left"/>
        <w:outlineLvl w:val="3"/>
        <w:rPr>
          <w:rFonts w:ascii="宋体" w:hAnsi="宋体" w:eastAsia="宋体" w:cs="宋体"/>
          <w:b/>
          <w:bCs/>
          <w:sz w:val="21"/>
          <w:szCs w:val="21"/>
        </w:rPr>
      </w:pPr>
      <w:bookmarkStart w:id="377" w:name="_Toc989187"/>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与经营活动有关的现金</w:t>
      </w:r>
      <w:bookmarkEnd w:id="377"/>
    </w:p>
    <w:p w14:paraId="6BB71872">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收到的其他与经营活动有关的现金</w:t>
      </w:r>
    </w:p>
    <w:p w14:paraId="6F6277B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E38A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DC3AAA">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855372">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EC2C7D">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AA53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FE2184A">
            <w:pPr>
              <w:spacing w:before="0" w:after="0" w:line="240" w:lineRule="exact"/>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1016A9E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663,463.35</w:t>
            </w:r>
          </w:p>
        </w:tc>
        <w:tc>
          <w:tcPr>
            <w:tcW w:w="3213" w:type="dxa"/>
            <w:tcBorders>
              <w:top w:val="single" w:color="auto" w:sz="2" w:space="0"/>
              <w:left w:val="single" w:color="auto" w:sz="2" w:space="0"/>
              <w:bottom w:val="single" w:color="auto" w:sz="2" w:space="0"/>
              <w:right w:val="single" w:color="auto" w:sz="2" w:space="0"/>
            </w:tcBorders>
            <w:vAlign w:val="center"/>
          </w:tcPr>
          <w:p w14:paraId="4349631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665,099.62</w:t>
            </w:r>
          </w:p>
        </w:tc>
      </w:tr>
      <w:tr w14:paraId="79C0A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E6B0D92">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14:paraId="215432A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3,181,843.11</w:t>
            </w:r>
          </w:p>
        </w:tc>
        <w:tc>
          <w:tcPr>
            <w:tcW w:w="3213" w:type="dxa"/>
            <w:tcBorders>
              <w:top w:val="single" w:color="auto" w:sz="2" w:space="0"/>
              <w:left w:val="single" w:color="auto" w:sz="2" w:space="0"/>
              <w:bottom w:val="single" w:color="auto" w:sz="2" w:space="0"/>
              <w:right w:val="single" w:color="auto" w:sz="2" w:space="0"/>
            </w:tcBorders>
            <w:vAlign w:val="center"/>
          </w:tcPr>
          <w:p w14:paraId="3B5682A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3,970,759.08</w:t>
            </w:r>
          </w:p>
        </w:tc>
      </w:tr>
      <w:tr w14:paraId="0A7D6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D532199">
            <w:pPr>
              <w:spacing w:before="0" w:after="0" w:line="240" w:lineRule="exact"/>
              <w:jc w:val="left"/>
              <w:rPr>
                <w:rFonts w:ascii="宋体" w:hAnsi="宋体" w:eastAsia="宋体" w:cs="宋体"/>
                <w:sz w:val="18"/>
                <w:szCs w:val="18"/>
              </w:rPr>
            </w:pPr>
            <w:r>
              <w:rPr>
                <w:rFonts w:ascii="宋体" w:hAnsi="宋体" w:eastAsia="宋体" w:cs="宋体"/>
                <w:sz w:val="18"/>
                <w:szCs w:val="18"/>
              </w:rPr>
              <w:t>政府补助款</w:t>
            </w:r>
          </w:p>
        </w:tc>
        <w:tc>
          <w:tcPr>
            <w:tcW w:w="3213" w:type="dxa"/>
            <w:tcBorders>
              <w:top w:val="single" w:color="auto" w:sz="2" w:space="0"/>
              <w:left w:val="single" w:color="auto" w:sz="2" w:space="0"/>
              <w:bottom w:val="single" w:color="auto" w:sz="2" w:space="0"/>
              <w:right w:val="single" w:color="auto" w:sz="2" w:space="0"/>
            </w:tcBorders>
            <w:vAlign w:val="center"/>
          </w:tcPr>
          <w:p w14:paraId="6AA7FF6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1,313,290.15</w:t>
            </w:r>
          </w:p>
        </w:tc>
        <w:tc>
          <w:tcPr>
            <w:tcW w:w="3213" w:type="dxa"/>
            <w:tcBorders>
              <w:top w:val="single" w:color="auto" w:sz="2" w:space="0"/>
              <w:left w:val="single" w:color="auto" w:sz="2" w:space="0"/>
              <w:bottom w:val="single" w:color="auto" w:sz="2" w:space="0"/>
              <w:right w:val="single" w:color="auto" w:sz="2" w:space="0"/>
            </w:tcBorders>
            <w:vAlign w:val="center"/>
          </w:tcPr>
          <w:p w14:paraId="0A591DC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7,867,188.10</w:t>
            </w:r>
          </w:p>
        </w:tc>
      </w:tr>
      <w:tr w14:paraId="1387B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215FCEA">
            <w:pPr>
              <w:spacing w:before="0" w:after="0" w:line="240" w:lineRule="exact"/>
              <w:jc w:val="left"/>
              <w:rPr>
                <w:rFonts w:ascii="宋体" w:hAnsi="宋体" w:eastAsia="宋体" w:cs="宋体"/>
                <w:sz w:val="18"/>
                <w:szCs w:val="18"/>
              </w:rPr>
            </w:pPr>
            <w:r>
              <w:rPr>
                <w:rFonts w:ascii="宋体" w:hAnsi="宋体" w:eastAsia="宋体" w:cs="宋体"/>
                <w:sz w:val="18"/>
                <w:szCs w:val="18"/>
              </w:rPr>
              <w:t>押金及保证金</w:t>
            </w:r>
          </w:p>
        </w:tc>
        <w:tc>
          <w:tcPr>
            <w:tcW w:w="3213" w:type="dxa"/>
            <w:tcBorders>
              <w:top w:val="single" w:color="auto" w:sz="2" w:space="0"/>
              <w:left w:val="single" w:color="auto" w:sz="2" w:space="0"/>
              <w:bottom w:val="single" w:color="auto" w:sz="2" w:space="0"/>
              <w:right w:val="single" w:color="auto" w:sz="2" w:space="0"/>
            </w:tcBorders>
            <w:vAlign w:val="center"/>
          </w:tcPr>
          <w:p w14:paraId="650240E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4,295,484.55</w:t>
            </w:r>
          </w:p>
        </w:tc>
        <w:tc>
          <w:tcPr>
            <w:tcW w:w="3213" w:type="dxa"/>
            <w:tcBorders>
              <w:top w:val="single" w:color="auto" w:sz="2" w:space="0"/>
              <w:left w:val="single" w:color="auto" w:sz="2" w:space="0"/>
              <w:bottom w:val="single" w:color="auto" w:sz="2" w:space="0"/>
              <w:right w:val="single" w:color="auto" w:sz="2" w:space="0"/>
            </w:tcBorders>
            <w:vAlign w:val="center"/>
          </w:tcPr>
          <w:p w14:paraId="4DE1050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4,494,403.95</w:t>
            </w:r>
          </w:p>
        </w:tc>
      </w:tr>
      <w:tr w14:paraId="1022A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FAB7C58">
            <w:pPr>
              <w:spacing w:before="0" w:after="0" w:line="240" w:lineRule="exact"/>
              <w:jc w:val="left"/>
              <w:rPr>
                <w:rFonts w:ascii="宋体" w:hAnsi="宋体" w:eastAsia="宋体" w:cs="宋体"/>
                <w:sz w:val="18"/>
                <w:szCs w:val="18"/>
              </w:rPr>
            </w:pPr>
            <w:r>
              <w:rPr>
                <w:rFonts w:ascii="宋体" w:hAnsi="宋体" w:eastAsia="宋体" w:cs="宋体"/>
                <w:sz w:val="18"/>
                <w:szCs w:val="18"/>
              </w:rPr>
              <w:t>受限资金的减少</w:t>
            </w:r>
          </w:p>
        </w:tc>
        <w:tc>
          <w:tcPr>
            <w:tcW w:w="3213" w:type="dxa"/>
            <w:tcBorders>
              <w:top w:val="single" w:color="auto" w:sz="2" w:space="0"/>
              <w:left w:val="single" w:color="auto" w:sz="2" w:space="0"/>
              <w:bottom w:val="single" w:color="auto" w:sz="2" w:space="0"/>
              <w:right w:val="single" w:color="auto" w:sz="2" w:space="0"/>
            </w:tcBorders>
            <w:vAlign w:val="center"/>
          </w:tcPr>
          <w:p w14:paraId="7258437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2,296,352.04</w:t>
            </w:r>
          </w:p>
        </w:tc>
        <w:tc>
          <w:tcPr>
            <w:tcW w:w="3213" w:type="dxa"/>
            <w:tcBorders>
              <w:top w:val="single" w:color="auto" w:sz="2" w:space="0"/>
              <w:left w:val="single" w:color="auto" w:sz="2" w:space="0"/>
              <w:bottom w:val="single" w:color="auto" w:sz="2" w:space="0"/>
              <w:right w:val="single" w:color="auto" w:sz="2" w:space="0"/>
            </w:tcBorders>
            <w:vAlign w:val="center"/>
          </w:tcPr>
          <w:p w14:paraId="5B6C8BD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6,950,313.29</w:t>
            </w:r>
          </w:p>
        </w:tc>
      </w:tr>
      <w:tr w14:paraId="3506A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CC6A33">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089A831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11,750,433.20</w:t>
            </w:r>
          </w:p>
        </w:tc>
        <w:tc>
          <w:tcPr>
            <w:tcW w:w="3213" w:type="dxa"/>
            <w:tcBorders>
              <w:top w:val="single" w:color="auto" w:sz="2" w:space="0"/>
              <w:left w:val="single" w:color="auto" w:sz="2" w:space="0"/>
              <w:bottom w:val="single" w:color="auto" w:sz="2" w:space="0"/>
              <w:right w:val="single" w:color="auto" w:sz="2" w:space="0"/>
            </w:tcBorders>
            <w:vAlign w:val="center"/>
          </w:tcPr>
          <w:p w14:paraId="274E53B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23,947,764.04</w:t>
            </w:r>
          </w:p>
        </w:tc>
      </w:tr>
    </w:tbl>
    <w:p w14:paraId="01FD0D19">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收到的其他与经营活动有关的现金说明：</w:t>
      </w:r>
    </w:p>
    <w:p w14:paraId="264C2184">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支付的其他与经营活动有关的现金</w:t>
      </w:r>
    </w:p>
    <w:p w14:paraId="12B8505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3C4E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0222B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01314B">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F515F3">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01012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E084B39">
            <w:pPr>
              <w:spacing w:before="0" w:after="0" w:line="240" w:lineRule="exact"/>
              <w:jc w:val="left"/>
              <w:rPr>
                <w:rFonts w:ascii="宋体" w:hAnsi="宋体" w:eastAsia="宋体" w:cs="宋体"/>
                <w:sz w:val="18"/>
                <w:szCs w:val="18"/>
              </w:rPr>
            </w:pPr>
            <w:r>
              <w:rPr>
                <w:rFonts w:ascii="宋体" w:hAnsi="宋体"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14:paraId="0A4A1C5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9,636,241.73</w:t>
            </w:r>
          </w:p>
        </w:tc>
        <w:tc>
          <w:tcPr>
            <w:tcW w:w="3213" w:type="dxa"/>
            <w:tcBorders>
              <w:top w:val="single" w:color="auto" w:sz="2" w:space="0"/>
              <w:left w:val="single" w:color="auto" w:sz="2" w:space="0"/>
              <w:bottom w:val="single" w:color="auto" w:sz="2" w:space="0"/>
              <w:right w:val="single" w:color="auto" w:sz="2" w:space="0"/>
            </w:tcBorders>
            <w:vAlign w:val="center"/>
          </w:tcPr>
          <w:p w14:paraId="577F867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8,566,695.53</w:t>
            </w:r>
          </w:p>
        </w:tc>
      </w:tr>
      <w:tr w14:paraId="6FF62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6638BB6">
            <w:pPr>
              <w:spacing w:before="0" w:after="0" w:line="240" w:lineRule="exact"/>
              <w:jc w:val="left"/>
              <w:rPr>
                <w:rFonts w:ascii="宋体" w:hAnsi="宋体" w:eastAsia="宋体" w:cs="宋体"/>
                <w:sz w:val="18"/>
                <w:szCs w:val="18"/>
              </w:rPr>
            </w:pPr>
            <w:r>
              <w:rPr>
                <w:rFonts w:ascii="宋体" w:hAnsi="宋体" w:eastAsia="宋体" w:cs="宋体"/>
                <w:sz w:val="18"/>
                <w:szCs w:val="18"/>
              </w:rPr>
              <w:t>研究费</w:t>
            </w:r>
          </w:p>
        </w:tc>
        <w:tc>
          <w:tcPr>
            <w:tcW w:w="3213" w:type="dxa"/>
            <w:tcBorders>
              <w:top w:val="single" w:color="auto" w:sz="2" w:space="0"/>
              <w:left w:val="single" w:color="auto" w:sz="2" w:space="0"/>
              <w:bottom w:val="single" w:color="auto" w:sz="2" w:space="0"/>
              <w:right w:val="single" w:color="auto" w:sz="2" w:space="0"/>
            </w:tcBorders>
            <w:vAlign w:val="center"/>
          </w:tcPr>
          <w:p w14:paraId="44861D7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9,380,521.11</w:t>
            </w:r>
          </w:p>
        </w:tc>
        <w:tc>
          <w:tcPr>
            <w:tcW w:w="3213" w:type="dxa"/>
            <w:tcBorders>
              <w:top w:val="single" w:color="auto" w:sz="2" w:space="0"/>
              <w:left w:val="single" w:color="auto" w:sz="2" w:space="0"/>
              <w:bottom w:val="single" w:color="auto" w:sz="2" w:space="0"/>
              <w:right w:val="single" w:color="auto" w:sz="2" w:space="0"/>
            </w:tcBorders>
            <w:vAlign w:val="center"/>
          </w:tcPr>
          <w:p w14:paraId="44A6660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6,268,285.35</w:t>
            </w:r>
          </w:p>
        </w:tc>
      </w:tr>
      <w:tr w14:paraId="7D042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6D8F9A0">
            <w:pPr>
              <w:spacing w:before="0" w:after="0" w:line="240" w:lineRule="exact"/>
              <w:jc w:val="left"/>
              <w:rPr>
                <w:rFonts w:ascii="宋体" w:hAnsi="宋体" w:eastAsia="宋体" w:cs="宋体"/>
                <w:sz w:val="18"/>
                <w:szCs w:val="18"/>
              </w:rPr>
            </w:pPr>
            <w:r>
              <w:rPr>
                <w:rFonts w:ascii="宋体" w:hAnsi="宋体" w:eastAsia="宋体" w:cs="宋体"/>
                <w:sz w:val="18"/>
                <w:szCs w:val="18"/>
              </w:rPr>
              <w:t>会务费及会务推广费</w:t>
            </w:r>
          </w:p>
        </w:tc>
        <w:tc>
          <w:tcPr>
            <w:tcW w:w="3213" w:type="dxa"/>
            <w:tcBorders>
              <w:top w:val="single" w:color="auto" w:sz="2" w:space="0"/>
              <w:left w:val="single" w:color="auto" w:sz="2" w:space="0"/>
              <w:bottom w:val="single" w:color="auto" w:sz="2" w:space="0"/>
              <w:right w:val="single" w:color="auto" w:sz="2" w:space="0"/>
            </w:tcBorders>
            <w:vAlign w:val="center"/>
          </w:tcPr>
          <w:p w14:paraId="4E52758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12,293,251.93</w:t>
            </w:r>
          </w:p>
        </w:tc>
        <w:tc>
          <w:tcPr>
            <w:tcW w:w="3213" w:type="dxa"/>
            <w:tcBorders>
              <w:top w:val="single" w:color="auto" w:sz="2" w:space="0"/>
              <w:left w:val="single" w:color="auto" w:sz="2" w:space="0"/>
              <w:bottom w:val="single" w:color="auto" w:sz="2" w:space="0"/>
              <w:right w:val="single" w:color="auto" w:sz="2" w:space="0"/>
            </w:tcBorders>
            <w:vAlign w:val="center"/>
          </w:tcPr>
          <w:p w14:paraId="6896E25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3,396,198.02</w:t>
            </w:r>
          </w:p>
        </w:tc>
      </w:tr>
      <w:tr w14:paraId="601EE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50AB99A">
            <w:pPr>
              <w:spacing w:before="0" w:after="0" w:line="240" w:lineRule="exact"/>
              <w:jc w:val="left"/>
              <w:rPr>
                <w:rFonts w:ascii="宋体" w:hAnsi="宋体" w:eastAsia="宋体" w:cs="宋体"/>
                <w:sz w:val="18"/>
                <w:szCs w:val="18"/>
              </w:rPr>
            </w:pPr>
            <w:r>
              <w:rPr>
                <w:rFonts w:ascii="宋体" w:hAnsi="宋体" w:eastAsia="宋体" w:cs="宋体"/>
                <w:sz w:val="18"/>
                <w:szCs w:val="18"/>
              </w:rPr>
              <w:t>市场服务费</w:t>
            </w:r>
          </w:p>
        </w:tc>
        <w:tc>
          <w:tcPr>
            <w:tcW w:w="3213" w:type="dxa"/>
            <w:tcBorders>
              <w:top w:val="single" w:color="auto" w:sz="2" w:space="0"/>
              <w:left w:val="single" w:color="auto" w:sz="2" w:space="0"/>
              <w:bottom w:val="single" w:color="auto" w:sz="2" w:space="0"/>
              <w:right w:val="single" w:color="auto" w:sz="2" w:space="0"/>
            </w:tcBorders>
            <w:vAlign w:val="center"/>
          </w:tcPr>
          <w:p w14:paraId="710F506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75,777,175.54</w:t>
            </w:r>
          </w:p>
        </w:tc>
        <w:tc>
          <w:tcPr>
            <w:tcW w:w="3213" w:type="dxa"/>
            <w:tcBorders>
              <w:top w:val="single" w:color="auto" w:sz="2" w:space="0"/>
              <w:left w:val="single" w:color="auto" w:sz="2" w:space="0"/>
              <w:bottom w:val="single" w:color="auto" w:sz="2" w:space="0"/>
              <w:right w:val="single" w:color="auto" w:sz="2" w:space="0"/>
            </w:tcBorders>
            <w:vAlign w:val="center"/>
          </w:tcPr>
          <w:p w14:paraId="72151AD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70,563,143.91</w:t>
            </w:r>
          </w:p>
        </w:tc>
      </w:tr>
      <w:tr w14:paraId="50DB2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873B8B7">
            <w:pPr>
              <w:spacing w:before="0" w:after="0" w:line="240" w:lineRule="exact"/>
              <w:jc w:val="left"/>
              <w:rPr>
                <w:rFonts w:ascii="宋体" w:hAnsi="宋体" w:eastAsia="宋体" w:cs="宋体"/>
                <w:sz w:val="18"/>
                <w:szCs w:val="18"/>
              </w:rPr>
            </w:pPr>
            <w:r>
              <w:rPr>
                <w:rFonts w:ascii="宋体" w:hAnsi="宋体" w:eastAsia="宋体" w:cs="宋体"/>
                <w:sz w:val="18"/>
                <w:szCs w:val="18"/>
              </w:rPr>
              <w:t>往来款及其他</w:t>
            </w:r>
          </w:p>
        </w:tc>
        <w:tc>
          <w:tcPr>
            <w:tcW w:w="3213" w:type="dxa"/>
            <w:tcBorders>
              <w:top w:val="single" w:color="auto" w:sz="2" w:space="0"/>
              <w:left w:val="single" w:color="auto" w:sz="2" w:space="0"/>
              <w:bottom w:val="single" w:color="auto" w:sz="2" w:space="0"/>
              <w:right w:val="single" w:color="auto" w:sz="2" w:space="0"/>
            </w:tcBorders>
            <w:vAlign w:val="center"/>
          </w:tcPr>
          <w:p w14:paraId="38A0555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45,145,394.55</w:t>
            </w:r>
          </w:p>
        </w:tc>
        <w:tc>
          <w:tcPr>
            <w:tcW w:w="3213" w:type="dxa"/>
            <w:tcBorders>
              <w:top w:val="single" w:color="auto" w:sz="2" w:space="0"/>
              <w:left w:val="single" w:color="auto" w:sz="2" w:space="0"/>
              <w:bottom w:val="single" w:color="auto" w:sz="2" w:space="0"/>
              <w:right w:val="single" w:color="auto" w:sz="2" w:space="0"/>
            </w:tcBorders>
            <w:vAlign w:val="center"/>
          </w:tcPr>
          <w:p w14:paraId="29EBD74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65,037,579.54</w:t>
            </w:r>
          </w:p>
        </w:tc>
      </w:tr>
      <w:tr w14:paraId="26036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92D55C5">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3213" w:type="dxa"/>
            <w:tcBorders>
              <w:top w:val="single" w:color="auto" w:sz="2" w:space="0"/>
              <w:left w:val="single" w:color="auto" w:sz="2" w:space="0"/>
              <w:bottom w:val="single" w:color="auto" w:sz="2" w:space="0"/>
              <w:right w:val="single" w:color="auto" w:sz="2" w:space="0"/>
            </w:tcBorders>
            <w:vAlign w:val="center"/>
          </w:tcPr>
          <w:p w14:paraId="7A559F3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4,971,292.61</w:t>
            </w:r>
          </w:p>
        </w:tc>
        <w:tc>
          <w:tcPr>
            <w:tcW w:w="3213" w:type="dxa"/>
            <w:tcBorders>
              <w:top w:val="single" w:color="auto" w:sz="2" w:space="0"/>
              <w:left w:val="single" w:color="auto" w:sz="2" w:space="0"/>
              <w:bottom w:val="single" w:color="auto" w:sz="2" w:space="0"/>
              <w:right w:val="single" w:color="auto" w:sz="2" w:space="0"/>
            </w:tcBorders>
            <w:vAlign w:val="center"/>
          </w:tcPr>
          <w:p w14:paraId="78E62A5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4,508,942.45</w:t>
            </w:r>
          </w:p>
        </w:tc>
      </w:tr>
      <w:tr w14:paraId="0E7DB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5371F8A">
            <w:pPr>
              <w:spacing w:before="0" w:after="0" w:line="240" w:lineRule="exact"/>
              <w:jc w:val="left"/>
              <w:rPr>
                <w:rFonts w:ascii="宋体" w:hAnsi="宋体" w:eastAsia="宋体" w:cs="宋体"/>
                <w:sz w:val="18"/>
                <w:szCs w:val="18"/>
              </w:rPr>
            </w:pPr>
            <w:r>
              <w:rPr>
                <w:rFonts w:ascii="宋体" w:hAnsi="宋体" w:eastAsia="宋体" w:cs="宋体"/>
                <w:sz w:val="18"/>
                <w:szCs w:val="18"/>
              </w:rPr>
              <w:t>受限资金的增加</w:t>
            </w:r>
          </w:p>
        </w:tc>
        <w:tc>
          <w:tcPr>
            <w:tcW w:w="3213" w:type="dxa"/>
            <w:tcBorders>
              <w:top w:val="single" w:color="auto" w:sz="2" w:space="0"/>
              <w:left w:val="single" w:color="auto" w:sz="2" w:space="0"/>
              <w:bottom w:val="single" w:color="auto" w:sz="2" w:space="0"/>
              <w:right w:val="single" w:color="auto" w:sz="2" w:space="0"/>
            </w:tcBorders>
            <w:vAlign w:val="center"/>
          </w:tcPr>
          <w:p w14:paraId="77A313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2,000.00</w:t>
            </w:r>
          </w:p>
        </w:tc>
        <w:tc>
          <w:tcPr>
            <w:tcW w:w="3213" w:type="dxa"/>
            <w:tcBorders>
              <w:top w:val="single" w:color="auto" w:sz="2" w:space="0"/>
              <w:left w:val="single" w:color="auto" w:sz="2" w:space="0"/>
              <w:bottom w:val="single" w:color="auto" w:sz="2" w:space="0"/>
              <w:right w:val="single" w:color="auto" w:sz="2" w:space="0"/>
            </w:tcBorders>
            <w:vAlign w:val="center"/>
          </w:tcPr>
          <w:p w14:paraId="0020C47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450.00</w:t>
            </w:r>
          </w:p>
        </w:tc>
      </w:tr>
      <w:tr w14:paraId="0C111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8A49EC">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00D0CE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157,205,877.47</w:t>
            </w:r>
          </w:p>
        </w:tc>
        <w:tc>
          <w:tcPr>
            <w:tcW w:w="3213" w:type="dxa"/>
            <w:tcBorders>
              <w:top w:val="single" w:color="auto" w:sz="2" w:space="0"/>
              <w:left w:val="single" w:color="auto" w:sz="2" w:space="0"/>
              <w:bottom w:val="single" w:color="auto" w:sz="2" w:space="0"/>
              <w:right w:val="single" w:color="auto" w:sz="2" w:space="0"/>
            </w:tcBorders>
            <w:vAlign w:val="center"/>
          </w:tcPr>
          <w:p w14:paraId="6E63271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158,341,294.80</w:t>
            </w:r>
          </w:p>
        </w:tc>
      </w:tr>
    </w:tbl>
    <w:p w14:paraId="2E0DA8D1">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支付的其他与经营活动有关的现金说明：</w:t>
      </w:r>
    </w:p>
    <w:p w14:paraId="2DDAA163">
      <w:pPr>
        <w:keepNext/>
        <w:keepLines/>
        <w:spacing w:before="300" w:after="300" w:line="280" w:lineRule="exact"/>
        <w:jc w:val="left"/>
        <w:outlineLvl w:val="3"/>
        <w:rPr>
          <w:rFonts w:ascii="宋体" w:hAnsi="宋体" w:eastAsia="宋体" w:cs="宋体"/>
          <w:b/>
          <w:bCs/>
          <w:sz w:val="21"/>
          <w:szCs w:val="21"/>
        </w:rPr>
      </w:pPr>
      <w:bookmarkStart w:id="378" w:name="_Toc989188"/>
      <w:r>
        <w:rPr>
          <w:rFonts w:ascii="宋体" w:hAnsi="宋体" w:eastAsia="宋体" w:cs="宋体"/>
          <w:b/>
          <w:bCs/>
          <w:sz w:val="21"/>
          <w:szCs w:val="21"/>
        </w:rPr>
        <w:t>（</w:t>
      </w:r>
      <w:r>
        <w:rPr>
          <w:rFonts w:hint="default" w:ascii="Times New Roman" w:hAnsi="Times New Roman" w:eastAsia="宋体" w:cs="Times New Roman"/>
          <w:b/>
          <w:bCs/>
          <w:sz w:val="21"/>
          <w:szCs w:val="21"/>
        </w:rPr>
        <w:t>2</w:t>
      </w:r>
      <w:r>
        <w:rPr>
          <w:rFonts w:ascii="宋体" w:hAnsi="宋体" w:eastAsia="宋体" w:cs="宋体"/>
          <w:b/>
          <w:bCs/>
          <w:sz w:val="21"/>
          <w:szCs w:val="21"/>
        </w:rPr>
        <w:t>） 与投资活动有关的现金</w:t>
      </w:r>
      <w:bookmarkEnd w:id="378"/>
    </w:p>
    <w:p w14:paraId="49F31A70">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收到的其他与投资活动有关的现金</w:t>
      </w:r>
    </w:p>
    <w:p w14:paraId="64B5B57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8E29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236F7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15379B">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58B4E3">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14:paraId="6713B266">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收到的重要的与投资活动有关的现金</w:t>
      </w:r>
    </w:p>
    <w:p w14:paraId="383537C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34C9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B222C5">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BB8BFB">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A0E303">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BFF7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A19503C">
            <w:pPr>
              <w:spacing w:before="0" w:after="0" w:line="240" w:lineRule="exact"/>
              <w:jc w:val="left"/>
              <w:rPr>
                <w:rFonts w:ascii="宋体" w:hAnsi="宋体" w:eastAsia="宋体" w:cs="宋体"/>
                <w:sz w:val="18"/>
                <w:szCs w:val="18"/>
              </w:rPr>
            </w:pPr>
            <w:r>
              <w:rPr>
                <w:rFonts w:ascii="宋体" w:hAnsi="宋体" w:eastAsia="宋体" w:cs="宋体"/>
                <w:sz w:val="18"/>
                <w:szCs w:val="18"/>
              </w:rPr>
              <w:t>转让膜尔新材料科技（深圳）有限公司股权款</w:t>
            </w:r>
          </w:p>
        </w:tc>
        <w:tc>
          <w:tcPr>
            <w:tcW w:w="3213" w:type="dxa"/>
            <w:tcBorders>
              <w:top w:val="single" w:color="auto" w:sz="2" w:space="0"/>
              <w:left w:val="single" w:color="auto" w:sz="2" w:space="0"/>
              <w:bottom w:val="single" w:color="auto" w:sz="2" w:space="0"/>
              <w:right w:val="single" w:color="auto" w:sz="2" w:space="0"/>
            </w:tcBorders>
            <w:vAlign w:val="center"/>
          </w:tcPr>
          <w:p w14:paraId="2F429AE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w:t>
            </w:r>
          </w:p>
        </w:tc>
        <w:tc>
          <w:tcPr>
            <w:tcW w:w="3213" w:type="dxa"/>
            <w:tcBorders>
              <w:top w:val="single" w:color="auto" w:sz="2" w:space="0"/>
              <w:left w:val="single" w:color="auto" w:sz="2" w:space="0"/>
              <w:bottom w:val="single" w:color="auto" w:sz="2" w:space="0"/>
              <w:right w:val="single" w:color="auto" w:sz="2" w:space="0"/>
            </w:tcBorders>
            <w:vAlign w:val="center"/>
          </w:tcPr>
          <w:p w14:paraId="72F0CAF2">
            <w:pPr>
              <w:spacing w:before="0" w:after="0" w:line="240" w:lineRule="exact"/>
              <w:jc w:val="right"/>
              <w:rPr>
                <w:rFonts w:ascii="宋体" w:hAnsi="宋体" w:eastAsia="宋体" w:cs="宋体"/>
                <w:sz w:val="18"/>
                <w:szCs w:val="18"/>
              </w:rPr>
            </w:pPr>
          </w:p>
        </w:tc>
      </w:tr>
      <w:tr w14:paraId="5E0AF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5E2620F">
            <w:pPr>
              <w:spacing w:before="0" w:after="0" w:line="240" w:lineRule="exact"/>
              <w:jc w:val="left"/>
              <w:rPr>
                <w:rFonts w:ascii="宋体" w:hAnsi="宋体" w:eastAsia="宋体" w:cs="宋体"/>
                <w:sz w:val="18"/>
                <w:szCs w:val="18"/>
              </w:rPr>
            </w:pPr>
            <w:r>
              <w:rPr>
                <w:rFonts w:ascii="宋体" w:hAnsi="宋体" w:eastAsia="宋体" w:cs="宋体"/>
                <w:sz w:val="18"/>
                <w:szCs w:val="18"/>
              </w:rPr>
              <w:t>退出嘉兴君重冠昊股权投资合伙企业（有限合伙）分回投资款</w:t>
            </w:r>
          </w:p>
        </w:tc>
        <w:tc>
          <w:tcPr>
            <w:tcW w:w="3213" w:type="dxa"/>
            <w:tcBorders>
              <w:top w:val="single" w:color="auto" w:sz="2" w:space="0"/>
              <w:left w:val="single" w:color="auto" w:sz="2" w:space="0"/>
              <w:bottom w:val="single" w:color="auto" w:sz="2" w:space="0"/>
              <w:right w:val="single" w:color="auto" w:sz="2" w:space="0"/>
            </w:tcBorders>
            <w:vAlign w:val="center"/>
          </w:tcPr>
          <w:p w14:paraId="7B505F0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1,642,712.17</w:t>
            </w:r>
          </w:p>
        </w:tc>
        <w:tc>
          <w:tcPr>
            <w:tcW w:w="3213" w:type="dxa"/>
            <w:tcBorders>
              <w:top w:val="single" w:color="auto" w:sz="2" w:space="0"/>
              <w:left w:val="single" w:color="auto" w:sz="2" w:space="0"/>
              <w:bottom w:val="single" w:color="auto" w:sz="2" w:space="0"/>
              <w:right w:val="single" w:color="auto" w:sz="2" w:space="0"/>
            </w:tcBorders>
            <w:vAlign w:val="center"/>
          </w:tcPr>
          <w:p w14:paraId="562C0B9A">
            <w:pPr>
              <w:spacing w:before="0" w:after="0" w:line="240" w:lineRule="exact"/>
              <w:jc w:val="right"/>
              <w:rPr>
                <w:rFonts w:ascii="宋体" w:hAnsi="宋体" w:eastAsia="宋体" w:cs="宋体"/>
                <w:sz w:val="18"/>
                <w:szCs w:val="18"/>
              </w:rPr>
            </w:pPr>
          </w:p>
        </w:tc>
      </w:tr>
      <w:tr w14:paraId="529E5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3146EA">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D0F528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3,142,712.17</w:t>
            </w:r>
          </w:p>
        </w:tc>
        <w:tc>
          <w:tcPr>
            <w:tcW w:w="3213" w:type="dxa"/>
            <w:tcBorders>
              <w:top w:val="single" w:color="auto" w:sz="2" w:space="0"/>
              <w:left w:val="single" w:color="auto" w:sz="2" w:space="0"/>
              <w:bottom w:val="single" w:color="auto" w:sz="2" w:space="0"/>
              <w:right w:val="single" w:color="auto" w:sz="2" w:space="0"/>
            </w:tcBorders>
            <w:vAlign w:val="center"/>
          </w:tcPr>
          <w:p w14:paraId="44F7FDDB">
            <w:pPr>
              <w:spacing w:before="0" w:after="0" w:line="240" w:lineRule="exact"/>
              <w:jc w:val="right"/>
              <w:rPr>
                <w:rFonts w:ascii="宋体" w:hAnsi="宋体" w:eastAsia="宋体" w:cs="宋体"/>
                <w:sz w:val="18"/>
                <w:szCs w:val="18"/>
              </w:rPr>
            </w:pPr>
          </w:p>
        </w:tc>
      </w:tr>
    </w:tbl>
    <w:p w14:paraId="154C47C0">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收到的其他与投资活动有关的现金说明：</w:t>
      </w:r>
    </w:p>
    <w:p w14:paraId="7D880C03">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支付的其他与投资活动有关的现金</w:t>
      </w:r>
    </w:p>
    <w:p w14:paraId="2328E7F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F3BC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D351B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5A3855">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E9FF35">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14:paraId="2AA2580D">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支付的重要的与投资活动有关的现金</w:t>
      </w:r>
    </w:p>
    <w:p w14:paraId="2EA4240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9885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2EEB2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CA6FF9">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8D94B8">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E9B4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E7CD9FF">
            <w:pPr>
              <w:spacing w:before="0" w:after="0" w:line="240" w:lineRule="exact"/>
              <w:jc w:val="left"/>
              <w:rPr>
                <w:rFonts w:ascii="宋体" w:hAnsi="宋体" w:eastAsia="宋体" w:cs="宋体"/>
                <w:sz w:val="18"/>
                <w:szCs w:val="18"/>
              </w:rPr>
            </w:pPr>
            <w:r>
              <w:rPr>
                <w:rFonts w:ascii="宋体" w:hAnsi="宋体" w:eastAsia="宋体" w:cs="宋体"/>
                <w:sz w:val="18"/>
                <w:szCs w:val="18"/>
              </w:rPr>
              <w:t>取得子公司北京宏冠再生医学科技有限公司股权购买日形成的现金净额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72C2CAD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898,382.18</w:t>
            </w:r>
          </w:p>
        </w:tc>
        <w:tc>
          <w:tcPr>
            <w:tcW w:w="3213" w:type="dxa"/>
            <w:tcBorders>
              <w:top w:val="single" w:color="auto" w:sz="2" w:space="0"/>
              <w:left w:val="single" w:color="auto" w:sz="2" w:space="0"/>
              <w:bottom w:val="single" w:color="auto" w:sz="2" w:space="0"/>
              <w:right w:val="single" w:color="auto" w:sz="2" w:space="0"/>
            </w:tcBorders>
            <w:vAlign w:val="center"/>
          </w:tcPr>
          <w:p w14:paraId="0D0FDCD1">
            <w:pPr>
              <w:spacing w:before="0" w:after="0" w:line="240" w:lineRule="exact"/>
              <w:jc w:val="right"/>
              <w:rPr>
                <w:rFonts w:hint="default" w:ascii="Times New Roman" w:hAnsi="Times New Roman" w:eastAsia="宋体" w:cs="Times New Roman"/>
                <w:sz w:val="18"/>
                <w:szCs w:val="18"/>
              </w:rPr>
            </w:pPr>
          </w:p>
        </w:tc>
      </w:tr>
      <w:tr w14:paraId="1F02F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9DD825C">
            <w:pPr>
              <w:spacing w:before="0" w:after="0" w:line="240" w:lineRule="exact"/>
              <w:jc w:val="left"/>
              <w:rPr>
                <w:rFonts w:ascii="宋体" w:hAnsi="宋体" w:eastAsia="宋体" w:cs="宋体"/>
                <w:sz w:val="18"/>
                <w:szCs w:val="18"/>
              </w:rPr>
            </w:pPr>
            <w:r>
              <w:rPr>
                <w:rFonts w:ascii="宋体" w:hAnsi="宋体" w:eastAsia="宋体" w:cs="宋体"/>
                <w:sz w:val="18"/>
                <w:szCs w:val="18"/>
              </w:rPr>
              <w:t>天昊中山医药科技项目工程款</w:t>
            </w:r>
          </w:p>
        </w:tc>
        <w:tc>
          <w:tcPr>
            <w:tcW w:w="3213" w:type="dxa"/>
            <w:tcBorders>
              <w:top w:val="single" w:color="auto" w:sz="2" w:space="0"/>
              <w:left w:val="single" w:color="auto" w:sz="2" w:space="0"/>
              <w:bottom w:val="single" w:color="auto" w:sz="2" w:space="0"/>
              <w:right w:val="single" w:color="auto" w:sz="2" w:space="0"/>
            </w:tcBorders>
            <w:vAlign w:val="center"/>
          </w:tcPr>
          <w:p w14:paraId="09AB7DA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35,156,206.55</w:t>
            </w:r>
          </w:p>
        </w:tc>
        <w:tc>
          <w:tcPr>
            <w:tcW w:w="3213" w:type="dxa"/>
            <w:tcBorders>
              <w:top w:val="single" w:color="auto" w:sz="2" w:space="0"/>
              <w:left w:val="single" w:color="auto" w:sz="2" w:space="0"/>
              <w:bottom w:val="single" w:color="auto" w:sz="2" w:space="0"/>
              <w:right w:val="single" w:color="auto" w:sz="2" w:space="0"/>
            </w:tcBorders>
            <w:vAlign w:val="center"/>
          </w:tcPr>
          <w:p w14:paraId="5B51B9C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70,708,848.81</w:t>
            </w:r>
          </w:p>
        </w:tc>
      </w:tr>
      <w:tr w14:paraId="289EF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5EE6CA1">
            <w:pPr>
              <w:spacing w:before="0" w:after="0" w:line="240" w:lineRule="exact"/>
              <w:jc w:val="left"/>
              <w:rPr>
                <w:rFonts w:ascii="宋体" w:hAnsi="宋体" w:eastAsia="宋体" w:cs="宋体"/>
                <w:sz w:val="18"/>
                <w:szCs w:val="18"/>
              </w:rPr>
            </w:pPr>
            <w:r>
              <w:rPr>
                <w:rFonts w:ascii="宋体" w:hAnsi="宋体" w:eastAsia="宋体" w:cs="宋体"/>
                <w:sz w:val="18"/>
                <w:szCs w:val="18"/>
              </w:rPr>
              <w:t>收购广州聚明生物科技有限公司股权款</w:t>
            </w:r>
          </w:p>
        </w:tc>
        <w:tc>
          <w:tcPr>
            <w:tcW w:w="3213" w:type="dxa"/>
            <w:tcBorders>
              <w:top w:val="single" w:color="auto" w:sz="2" w:space="0"/>
              <w:left w:val="single" w:color="auto" w:sz="2" w:space="0"/>
              <w:bottom w:val="single" w:color="auto" w:sz="2" w:space="0"/>
              <w:right w:val="single" w:color="auto" w:sz="2" w:space="0"/>
            </w:tcBorders>
            <w:vAlign w:val="center"/>
          </w:tcPr>
          <w:p w14:paraId="2481602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w:t>
            </w:r>
          </w:p>
        </w:tc>
        <w:tc>
          <w:tcPr>
            <w:tcW w:w="3213" w:type="dxa"/>
            <w:tcBorders>
              <w:top w:val="single" w:color="auto" w:sz="2" w:space="0"/>
              <w:left w:val="single" w:color="auto" w:sz="2" w:space="0"/>
              <w:bottom w:val="single" w:color="auto" w:sz="2" w:space="0"/>
              <w:right w:val="single" w:color="auto" w:sz="2" w:space="0"/>
            </w:tcBorders>
            <w:vAlign w:val="center"/>
          </w:tcPr>
          <w:p w14:paraId="6853AC8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3,766,500.00</w:t>
            </w:r>
          </w:p>
        </w:tc>
      </w:tr>
      <w:tr w14:paraId="429F8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A7CF67D">
            <w:pPr>
              <w:spacing w:before="0" w:after="0" w:line="240" w:lineRule="exact"/>
              <w:jc w:val="left"/>
              <w:rPr>
                <w:rFonts w:ascii="宋体" w:hAnsi="宋体" w:eastAsia="宋体" w:cs="宋体"/>
                <w:sz w:val="18"/>
                <w:szCs w:val="18"/>
              </w:rPr>
            </w:pPr>
            <w:r>
              <w:rPr>
                <w:rFonts w:ascii="宋体" w:hAnsi="宋体" w:eastAsia="宋体" w:cs="宋体"/>
                <w:sz w:val="18"/>
                <w:szCs w:val="18"/>
              </w:rPr>
              <w:t>购买膜尔新材料科技（深圳）有限公司股权款</w:t>
            </w:r>
          </w:p>
        </w:tc>
        <w:tc>
          <w:tcPr>
            <w:tcW w:w="3213" w:type="dxa"/>
            <w:tcBorders>
              <w:top w:val="single" w:color="auto" w:sz="2" w:space="0"/>
              <w:left w:val="single" w:color="auto" w:sz="2" w:space="0"/>
              <w:bottom w:val="single" w:color="auto" w:sz="2" w:space="0"/>
              <w:right w:val="single" w:color="auto" w:sz="2" w:space="0"/>
            </w:tcBorders>
            <w:vAlign w:val="center"/>
          </w:tcPr>
          <w:p w14:paraId="37899F98">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609AA9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3,000,000.00</w:t>
            </w:r>
          </w:p>
        </w:tc>
      </w:tr>
      <w:tr w14:paraId="48679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D4BEA22">
            <w:pPr>
              <w:spacing w:before="0" w:after="0" w:line="240" w:lineRule="exact"/>
              <w:jc w:val="left"/>
              <w:rPr>
                <w:rFonts w:ascii="宋体" w:hAnsi="宋体" w:eastAsia="宋体" w:cs="宋体"/>
                <w:sz w:val="18"/>
                <w:szCs w:val="18"/>
              </w:rPr>
            </w:pPr>
            <w:r>
              <w:rPr>
                <w:rFonts w:ascii="宋体" w:hAnsi="宋体" w:eastAsia="宋体" w:cs="宋体"/>
                <w:sz w:val="18"/>
                <w:szCs w:val="18"/>
              </w:rPr>
              <w:t>购买北京宏冠再生医学科技有限公司股权款</w:t>
            </w:r>
          </w:p>
        </w:tc>
        <w:tc>
          <w:tcPr>
            <w:tcW w:w="3213" w:type="dxa"/>
            <w:tcBorders>
              <w:top w:val="single" w:color="auto" w:sz="2" w:space="0"/>
              <w:left w:val="single" w:color="auto" w:sz="2" w:space="0"/>
              <w:bottom w:val="single" w:color="auto" w:sz="2" w:space="0"/>
              <w:right w:val="single" w:color="auto" w:sz="2" w:space="0"/>
            </w:tcBorders>
            <w:vAlign w:val="center"/>
          </w:tcPr>
          <w:p w14:paraId="4FDC0357">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1BC307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2,281,026.87</w:t>
            </w:r>
          </w:p>
        </w:tc>
      </w:tr>
      <w:tr w14:paraId="2691C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86F4BF">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AC784F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36,354,588.73</w:t>
            </w:r>
          </w:p>
        </w:tc>
        <w:tc>
          <w:tcPr>
            <w:tcW w:w="3213" w:type="dxa"/>
            <w:tcBorders>
              <w:top w:val="single" w:color="auto" w:sz="2" w:space="0"/>
              <w:left w:val="single" w:color="auto" w:sz="2" w:space="0"/>
              <w:bottom w:val="single" w:color="auto" w:sz="2" w:space="0"/>
              <w:right w:val="single" w:color="auto" w:sz="2" w:space="0"/>
            </w:tcBorders>
            <w:vAlign w:val="center"/>
          </w:tcPr>
          <w:p w14:paraId="2353A16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79,756,375.68</w:t>
            </w:r>
          </w:p>
        </w:tc>
      </w:tr>
    </w:tbl>
    <w:p w14:paraId="00E4C427">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支付的其他与投资活动有关的现金说明：</w:t>
      </w:r>
    </w:p>
    <w:p w14:paraId="66249D5B">
      <w:pPr>
        <w:keepNext/>
        <w:keepLines/>
        <w:spacing w:before="300" w:after="300" w:line="280" w:lineRule="exact"/>
        <w:jc w:val="left"/>
        <w:outlineLvl w:val="3"/>
        <w:rPr>
          <w:rFonts w:ascii="宋体" w:hAnsi="宋体" w:eastAsia="宋体" w:cs="宋体"/>
          <w:b/>
          <w:bCs/>
          <w:sz w:val="21"/>
          <w:szCs w:val="21"/>
        </w:rPr>
      </w:pPr>
      <w:bookmarkStart w:id="379" w:name="_Toc989189"/>
      <w:r>
        <w:rPr>
          <w:rFonts w:ascii="宋体" w:hAnsi="宋体" w:eastAsia="宋体" w:cs="宋体"/>
          <w:b/>
          <w:bCs/>
          <w:sz w:val="21"/>
          <w:szCs w:val="21"/>
        </w:rPr>
        <w:t>（</w:t>
      </w:r>
      <w:r>
        <w:rPr>
          <w:rFonts w:hint="default" w:ascii="Times New Roman" w:hAnsi="Times New Roman" w:eastAsia="宋体" w:cs="Times New Roman"/>
          <w:b/>
          <w:bCs/>
          <w:sz w:val="21"/>
          <w:szCs w:val="21"/>
        </w:rPr>
        <w:t>3</w:t>
      </w:r>
      <w:r>
        <w:rPr>
          <w:rFonts w:ascii="宋体" w:hAnsi="宋体" w:eastAsia="宋体" w:cs="宋体"/>
          <w:b/>
          <w:bCs/>
          <w:sz w:val="21"/>
          <w:szCs w:val="21"/>
        </w:rPr>
        <w:t>） 与筹资活动有关的现金</w:t>
      </w:r>
      <w:bookmarkEnd w:id="379"/>
    </w:p>
    <w:p w14:paraId="16EC8C86">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收到的其他与筹资活动有关的现金</w:t>
      </w:r>
    </w:p>
    <w:p w14:paraId="3B4035E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4BE5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396CC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433D81">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465697">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14:paraId="38C5784A">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收到的其他与筹资活动有关的现金说明：</w:t>
      </w:r>
    </w:p>
    <w:p w14:paraId="48D67BD1">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支付的其他与筹资活动有关的现金</w:t>
      </w:r>
    </w:p>
    <w:p w14:paraId="704C907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64FC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D2858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3AD889">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E1FA64">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59442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54A9E78">
            <w:pPr>
              <w:spacing w:before="0" w:after="0" w:line="240" w:lineRule="exact"/>
              <w:jc w:val="left"/>
              <w:rPr>
                <w:rFonts w:ascii="宋体" w:hAnsi="宋体" w:eastAsia="宋体" w:cs="宋体"/>
                <w:sz w:val="18"/>
                <w:szCs w:val="18"/>
              </w:rPr>
            </w:pPr>
            <w:r>
              <w:rPr>
                <w:rFonts w:ascii="宋体" w:hAnsi="宋体" w:eastAsia="宋体" w:cs="宋体"/>
                <w:sz w:val="18"/>
                <w:szCs w:val="18"/>
              </w:rPr>
              <w:t>支付的租赁费</w:t>
            </w:r>
          </w:p>
        </w:tc>
        <w:tc>
          <w:tcPr>
            <w:tcW w:w="3213" w:type="dxa"/>
            <w:tcBorders>
              <w:top w:val="single" w:color="auto" w:sz="2" w:space="0"/>
              <w:left w:val="single" w:color="auto" w:sz="2" w:space="0"/>
              <w:bottom w:val="single" w:color="auto" w:sz="2" w:space="0"/>
              <w:right w:val="single" w:color="auto" w:sz="2" w:space="0"/>
            </w:tcBorders>
            <w:vAlign w:val="center"/>
          </w:tcPr>
          <w:p w14:paraId="55CAE97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6,417,169.51</w:t>
            </w:r>
          </w:p>
        </w:tc>
        <w:tc>
          <w:tcPr>
            <w:tcW w:w="3213" w:type="dxa"/>
            <w:tcBorders>
              <w:top w:val="single" w:color="auto" w:sz="2" w:space="0"/>
              <w:left w:val="single" w:color="auto" w:sz="2" w:space="0"/>
              <w:bottom w:val="single" w:color="auto" w:sz="2" w:space="0"/>
              <w:right w:val="single" w:color="auto" w:sz="2" w:space="0"/>
            </w:tcBorders>
            <w:vAlign w:val="center"/>
          </w:tcPr>
          <w:p w14:paraId="14C5DCC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8,141,238.84</w:t>
            </w:r>
          </w:p>
        </w:tc>
      </w:tr>
      <w:tr w14:paraId="07D76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52E39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80D9B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6,417,169.51</w:t>
            </w:r>
          </w:p>
        </w:tc>
        <w:tc>
          <w:tcPr>
            <w:tcW w:w="3213" w:type="dxa"/>
            <w:tcBorders>
              <w:top w:val="single" w:color="auto" w:sz="2" w:space="0"/>
              <w:left w:val="single" w:color="auto" w:sz="2" w:space="0"/>
              <w:bottom w:val="single" w:color="auto" w:sz="2" w:space="0"/>
              <w:right w:val="single" w:color="auto" w:sz="2" w:space="0"/>
            </w:tcBorders>
            <w:vAlign w:val="center"/>
          </w:tcPr>
          <w:p w14:paraId="6C26871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8,141,238.84</w:t>
            </w:r>
          </w:p>
        </w:tc>
      </w:tr>
    </w:tbl>
    <w:p w14:paraId="006B29DD">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支付的其他与筹资活动有关的现金说明：</w:t>
      </w:r>
    </w:p>
    <w:p w14:paraId="49AF7DB8">
      <w:pPr>
        <w:spacing w:before="100" w:after="100" w:line="240" w:lineRule="exact"/>
        <w:jc w:val="left"/>
        <w:rPr>
          <w:rFonts w:ascii="宋体" w:hAnsi="宋体" w:eastAsia="宋体" w:cs="宋体"/>
          <w:sz w:val="18"/>
          <w:szCs w:val="18"/>
        </w:rPr>
      </w:pPr>
      <w:r>
        <w:rPr>
          <w:rFonts w:ascii="宋体" w:hAnsi="宋体" w:eastAsia="宋体" w:cs="宋体"/>
          <w:sz w:val="18"/>
          <w:szCs w:val="18"/>
        </w:rPr>
        <w:t>筹资活动产生的各项负债变动情况</w:t>
      </w:r>
    </w:p>
    <w:p w14:paraId="6A7762C5">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5079E28F">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41C13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930917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52A18F4">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E38272E">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A526EAC">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B441DA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2D80B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14:paraId="3D392A2E"/>
        </w:tc>
        <w:tc>
          <w:tcPr>
            <w:tcW w:w="1377" w:type="dxa"/>
            <w:vMerge w:val="continue"/>
            <w:tcBorders>
              <w:top w:val="single" w:color="auto" w:sz="2" w:space="0"/>
              <w:left w:val="single" w:color="auto" w:sz="2" w:space="0"/>
              <w:bottom w:val="single" w:color="auto" w:sz="2" w:space="0"/>
              <w:right w:val="single" w:color="auto" w:sz="2" w:space="0"/>
            </w:tcBorders>
            <w:vAlign w:val="center"/>
          </w:tcPr>
          <w:p w14:paraId="58303A3C"/>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4DEDDEE">
            <w:pPr>
              <w:spacing w:before="40" w:after="40" w:line="240" w:lineRule="exact"/>
              <w:jc w:val="center"/>
              <w:rPr>
                <w:rFonts w:ascii="宋体" w:hAnsi="宋体" w:eastAsia="宋体" w:cs="宋体"/>
                <w:sz w:val="18"/>
                <w:szCs w:val="18"/>
              </w:rPr>
            </w:pPr>
            <w:r>
              <w:rPr>
                <w:rFonts w:ascii="宋体" w:hAnsi="宋体" w:eastAsia="宋体" w:cs="宋体"/>
                <w:sz w:val="18"/>
                <w:szCs w:val="18"/>
              </w:rPr>
              <w:t>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DEE823F">
            <w:pPr>
              <w:spacing w:before="40" w:after="40" w:line="240" w:lineRule="exact"/>
              <w:jc w:val="center"/>
              <w:rPr>
                <w:rFonts w:ascii="宋体" w:hAnsi="宋体" w:eastAsia="宋体" w:cs="宋体"/>
                <w:sz w:val="18"/>
                <w:szCs w:val="18"/>
              </w:rPr>
            </w:pPr>
            <w:r>
              <w:rPr>
                <w:rFonts w:ascii="宋体" w:hAnsi="宋体" w:eastAsia="宋体" w:cs="宋体"/>
                <w:sz w:val="18"/>
                <w:szCs w:val="18"/>
              </w:rPr>
              <w:t>非现金变动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BB64F14">
            <w:pPr>
              <w:spacing w:before="40" w:after="40" w:line="240" w:lineRule="exact"/>
              <w:jc w:val="center"/>
              <w:rPr>
                <w:rFonts w:ascii="宋体" w:hAnsi="宋体" w:eastAsia="宋体" w:cs="宋体"/>
                <w:sz w:val="18"/>
                <w:szCs w:val="18"/>
              </w:rPr>
            </w:pPr>
            <w:r>
              <w:rPr>
                <w:rFonts w:ascii="宋体" w:hAnsi="宋体" w:eastAsia="宋体" w:cs="宋体"/>
                <w:sz w:val="18"/>
                <w:szCs w:val="18"/>
              </w:rPr>
              <w:t>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4840484">
            <w:pPr>
              <w:spacing w:before="40" w:after="40" w:line="240" w:lineRule="exact"/>
              <w:jc w:val="center"/>
              <w:rPr>
                <w:rFonts w:ascii="宋体" w:hAnsi="宋体" w:eastAsia="宋体" w:cs="宋体"/>
                <w:sz w:val="18"/>
                <w:szCs w:val="18"/>
              </w:rPr>
            </w:pPr>
            <w:r>
              <w:rPr>
                <w:rFonts w:ascii="宋体" w:hAnsi="宋体" w:eastAsia="宋体" w:cs="宋体"/>
                <w:sz w:val="18"/>
                <w:szCs w:val="18"/>
              </w:rPr>
              <w:t>非现金变动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C94B0E2"/>
        </w:tc>
      </w:tr>
      <w:tr w14:paraId="55923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02CA4F2">
            <w:pPr>
              <w:spacing w:before="0" w:after="0" w:line="240" w:lineRule="exact"/>
              <w:jc w:val="left"/>
              <w:rPr>
                <w:rFonts w:ascii="宋体" w:hAnsi="宋体" w:eastAsia="宋体" w:cs="宋体"/>
                <w:sz w:val="18"/>
                <w:szCs w:val="18"/>
              </w:rPr>
            </w:pPr>
            <w:r>
              <w:rPr>
                <w:rFonts w:ascii="宋体" w:hAnsi="宋体" w:eastAsia="宋体" w:cs="宋体"/>
                <w:sz w:val="18"/>
                <w:szCs w:val="18"/>
              </w:rPr>
              <w:t>长期借款</w:t>
            </w:r>
          </w:p>
        </w:tc>
        <w:tc>
          <w:tcPr>
            <w:tcW w:w="1377" w:type="dxa"/>
            <w:tcBorders>
              <w:top w:val="single" w:color="auto" w:sz="2" w:space="0"/>
              <w:left w:val="single" w:color="auto" w:sz="2" w:space="0"/>
              <w:bottom w:val="single" w:color="auto" w:sz="2" w:space="0"/>
              <w:right w:val="single" w:color="auto" w:sz="2" w:space="0"/>
            </w:tcBorders>
            <w:vAlign w:val="center"/>
          </w:tcPr>
          <w:p w14:paraId="2DD8A9B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76,000,000.00</w:t>
            </w:r>
          </w:p>
        </w:tc>
        <w:tc>
          <w:tcPr>
            <w:tcW w:w="1377" w:type="dxa"/>
            <w:tcBorders>
              <w:top w:val="single" w:color="auto" w:sz="2" w:space="0"/>
              <w:left w:val="single" w:color="auto" w:sz="2" w:space="0"/>
              <w:bottom w:val="single" w:color="auto" w:sz="2" w:space="0"/>
              <w:right w:val="single" w:color="auto" w:sz="2" w:space="0"/>
            </w:tcBorders>
            <w:vAlign w:val="center"/>
          </w:tcPr>
          <w:p w14:paraId="5BC53C2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30,013,500.00</w:t>
            </w:r>
          </w:p>
        </w:tc>
        <w:tc>
          <w:tcPr>
            <w:tcW w:w="1377" w:type="dxa"/>
            <w:tcBorders>
              <w:top w:val="single" w:color="auto" w:sz="2" w:space="0"/>
              <w:left w:val="single" w:color="auto" w:sz="2" w:space="0"/>
              <w:bottom w:val="single" w:color="auto" w:sz="2" w:space="0"/>
              <w:right w:val="single" w:color="auto" w:sz="2" w:space="0"/>
            </w:tcBorders>
            <w:vAlign w:val="center"/>
          </w:tcPr>
          <w:p w14:paraId="2582C3F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3,240,304.35</w:t>
            </w:r>
          </w:p>
        </w:tc>
        <w:tc>
          <w:tcPr>
            <w:tcW w:w="1377" w:type="dxa"/>
            <w:tcBorders>
              <w:top w:val="single" w:color="auto" w:sz="2" w:space="0"/>
              <w:left w:val="single" w:color="auto" w:sz="2" w:space="0"/>
              <w:bottom w:val="single" w:color="auto" w:sz="2" w:space="0"/>
              <w:right w:val="single" w:color="auto" w:sz="2" w:space="0"/>
            </w:tcBorders>
            <w:vAlign w:val="center"/>
          </w:tcPr>
          <w:p w14:paraId="0518795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3,228,161.42</w:t>
            </w:r>
          </w:p>
        </w:tc>
        <w:tc>
          <w:tcPr>
            <w:tcW w:w="1377" w:type="dxa"/>
            <w:tcBorders>
              <w:top w:val="single" w:color="auto" w:sz="2" w:space="0"/>
              <w:left w:val="single" w:color="auto" w:sz="2" w:space="0"/>
              <w:bottom w:val="single" w:color="auto" w:sz="2" w:space="0"/>
              <w:right w:val="single" w:color="auto" w:sz="2" w:space="0"/>
            </w:tcBorders>
            <w:vAlign w:val="center"/>
          </w:tcPr>
          <w:p w14:paraId="4AA2ADE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2,132,412.93</w:t>
            </w:r>
          </w:p>
        </w:tc>
        <w:tc>
          <w:tcPr>
            <w:tcW w:w="1377" w:type="dxa"/>
            <w:tcBorders>
              <w:top w:val="single" w:color="auto" w:sz="2" w:space="0"/>
              <w:left w:val="single" w:color="auto" w:sz="2" w:space="0"/>
              <w:bottom w:val="single" w:color="auto" w:sz="2" w:space="0"/>
              <w:right w:val="single" w:color="auto" w:sz="2" w:space="0"/>
            </w:tcBorders>
            <w:vAlign w:val="center"/>
          </w:tcPr>
          <w:p w14:paraId="36ED83A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103,893,230.00</w:t>
            </w:r>
          </w:p>
        </w:tc>
      </w:tr>
      <w:tr w14:paraId="7E00B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726FCE8">
            <w:pPr>
              <w:spacing w:before="0" w:after="0" w:line="240" w:lineRule="exact"/>
              <w:jc w:val="left"/>
              <w:rPr>
                <w:rFonts w:ascii="宋体" w:hAnsi="宋体" w:eastAsia="宋体" w:cs="宋体"/>
                <w:sz w:val="18"/>
                <w:szCs w:val="18"/>
              </w:rPr>
            </w:pPr>
            <w:r>
              <w:rPr>
                <w:rFonts w:ascii="宋体" w:hAnsi="宋体" w:eastAsia="宋体" w:cs="宋体"/>
                <w:sz w:val="18"/>
                <w:szCs w:val="18"/>
              </w:rPr>
              <w:t>短期借款</w:t>
            </w:r>
          </w:p>
        </w:tc>
        <w:tc>
          <w:tcPr>
            <w:tcW w:w="1377" w:type="dxa"/>
            <w:tcBorders>
              <w:top w:val="single" w:color="auto" w:sz="2" w:space="0"/>
              <w:left w:val="single" w:color="auto" w:sz="2" w:space="0"/>
              <w:bottom w:val="single" w:color="auto" w:sz="2" w:space="0"/>
              <w:right w:val="single" w:color="auto" w:sz="2" w:space="0"/>
            </w:tcBorders>
            <w:vAlign w:val="center"/>
          </w:tcPr>
          <w:p w14:paraId="4310F61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20,014,583.21</w:t>
            </w:r>
          </w:p>
        </w:tc>
        <w:tc>
          <w:tcPr>
            <w:tcW w:w="1377" w:type="dxa"/>
            <w:tcBorders>
              <w:top w:val="single" w:color="auto" w:sz="2" w:space="0"/>
              <w:left w:val="single" w:color="auto" w:sz="2" w:space="0"/>
              <w:bottom w:val="single" w:color="auto" w:sz="2" w:space="0"/>
              <w:right w:val="single" w:color="auto" w:sz="2" w:space="0"/>
            </w:tcBorders>
            <w:vAlign w:val="center"/>
          </w:tcPr>
          <w:p w14:paraId="4C205B8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15,000,000.00</w:t>
            </w:r>
          </w:p>
        </w:tc>
        <w:tc>
          <w:tcPr>
            <w:tcW w:w="1377" w:type="dxa"/>
            <w:tcBorders>
              <w:top w:val="single" w:color="auto" w:sz="2" w:space="0"/>
              <w:left w:val="single" w:color="auto" w:sz="2" w:space="0"/>
              <w:bottom w:val="single" w:color="auto" w:sz="2" w:space="0"/>
              <w:right w:val="single" w:color="auto" w:sz="2" w:space="0"/>
            </w:tcBorders>
            <w:vAlign w:val="center"/>
          </w:tcPr>
          <w:p w14:paraId="42696E9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436,886.95</w:t>
            </w:r>
          </w:p>
        </w:tc>
        <w:tc>
          <w:tcPr>
            <w:tcW w:w="1377" w:type="dxa"/>
            <w:tcBorders>
              <w:top w:val="single" w:color="auto" w:sz="2" w:space="0"/>
              <w:left w:val="single" w:color="auto" w:sz="2" w:space="0"/>
              <w:bottom w:val="single" w:color="auto" w:sz="2" w:space="0"/>
              <w:right w:val="single" w:color="auto" w:sz="2" w:space="0"/>
            </w:tcBorders>
            <w:vAlign w:val="center"/>
          </w:tcPr>
          <w:p w14:paraId="0A0EEF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20,451,079.51</w:t>
            </w:r>
          </w:p>
        </w:tc>
        <w:tc>
          <w:tcPr>
            <w:tcW w:w="1377" w:type="dxa"/>
            <w:tcBorders>
              <w:top w:val="single" w:color="auto" w:sz="2" w:space="0"/>
              <w:left w:val="single" w:color="auto" w:sz="2" w:space="0"/>
              <w:bottom w:val="single" w:color="auto" w:sz="2" w:space="0"/>
              <w:right w:val="single" w:color="auto" w:sz="2" w:space="0"/>
            </w:tcBorders>
            <w:vAlign w:val="center"/>
          </w:tcPr>
          <w:p w14:paraId="53A35AEE">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7ACC38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15,000,390.65</w:t>
            </w:r>
          </w:p>
        </w:tc>
      </w:tr>
      <w:tr w14:paraId="1369A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AAB5561">
            <w:pPr>
              <w:spacing w:before="0" w:after="0" w:line="240" w:lineRule="exact"/>
              <w:jc w:val="left"/>
              <w:rPr>
                <w:rFonts w:ascii="宋体" w:hAnsi="宋体" w:eastAsia="宋体" w:cs="宋体"/>
                <w:sz w:val="18"/>
                <w:szCs w:val="18"/>
              </w:rPr>
            </w:pPr>
            <w:r>
              <w:rPr>
                <w:rFonts w:ascii="宋体" w:hAnsi="宋体" w:eastAsia="宋体" w:cs="宋体"/>
                <w:sz w:val="18"/>
                <w:szCs w:val="18"/>
              </w:rPr>
              <w:t>租赁负债</w:t>
            </w:r>
          </w:p>
        </w:tc>
        <w:tc>
          <w:tcPr>
            <w:tcW w:w="1377" w:type="dxa"/>
            <w:tcBorders>
              <w:top w:val="single" w:color="auto" w:sz="2" w:space="0"/>
              <w:left w:val="single" w:color="auto" w:sz="2" w:space="0"/>
              <w:bottom w:val="single" w:color="auto" w:sz="2" w:space="0"/>
              <w:right w:val="single" w:color="auto" w:sz="2" w:space="0"/>
            </w:tcBorders>
            <w:vAlign w:val="center"/>
          </w:tcPr>
          <w:p w14:paraId="3C54807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6,615,111.89</w:t>
            </w:r>
          </w:p>
        </w:tc>
        <w:tc>
          <w:tcPr>
            <w:tcW w:w="1377" w:type="dxa"/>
            <w:tcBorders>
              <w:top w:val="single" w:color="auto" w:sz="2" w:space="0"/>
              <w:left w:val="single" w:color="auto" w:sz="2" w:space="0"/>
              <w:bottom w:val="single" w:color="auto" w:sz="2" w:space="0"/>
              <w:right w:val="single" w:color="auto" w:sz="2" w:space="0"/>
            </w:tcBorders>
            <w:vAlign w:val="center"/>
          </w:tcPr>
          <w:p w14:paraId="44AAD625">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3AB10E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2,188,480.25</w:t>
            </w:r>
          </w:p>
        </w:tc>
        <w:tc>
          <w:tcPr>
            <w:tcW w:w="1377" w:type="dxa"/>
            <w:tcBorders>
              <w:top w:val="single" w:color="auto" w:sz="2" w:space="0"/>
              <w:left w:val="single" w:color="auto" w:sz="2" w:space="0"/>
              <w:bottom w:val="single" w:color="auto" w:sz="2" w:space="0"/>
              <w:right w:val="single" w:color="auto" w:sz="2" w:space="0"/>
            </w:tcBorders>
            <w:vAlign w:val="center"/>
          </w:tcPr>
          <w:p w14:paraId="3E5041A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6,417,169.51</w:t>
            </w:r>
          </w:p>
        </w:tc>
        <w:tc>
          <w:tcPr>
            <w:tcW w:w="1377" w:type="dxa"/>
            <w:tcBorders>
              <w:top w:val="single" w:color="auto" w:sz="2" w:space="0"/>
              <w:left w:val="single" w:color="auto" w:sz="2" w:space="0"/>
              <w:bottom w:val="single" w:color="auto" w:sz="2" w:space="0"/>
              <w:right w:val="single" w:color="auto" w:sz="2" w:space="0"/>
            </w:tcBorders>
            <w:vAlign w:val="center"/>
          </w:tcPr>
          <w:p w14:paraId="66C3984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533,439.16</w:t>
            </w:r>
          </w:p>
        </w:tc>
        <w:tc>
          <w:tcPr>
            <w:tcW w:w="1377" w:type="dxa"/>
            <w:tcBorders>
              <w:top w:val="single" w:color="auto" w:sz="2" w:space="0"/>
              <w:left w:val="single" w:color="auto" w:sz="2" w:space="0"/>
              <w:bottom w:val="single" w:color="auto" w:sz="2" w:space="0"/>
              <w:right w:val="single" w:color="auto" w:sz="2" w:space="0"/>
            </w:tcBorders>
            <w:vAlign w:val="center"/>
          </w:tcPr>
          <w:p w14:paraId="437E6D3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1,852,983.47</w:t>
            </w:r>
          </w:p>
        </w:tc>
      </w:tr>
      <w:tr w14:paraId="1995F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4F19B00">
            <w:pPr>
              <w:spacing w:before="0" w:after="0" w:line="240" w:lineRule="exact"/>
              <w:jc w:val="left"/>
              <w:rPr>
                <w:rFonts w:ascii="宋体" w:hAnsi="宋体" w:eastAsia="宋体" w:cs="宋体"/>
                <w:sz w:val="18"/>
                <w:szCs w:val="18"/>
              </w:rPr>
            </w:pPr>
            <w:r>
              <w:rPr>
                <w:rFonts w:ascii="宋体" w:hAnsi="宋体" w:eastAsia="宋体" w:cs="宋体"/>
                <w:sz w:val="18"/>
                <w:szCs w:val="18"/>
              </w:rPr>
              <w:t>一年内到期的非流动负债</w:t>
            </w:r>
          </w:p>
        </w:tc>
        <w:tc>
          <w:tcPr>
            <w:tcW w:w="1377" w:type="dxa"/>
            <w:tcBorders>
              <w:top w:val="single" w:color="auto" w:sz="2" w:space="0"/>
              <w:left w:val="single" w:color="auto" w:sz="2" w:space="0"/>
              <w:bottom w:val="single" w:color="auto" w:sz="2" w:space="0"/>
              <w:right w:val="single" w:color="auto" w:sz="2" w:space="0"/>
            </w:tcBorders>
            <w:vAlign w:val="center"/>
          </w:tcPr>
          <w:p w14:paraId="03DC3BA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5,720,129.93</w:t>
            </w:r>
          </w:p>
        </w:tc>
        <w:tc>
          <w:tcPr>
            <w:tcW w:w="1377" w:type="dxa"/>
            <w:tcBorders>
              <w:top w:val="single" w:color="auto" w:sz="2" w:space="0"/>
              <w:left w:val="single" w:color="auto" w:sz="2" w:space="0"/>
              <w:bottom w:val="single" w:color="auto" w:sz="2" w:space="0"/>
              <w:right w:val="single" w:color="auto" w:sz="2" w:space="0"/>
            </w:tcBorders>
            <w:vAlign w:val="center"/>
          </w:tcPr>
          <w:p w14:paraId="36106AD0">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EBDAED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2,132,412.93</w:t>
            </w:r>
          </w:p>
        </w:tc>
        <w:tc>
          <w:tcPr>
            <w:tcW w:w="1377" w:type="dxa"/>
            <w:tcBorders>
              <w:top w:val="single" w:color="auto" w:sz="2" w:space="0"/>
              <w:left w:val="single" w:color="auto" w:sz="2" w:space="0"/>
              <w:bottom w:val="single" w:color="auto" w:sz="2" w:space="0"/>
              <w:right w:val="single" w:color="auto" w:sz="2" w:space="0"/>
            </w:tcBorders>
            <w:vAlign w:val="center"/>
          </w:tcPr>
          <w:p w14:paraId="1B7D4BCF">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5C1A2E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1,671,985.30</w:t>
            </w:r>
          </w:p>
        </w:tc>
        <w:tc>
          <w:tcPr>
            <w:tcW w:w="1377" w:type="dxa"/>
            <w:tcBorders>
              <w:top w:val="single" w:color="auto" w:sz="2" w:space="0"/>
              <w:left w:val="single" w:color="auto" w:sz="2" w:space="0"/>
              <w:bottom w:val="single" w:color="auto" w:sz="2" w:space="0"/>
              <w:right w:val="single" w:color="auto" w:sz="2" w:space="0"/>
            </w:tcBorders>
            <w:vAlign w:val="center"/>
          </w:tcPr>
          <w:p w14:paraId="1710A5F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6,180,557.56</w:t>
            </w:r>
          </w:p>
        </w:tc>
      </w:tr>
      <w:tr w14:paraId="4100A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9DA4F75">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65E083F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108,349,825.03</w:t>
            </w:r>
          </w:p>
        </w:tc>
        <w:tc>
          <w:tcPr>
            <w:tcW w:w="1377" w:type="dxa"/>
            <w:tcBorders>
              <w:top w:val="single" w:color="auto" w:sz="2" w:space="0"/>
              <w:left w:val="single" w:color="auto" w:sz="2" w:space="0"/>
              <w:bottom w:val="single" w:color="auto" w:sz="2" w:space="0"/>
              <w:right w:val="single" w:color="auto" w:sz="2" w:space="0"/>
            </w:tcBorders>
            <w:vAlign w:val="center"/>
          </w:tcPr>
          <w:p w14:paraId="3C9D0C2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45,013,500.00</w:t>
            </w:r>
          </w:p>
        </w:tc>
        <w:tc>
          <w:tcPr>
            <w:tcW w:w="1377" w:type="dxa"/>
            <w:tcBorders>
              <w:top w:val="single" w:color="auto" w:sz="2" w:space="0"/>
              <w:left w:val="single" w:color="auto" w:sz="2" w:space="0"/>
              <w:bottom w:val="single" w:color="auto" w:sz="2" w:space="0"/>
              <w:right w:val="single" w:color="auto" w:sz="2" w:space="0"/>
            </w:tcBorders>
            <w:vAlign w:val="center"/>
          </w:tcPr>
          <w:p w14:paraId="29AABC0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7,998,084.48</w:t>
            </w:r>
          </w:p>
        </w:tc>
        <w:tc>
          <w:tcPr>
            <w:tcW w:w="1377" w:type="dxa"/>
            <w:tcBorders>
              <w:top w:val="single" w:color="auto" w:sz="2" w:space="0"/>
              <w:left w:val="single" w:color="auto" w:sz="2" w:space="0"/>
              <w:bottom w:val="single" w:color="auto" w:sz="2" w:space="0"/>
              <w:right w:val="single" w:color="auto" w:sz="2" w:space="0"/>
            </w:tcBorders>
            <w:vAlign w:val="center"/>
          </w:tcPr>
          <w:p w14:paraId="36B4332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30,096,410.44</w:t>
            </w:r>
          </w:p>
        </w:tc>
        <w:tc>
          <w:tcPr>
            <w:tcW w:w="1377" w:type="dxa"/>
            <w:tcBorders>
              <w:top w:val="single" w:color="auto" w:sz="2" w:space="0"/>
              <w:left w:val="single" w:color="auto" w:sz="2" w:space="0"/>
              <w:bottom w:val="single" w:color="auto" w:sz="2" w:space="0"/>
              <w:right w:val="single" w:color="auto" w:sz="2" w:space="0"/>
            </w:tcBorders>
            <w:vAlign w:val="center"/>
          </w:tcPr>
          <w:p w14:paraId="1BDEE3F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4,337,837.39</w:t>
            </w:r>
          </w:p>
        </w:tc>
        <w:tc>
          <w:tcPr>
            <w:tcW w:w="1377" w:type="dxa"/>
            <w:tcBorders>
              <w:top w:val="single" w:color="auto" w:sz="2" w:space="0"/>
              <w:left w:val="single" w:color="auto" w:sz="2" w:space="0"/>
              <w:bottom w:val="single" w:color="auto" w:sz="2" w:space="0"/>
              <w:right w:val="single" w:color="auto" w:sz="2" w:space="0"/>
            </w:tcBorders>
            <w:vAlign w:val="center"/>
          </w:tcPr>
          <w:p w14:paraId="1ADCCAB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126,927,161.68</w:t>
            </w:r>
          </w:p>
        </w:tc>
      </w:tr>
    </w:tbl>
    <w:p w14:paraId="1C278902">
      <w:pPr>
        <w:pStyle w:val="3"/>
        <w:keepNext/>
        <w:keepLines/>
        <w:spacing w:before="300" w:after="300" w:line="280" w:lineRule="exact"/>
        <w:jc w:val="left"/>
        <w:outlineLvl w:val="2"/>
        <w:rPr>
          <w:rFonts w:ascii="宋体" w:hAnsi="宋体" w:eastAsia="宋体" w:cs="宋体"/>
          <w:b/>
          <w:bCs/>
          <w:sz w:val="21"/>
          <w:szCs w:val="21"/>
        </w:rPr>
      </w:pPr>
      <w:bookmarkStart w:id="380" w:name="_Toc989190"/>
      <w:r>
        <w:rPr>
          <w:rFonts w:hint="default" w:ascii="Times New Roman" w:hAnsi="Times New Roman" w:eastAsia="宋体" w:cs="Times New Roman"/>
          <w:b/>
          <w:bCs/>
          <w:sz w:val="21"/>
          <w:szCs w:val="21"/>
        </w:rPr>
        <w:t>53</w:t>
      </w:r>
      <w:r>
        <w:rPr>
          <w:rFonts w:ascii="宋体" w:hAnsi="宋体" w:eastAsia="宋体" w:cs="宋体"/>
          <w:b/>
          <w:bCs/>
          <w:sz w:val="21"/>
          <w:szCs w:val="21"/>
        </w:rPr>
        <w:t>、现金流量表补充资料</w:t>
      </w:r>
      <w:bookmarkEnd w:id="380"/>
    </w:p>
    <w:p w14:paraId="684863F7">
      <w:pPr>
        <w:keepNext/>
        <w:keepLines/>
        <w:spacing w:before="300" w:after="300" w:line="280" w:lineRule="exact"/>
        <w:jc w:val="left"/>
        <w:outlineLvl w:val="3"/>
        <w:rPr>
          <w:rFonts w:ascii="宋体" w:hAnsi="宋体" w:eastAsia="宋体" w:cs="宋体"/>
          <w:b/>
          <w:bCs/>
          <w:sz w:val="21"/>
          <w:szCs w:val="21"/>
        </w:rPr>
      </w:pPr>
      <w:bookmarkStart w:id="381" w:name="_Toc989191"/>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现金流量表补充资料</w:t>
      </w:r>
      <w:bookmarkEnd w:id="381"/>
    </w:p>
    <w:p w14:paraId="557FCB8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5CFE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7BED5A">
            <w:pPr>
              <w:spacing w:before="40" w:after="40" w:line="240" w:lineRule="exact"/>
              <w:jc w:val="center"/>
              <w:rPr>
                <w:rFonts w:ascii="宋体" w:hAnsi="宋体" w:eastAsia="宋体" w:cs="宋体"/>
                <w:sz w:val="18"/>
                <w:szCs w:val="18"/>
              </w:rPr>
            </w:pPr>
            <w:r>
              <w:rPr>
                <w:rFonts w:ascii="宋体" w:hAnsi="宋体" w:eastAsia="宋体" w:cs="宋体"/>
                <w:sz w:val="18"/>
                <w:szCs w:val="18"/>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2956EE">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2FE369">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r>
      <w:tr w14:paraId="6BFE2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8B66A4">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532AFB"/>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11A5CE"/>
        </w:tc>
      </w:tr>
      <w:tr w14:paraId="2AAA5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F45401">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14:paraId="5C8FE93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14,787,270.04</w:t>
            </w:r>
          </w:p>
        </w:tc>
        <w:tc>
          <w:tcPr>
            <w:tcW w:w="3213" w:type="dxa"/>
            <w:tcBorders>
              <w:top w:val="single" w:color="auto" w:sz="2" w:space="0"/>
              <w:left w:val="single" w:color="auto" w:sz="2" w:space="0"/>
              <w:bottom w:val="single" w:color="auto" w:sz="2" w:space="0"/>
              <w:right w:val="single" w:color="auto" w:sz="2" w:space="0"/>
            </w:tcBorders>
            <w:vAlign w:val="center"/>
          </w:tcPr>
          <w:p w14:paraId="6D8A898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16,607,493.45</w:t>
            </w:r>
          </w:p>
        </w:tc>
      </w:tr>
      <w:tr w14:paraId="30081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0E9B00">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14:paraId="60C865F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3,186,786.42</w:t>
            </w:r>
          </w:p>
        </w:tc>
        <w:tc>
          <w:tcPr>
            <w:tcW w:w="3213" w:type="dxa"/>
            <w:tcBorders>
              <w:top w:val="single" w:color="auto" w:sz="2" w:space="0"/>
              <w:left w:val="single" w:color="auto" w:sz="2" w:space="0"/>
              <w:bottom w:val="single" w:color="auto" w:sz="2" w:space="0"/>
              <w:right w:val="single" w:color="auto" w:sz="2" w:space="0"/>
            </w:tcBorders>
            <w:vAlign w:val="center"/>
          </w:tcPr>
          <w:p w14:paraId="24DF16F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24,515,652.84</w:t>
            </w:r>
          </w:p>
        </w:tc>
      </w:tr>
      <w:tr w14:paraId="79621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5BE9AA">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14:paraId="13A7E84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12,466</w:t>
            </w:r>
            <w:r>
              <w:rPr>
                <w:rFonts w:hint="eastAsia" w:cs="Times New Roman"/>
                <w:sz w:val="18"/>
                <w:szCs w:val="18"/>
                <w:lang w:val="en-US" w:eastAsia="zh-CN"/>
              </w:rPr>
              <w:t>,</w:t>
            </w:r>
            <w:r>
              <w:rPr>
                <w:rFonts w:hint="default" w:ascii="Times New Roman" w:hAnsi="Times New Roman" w:eastAsia="宋体" w:cs="Times New Roman"/>
                <w:sz w:val="18"/>
                <w:szCs w:val="18"/>
              </w:rPr>
              <w:t>350.34</w:t>
            </w:r>
          </w:p>
        </w:tc>
        <w:tc>
          <w:tcPr>
            <w:tcW w:w="3213" w:type="dxa"/>
            <w:tcBorders>
              <w:top w:val="single" w:color="auto" w:sz="2" w:space="0"/>
              <w:left w:val="single" w:color="auto" w:sz="2" w:space="0"/>
              <w:bottom w:val="single" w:color="auto" w:sz="2" w:space="0"/>
              <w:right w:val="single" w:color="auto" w:sz="2" w:space="0"/>
            </w:tcBorders>
            <w:vAlign w:val="center"/>
          </w:tcPr>
          <w:p w14:paraId="69D42AC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10,822,046.10</w:t>
            </w:r>
          </w:p>
        </w:tc>
      </w:tr>
      <w:tr w14:paraId="2F302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9D8908">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14:paraId="02E6E4F6">
            <w:pPr>
              <w:spacing w:before="0" w:after="0" w:line="240" w:lineRule="exact"/>
              <w:jc w:val="right"/>
              <w:rPr>
                <w:rFonts w:hint="default" w:ascii="Times New Roman" w:hAnsi="Times New Roman" w:eastAsia="宋体" w:cs="Times New Roman"/>
                <w:sz w:val="18"/>
                <w:szCs w:val="18"/>
              </w:rPr>
            </w:pPr>
            <w:r>
              <w:rPr>
                <w:rFonts w:hint="default" w:cs="Times New Roman"/>
                <w:sz w:val="18"/>
                <w:szCs w:val="18"/>
                <w:lang w:val="en-US" w:eastAsia="zh-CN"/>
              </w:rPr>
              <w:t>4</w:t>
            </w:r>
            <w:r>
              <w:rPr>
                <w:rFonts w:hint="default" w:ascii="Times New Roman" w:hAnsi="Times New Roman" w:eastAsia="宋体" w:cs="Times New Roman"/>
                <w:sz w:val="18"/>
                <w:szCs w:val="18"/>
              </w:rPr>
              <w:t>,771,215.</w:t>
            </w:r>
            <w:r>
              <w:rPr>
                <w:rFonts w:hint="default" w:cs="Times New Roman"/>
                <w:sz w:val="18"/>
                <w:szCs w:val="18"/>
                <w:lang w:val="en-US" w:eastAsia="zh-CN"/>
              </w:rPr>
              <w:t>97</w:t>
            </w:r>
          </w:p>
        </w:tc>
        <w:tc>
          <w:tcPr>
            <w:tcW w:w="3213" w:type="dxa"/>
            <w:tcBorders>
              <w:top w:val="single" w:color="auto" w:sz="2" w:space="0"/>
              <w:left w:val="single" w:color="auto" w:sz="2" w:space="0"/>
              <w:bottom w:val="single" w:color="auto" w:sz="2" w:space="0"/>
              <w:right w:val="single" w:color="auto" w:sz="2" w:space="0"/>
            </w:tcBorders>
            <w:vAlign w:val="center"/>
          </w:tcPr>
          <w:p w14:paraId="51A9E72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6,268,996.61</w:t>
            </w:r>
          </w:p>
        </w:tc>
      </w:tr>
      <w:tr w14:paraId="365CA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A6DE53">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14:paraId="5890749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8,413,414.10</w:t>
            </w:r>
          </w:p>
        </w:tc>
        <w:tc>
          <w:tcPr>
            <w:tcW w:w="3213" w:type="dxa"/>
            <w:tcBorders>
              <w:top w:val="single" w:color="auto" w:sz="2" w:space="0"/>
              <w:left w:val="single" w:color="auto" w:sz="2" w:space="0"/>
              <w:bottom w:val="single" w:color="auto" w:sz="2" w:space="0"/>
              <w:right w:val="single" w:color="auto" w:sz="2" w:space="0"/>
            </w:tcBorders>
            <w:vAlign w:val="center"/>
          </w:tcPr>
          <w:p w14:paraId="15A0206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9,768,134.67</w:t>
            </w:r>
          </w:p>
        </w:tc>
      </w:tr>
      <w:tr w14:paraId="4C089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6CEEC3">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14:paraId="0A117EB9">
            <w:pPr>
              <w:spacing w:before="0" w:after="0" w:line="240" w:lineRule="exact"/>
              <w:jc w:val="right"/>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954,754.6</w:t>
            </w:r>
            <w:r>
              <w:rPr>
                <w:rFonts w:hint="eastAsia" w:cs="Times New Roman"/>
                <w:sz w:val="18"/>
                <w:szCs w:val="18"/>
                <w:lang w:val="en-US" w:eastAsia="zh-CN"/>
              </w:rPr>
              <w:t>8</w:t>
            </w:r>
          </w:p>
        </w:tc>
        <w:tc>
          <w:tcPr>
            <w:tcW w:w="3213" w:type="dxa"/>
            <w:tcBorders>
              <w:top w:val="single" w:color="auto" w:sz="2" w:space="0"/>
              <w:left w:val="single" w:color="auto" w:sz="2" w:space="0"/>
              <w:bottom w:val="single" w:color="auto" w:sz="2" w:space="0"/>
              <w:right w:val="single" w:color="auto" w:sz="2" w:space="0"/>
            </w:tcBorders>
            <w:vAlign w:val="center"/>
          </w:tcPr>
          <w:p w14:paraId="6C117CC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1,010,423.93</w:t>
            </w:r>
          </w:p>
        </w:tc>
      </w:tr>
      <w:tr w14:paraId="6212E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6ACD26">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369873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5,119.40</w:t>
            </w:r>
          </w:p>
        </w:tc>
        <w:tc>
          <w:tcPr>
            <w:tcW w:w="3213" w:type="dxa"/>
            <w:tcBorders>
              <w:top w:val="single" w:color="auto" w:sz="2" w:space="0"/>
              <w:left w:val="single" w:color="auto" w:sz="2" w:space="0"/>
              <w:bottom w:val="single" w:color="auto" w:sz="2" w:space="0"/>
              <w:right w:val="single" w:color="auto" w:sz="2" w:space="0"/>
            </w:tcBorders>
            <w:vAlign w:val="center"/>
          </w:tcPr>
          <w:p w14:paraId="5796281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-32,334.57</w:t>
            </w:r>
          </w:p>
        </w:tc>
      </w:tr>
      <w:tr w14:paraId="72E67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DC0024">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38E0A9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76,038.05</w:t>
            </w:r>
          </w:p>
        </w:tc>
        <w:tc>
          <w:tcPr>
            <w:tcW w:w="3213" w:type="dxa"/>
            <w:tcBorders>
              <w:top w:val="single" w:color="auto" w:sz="2" w:space="0"/>
              <w:left w:val="single" w:color="auto" w:sz="2" w:space="0"/>
              <w:bottom w:val="single" w:color="auto" w:sz="2" w:space="0"/>
              <w:right w:val="single" w:color="auto" w:sz="2" w:space="0"/>
            </w:tcBorders>
            <w:vAlign w:val="center"/>
          </w:tcPr>
          <w:p w14:paraId="3C5D9A6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55,102.05</w:t>
            </w:r>
          </w:p>
        </w:tc>
      </w:tr>
      <w:tr w14:paraId="446E7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895DCE">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86EC574">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583E6B0">
            <w:pPr>
              <w:spacing w:before="0" w:after="0" w:line="240" w:lineRule="exact"/>
              <w:jc w:val="right"/>
              <w:rPr>
                <w:rFonts w:hint="default" w:ascii="Times New Roman" w:hAnsi="Times New Roman" w:eastAsia="宋体" w:cs="Times New Roman"/>
                <w:sz w:val="18"/>
                <w:szCs w:val="18"/>
              </w:rPr>
            </w:pPr>
          </w:p>
        </w:tc>
      </w:tr>
      <w:tr w14:paraId="089D2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8834FC">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7CAFB4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4,035,969.72</w:t>
            </w:r>
          </w:p>
        </w:tc>
        <w:tc>
          <w:tcPr>
            <w:tcW w:w="3213" w:type="dxa"/>
            <w:tcBorders>
              <w:top w:val="single" w:color="auto" w:sz="2" w:space="0"/>
              <w:left w:val="single" w:color="auto" w:sz="2" w:space="0"/>
              <w:bottom w:val="single" w:color="auto" w:sz="2" w:space="0"/>
              <w:right w:val="single" w:color="auto" w:sz="2" w:space="0"/>
            </w:tcBorders>
            <w:vAlign w:val="center"/>
          </w:tcPr>
          <w:p w14:paraId="2BFE81A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1,718,844.26</w:t>
            </w:r>
          </w:p>
        </w:tc>
      </w:tr>
      <w:tr w14:paraId="59634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07A410">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65DBAD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-1,894,614.62</w:t>
            </w:r>
          </w:p>
        </w:tc>
        <w:tc>
          <w:tcPr>
            <w:tcW w:w="3213" w:type="dxa"/>
            <w:tcBorders>
              <w:top w:val="single" w:color="auto" w:sz="2" w:space="0"/>
              <w:left w:val="single" w:color="auto" w:sz="2" w:space="0"/>
              <w:bottom w:val="single" w:color="auto" w:sz="2" w:space="0"/>
              <w:right w:val="single" w:color="auto" w:sz="2" w:space="0"/>
            </w:tcBorders>
            <w:vAlign w:val="center"/>
          </w:tcPr>
          <w:p w14:paraId="237CFB8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-606,241.58</w:t>
            </w:r>
          </w:p>
        </w:tc>
      </w:tr>
      <w:tr w14:paraId="08D19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9C5DDB">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2E6679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761,436.24</w:t>
            </w:r>
          </w:p>
        </w:tc>
        <w:tc>
          <w:tcPr>
            <w:tcW w:w="3213" w:type="dxa"/>
            <w:tcBorders>
              <w:top w:val="single" w:color="auto" w:sz="2" w:space="0"/>
              <w:left w:val="single" w:color="auto" w:sz="2" w:space="0"/>
              <w:bottom w:val="single" w:color="auto" w:sz="2" w:space="0"/>
              <w:right w:val="single" w:color="auto" w:sz="2" w:space="0"/>
            </w:tcBorders>
            <w:vAlign w:val="center"/>
          </w:tcPr>
          <w:p w14:paraId="515A575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-3,454,659.62</w:t>
            </w:r>
          </w:p>
        </w:tc>
      </w:tr>
      <w:tr w14:paraId="3AE8A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F6D191">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3383E87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-1,355,221.34</w:t>
            </w:r>
          </w:p>
        </w:tc>
        <w:tc>
          <w:tcPr>
            <w:tcW w:w="3213" w:type="dxa"/>
            <w:tcBorders>
              <w:top w:val="single" w:color="auto" w:sz="2" w:space="0"/>
              <w:left w:val="single" w:color="auto" w:sz="2" w:space="0"/>
              <w:bottom w:val="single" w:color="auto" w:sz="2" w:space="0"/>
              <w:right w:val="single" w:color="auto" w:sz="2" w:space="0"/>
            </w:tcBorders>
            <w:vAlign w:val="center"/>
          </w:tcPr>
          <w:p w14:paraId="6FC731D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1,875,981.75</w:t>
            </w:r>
          </w:p>
        </w:tc>
      </w:tr>
      <w:tr w14:paraId="3C9D1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C364BC">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464752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-625,486.88</w:t>
            </w:r>
          </w:p>
        </w:tc>
        <w:tc>
          <w:tcPr>
            <w:tcW w:w="3213" w:type="dxa"/>
            <w:tcBorders>
              <w:top w:val="single" w:color="auto" w:sz="2" w:space="0"/>
              <w:left w:val="single" w:color="auto" w:sz="2" w:space="0"/>
              <w:bottom w:val="single" w:color="auto" w:sz="2" w:space="0"/>
              <w:right w:val="single" w:color="auto" w:sz="2" w:space="0"/>
            </w:tcBorders>
            <w:vAlign w:val="center"/>
          </w:tcPr>
          <w:p w14:paraId="1BCB85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-2,127,962.49</w:t>
            </w:r>
          </w:p>
        </w:tc>
      </w:tr>
      <w:tr w14:paraId="7D142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7D7339">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1B6BBE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17,760,909.56</w:t>
            </w:r>
          </w:p>
        </w:tc>
        <w:tc>
          <w:tcPr>
            <w:tcW w:w="3213" w:type="dxa"/>
            <w:tcBorders>
              <w:top w:val="single" w:color="auto" w:sz="2" w:space="0"/>
              <w:left w:val="single" w:color="auto" w:sz="2" w:space="0"/>
              <w:bottom w:val="single" w:color="auto" w:sz="2" w:space="0"/>
              <w:right w:val="single" w:color="auto" w:sz="2" w:space="0"/>
            </w:tcBorders>
            <w:vAlign w:val="center"/>
          </w:tcPr>
          <w:p w14:paraId="02AF800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19,959,200.26</w:t>
            </w:r>
          </w:p>
        </w:tc>
      </w:tr>
      <w:tr w14:paraId="60E1D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36CEA3">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82ADA1D">
            <w:pPr>
              <w:spacing w:before="0" w:after="0" w:line="240" w:lineRule="exact"/>
              <w:jc w:val="right"/>
              <w:rPr>
                <w:rFonts w:hint="default" w:ascii="Times New Roman" w:hAnsi="Times New Roman" w:eastAsia="宋体" w:cs="Times New Roman"/>
                <w:sz w:val="18"/>
                <w:szCs w:val="18"/>
              </w:rPr>
            </w:pPr>
            <w:r>
              <w:rPr>
                <w:rFonts w:hint="eastAsia" w:cs="Times New Roman"/>
                <w:sz w:val="18"/>
                <w:szCs w:val="18"/>
                <w:lang w:val="en-US" w:eastAsia="zh-CN"/>
              </w:rPr>
              <w:t>8,129,854.08</w:t>
            </w:r>
          </w:p>
        </w:tc>
        <w:tc>
          <w:tcPr>
            <w:tcW w:w="3213" w:type="dxa"/>
            <w:tcBorders>
              <w:top w:val="single" w:color="auto" w:sz="2" w:space="0"/>
              <w:left w:val="single" w:color="auto" w:sz="2" w:space="0"/>
              <w:bottom w:val="single" w:color="auto" w:sz="2" w:space="0"/>
              <w:right w:val="single" w:color="auto" w:sz="2" w:space="0"/>
            </w:tcBorders>
            <w:vAlign w:val="center"/>
          </w:tcPr>
          <w:p w14:paraId="3D8AE1B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-36,825,880.67</w:t>
            </w:r>
          </w:p>
        </w:tc>
      </w:tr>
      <w:tr w14:paraId="00183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EBEF6A">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3097274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2B04067">
            <w:pPr>
              <w:spacing w:before="0" w:after="0" w:line="240" w:lineRule="exact"/>
              <w:jc w:val="right"/>
              <w:rPr>
                <w:rFonts w:hint="default" w:ascii="Times New Roman" w:hAnsi="Times New Roman" w:eastAsia="宋体" w:cs="Times New Roman"/>
                <w:sz w:val="18"/>
                <w:szCs w:val="18"/>
              </w:rPr>
            </w:pPr>
          </w:p>
        </w:tc>
      </w:tr>
      <w:tr w14:paraId="440BC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7155D7">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712702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71,473,795.76</w:t>
            </w:r>
          </w:p>
        </w:tc>
        <w:tc>
          <w:tcPr>
            <w:tcW w:w="3213" w:type="dxa"/>
            <w:tcBorders>
              <w:top w:val="single" w:color="auto" w:sz="2" w:space="0"/>
              <w:left w:val="single" w:color="auto" w:sz="2" w:space="0"/>
              <w:bottom w:val="single" w:color="auto" w:sz="2" w:space="0"/>
              <w:right w:val="single" w:color="auto" w:sz="2" w:space="0"/>
            </w:tcBorders>
            <w:vAlign w:val="center"/>
          </w:tcPr>
          <w:p w14:paraId="1F501E3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49,554,796.99</w:t>
            </w:r>
          </w:p>
        </w:tc>
      </w:tr>
      <w:tr w14:paraId="6097B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D8D30D">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2A5C69"/>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6CA9D7"/>
        </w:tc>
      </w:tr>
      <w:tr w14:paraId="08F2C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F60714">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14:paraId="70DA3B9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BC94609">
            <w:pPr>
              <w:spacing w:before="0" w:after="0" w:line="240" w:lineRule="exact"/>
              <w:jc w:val="right"/>
              <w:rPr>
                <w:rFonts w:ascii="宋体" w:hAnsi="宋体" w:eastAsia="宋体" w:cs="宋体"/>
                <w:sz w:val="18"/>
                <w:szCs w:val="18"/>
              </w:rPr>
            </w:pPr>
          </w:p>
        </w:tc>
      </w:tr>
      <w:tr w14:paraId="732EF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158EC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14:paraId="2A08C35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9E8299E">
            <w:pPr>
              <w:spacing w:before="0" w:after="0" w:line="240" w:lineRule="exact"/>
              <w:jc w:val="right"/>
              <w:rPr>
                <w:rFonts w:ascii="宋体" w:hAnsi="宋体" w:eastAsia="宋体" w:cs="宋体"/>
                <w:sz w:val="18"/>
                <w:szCs w:val="18"/>
              </w:rPr>
            </w:pPr>
          </w:p>
        </w:tc>
      </w:tr>
      <w:tr w14:paraId="22B9A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D3B7BF">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6F8C05C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DF3C2CE">
            <w:pPr>
              <w:spacing w:before="0" w:after="0" w:line="240" w:lineRule="exact"/>
              <w:jc w:val="right"/>
              <w:rPr>
                <w:rFonts w:ascii="宋体" w:hAnsi="宋体" w:eastAsia="宋体" w:cs="宋体"/>
                <w:sz w:val="18"/>
                <w:szCs w:val="18"/>
              </w:rPr>
            </w:pPr>
          </w:p>
        </w:tc>
      </w:tr>
      <w:tr w14:paraId="39120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14B06B">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5EDCE1"/>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945797"/>
        </w:tc>
      </w:tr>
      <w:tr w14:paraId="4F5F6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42606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14:paraId="196D1A6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160,602,712.50</w:t>
            </w:r>
          </w:p>
        </w:tc>
        <w:tc>
          <w:tcPr>
            <w:tcW w:w="3213" w:type="dxa"/>
            <w:tcBorders>
              <w:top w:val="single" w:color="auto" w:sz="2" w:space="0"/>
              <w:left w:val="single" w:color="auto" w:sz="2" w:space="0"/>
              <w:bottom w:val="single" w:color="auto" w:sz="2" w:space="0"/>
              <w:right w:val="single" w:color="auto" w:sz="2" w:space="0"/>
            </w:tcBorders>
            <w:vAlign w:val="center"/>
          </w:tcPr>
          <w:p w14:paraId="0F76774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104,483,800.11</w:t>
            </w:r>
          </w:p>
        </w:tc>
      </w:tr>
      <w:tr w14:paraId="7E115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8D45A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14:paraId="1A43D78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104,483,800.11</w:t>
            </w:r>
          </w:p>
        </w:tc>
        <w:tc>
          <w:tcPr>
            <w:tcW w:w="3213" w:type="dxa"/>
            <w:tcBorders>
              <w:top w:val="single" w:color="auto" w:sz="2" w:space="0"/>
              <w:left w:val="single" w:color="auto" w:sz="2" w:space="0"/>
              <w:bottom w:val="single" w:color="auto" w:sz="2" w:space="0"/>
              <w:right w:val="single" w:color="auto" w:sz="2" w:space="0"/>
            </w:tcBorders>
            <w:vAlign w:val="center"/>
          </w:tcPr>
          <w:p w14:paraId="2055EC6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96,108,405.47</w:t>
            </w:r>
          </w:p>
        </w:tc>
      </w:tr>
      <w:tr w14:paraId="61B9F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0B719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14:paraId="6F5E1329">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689F413">
            <w:pPr>
              <w:spacing w:before="0" w:after="0" w:line="240" w:lineRule="exact"/>
              <w:jc w:val="right"/>
              <w:rPr>
                <w:rFonts w:hint="default" w:ascii="Times New Roman" w:hAnsi="Times New Roman" w:eastAsia="宋体" w:cs="Times New Roman"/>
                <w:sz w:val="18"/>
                <w:szCs w:val="18"/>
              </w:rPr>
            </w:pPr>
          </w:p>
        </w:tc>
      </w:tr>
      <w:tr w14:paraId="2A01B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622954">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14:paraId="054BDB85">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97CA5C2">
            <w:pPr>
              <w:spacing w:before="0" w:after="0" w:line="240" w:lineRule="exact"/>
              <w:jc w:val="right"/>
              <w:rPr>
                <w:rFonts w:hint="default" w:ascii="Times New Roman" w:hAnsi="Times New Roman" w:eastAsia="宋体" w:cs="Times New Roman"/>
                <w:sz w:val="18"/>
                <w:szCs w:val="18"/>
              </w:rPr>
            </w:pPr>
          </w:p>
        </w:tc>
      </w:tr>
      <w:tr w14:paraId="39D7D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D547BF">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50B481A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56,118,912.39</w:t>
            </w:r>
          </w:p>
        </w:tc>
        <w:tc>
          <w:tcPr>
            <w:tcW w:w="3213" w:type="dxa"/>
            <w:tcBorders>
              <w:top w:val="single" w:color="auto" w:sz="2" w:space="0"/>
              <w:left w:val="single" w:color="auto" w:sz="2" w:space="0"/>
              <w:bottom w:val="single" w:color="auto" w:sz="2" w:space="0"/>
              <w:right w:val="single" w:color="auto" w:sz="2" w:space="0"/>
            </w:tcBorders>
            <w:vAlign w:val="center"/>
          </w:tcPr>
          <w:p w14:paraId="770596B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8,375,394.64</w:t>
            </w:r>
          </w:p>
        </w:tc>
      </w:tr>
    </w:tbl>
    <w:p w14:paraId="11A8AC1F">
      <w:pPr>
        <w:keepNext/>
        <w:keepLines/>
        <w:spacing w:before="300" w:after="300" w:line="280" w:lineRule="exact"/>
        <w:jc w:val="left"/>
        <w:outlineLvl w:val="3"/>
        <w:rPr>
          <w:rFonts w:ascii="宋体" w:hAnsi="宋体" w:eastAsia="宋体" w:cs="宋体"/>
          <w:b/>
          <w:bCs/>
          <w:sz w:val="21"/>
          <w:szCs w:val="21"/>
        </w:rPr>
      </w:pPr>
      <w:bookmarkStart w:id="382" w:name="_Toc989192"/>
      <w:r>
        <w:rPr>
          <w:rFonts w:ascii="宋体" w:hAnsi="宋体" w:eastAsia="宋体" w:cs="宋体"/>
          <w:b/>
          <w:bCs/>
          <w:sz w:val="21"/>
          <w:szCs w:val="21"/>
        </w:rPr>
        <w:t>（</w:t>
      </w:r>
      <w:r>
        <w:rPr>
          <w:rFonts w:hint="default" w:ascii="Times New Roman" w:hAnsi="Times New Roman" w:eastAsia="宋体" w:cs="Times New Roman"/>
          <w:b/>
          <w:bCs/>
          <w:sz w:val="21"/>
          <w:szCs w:val="21"/>
        </w:rPr>
        <w:t>2</w:t>
      </w:r>
      <w:r>
        <w:rPr>
          <w:rFonts w:ascii="宋体" w:hAnsi="宋体" w:eastAsia="宋体" w:cs="宋体"/>
          <w:b/>
          <w:bCs/>
          <w:sz w:val="21"/>
          <w:szCs w:val="21"/>
        </w:rPr>
        <w:t>） 本期支付的取得子公司的现金净额</w:t>
      </w:r>
      <w:bookmarkEnd w:id="382"/>
    </w:p>
    <w:p w14:paraId="237DAC9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5CCAC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5EFEC22"/>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4EFC0E5">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r>
      <w:tr w14:paraId="0218C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ECFA3C4">
            <w:pPr>
              <w:spacing w:before="40" w:after="40" w:line="240" w:lineRule="exact"/>
              <w:jc w:val="left"/>
              <w:rPr>
                <w:rFonts w:ascii="宋体" w:hAnsi="宋体" w:eastAsia="宋体" w:cs="宋体"/>
                <w:sz w:val="18"/>
                <w:szCs w:val="18"/>
              </w:rPr>
            </w:pPr>
            <w:r>
              <w:rPr>
                <w:rFonts w:ascii="宋体" w:hAnsi="宋体" w:eastAsia="宋体" w:cs="宋体"/>
                <w:sz w:val="18"/>
                <w:szCs w:val="18"/>
              </w:rPr>
              <w:t>本期发生的企业合并于本期支付的现金或现金等价物</w:t>
            </w:r>
          </w:p>
        </w:tc>
        <w:tc>
          <w:tcPr>
            <w:tcW w:w="4820" w:type="dxa"/>
            <w:tcBorders>
              <w:top w:val="single" w:color="auto" w:sz="2" w:space="0"/>
              <w:left w:val="single" w:color="auto" w:sz="2" w:space="0"/>
              <w:bottom w:val="single" w:color="auto" w:sz="2" w:space="0"/>
              <w:right w:val="single" w:color="auto" w:sz="2" w:space="0"/>
            </w:tcBorders>
            <w:vAlign w:val="center"/>
          </w:tcPr>
          <w:p w14:paraId="5BC087D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2,281,026.87</w:t>
            </w:r>
          </w:p>
        </w:tc>
      </w:tr>
      <w:tr w14:paraId="3E57E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4CCEF33">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5344AD1">
            <w:pPr>
              <w:spacing w:before="0" w:after="0" w:line="240" w:lineRule="exact"/>
              <w:jc w:val="right"/>
              <w:rPr>
                <w:rFonts w:hint="default" w:ascii="Times New Roman" w:hAnsi="Times New Roman" w:eastAsia="宋体" w:cs="Times New Roman"/>
                <w:sz w:val="18"/>
                <w:szCs w:val="18"/>
              </w:rPr>
            </w:pPr>
          </w:p>
        </w:tc>
      </w:tr>
      <w:tr w14:paraId="21EE2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56CE17C">
            <w:pPr>
              <w:spacing w:before="0" w:after="0" w:line="240" w:lineRule="exact"/>
              <w:jc w:val="left"/>
              <w:rPr>
                <w:rFonts w:ascii="宋体" w:hAnsi="宋体" w:eastAsia="宋体" w:cs="宋体"/>
                <w:sz w:val="18"/>
                <w:szCs w:val="18"/>
              </w:rPr>
            </w:pPr>
            <w:r>
              <w:rPr>
                <w:rFonts w:ascii="宋体" w:hAnsi="宋体" w:eastAsia="宋体" w:cs="宋体"/>
                <w:sz w:val="18"/>
                <w:szCs w:val="18"/>
              </w:rPr>
              <w:t>北京宏冠再生医学科技有限公司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767AD3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2,281,026.87</w:t>
            </w:r>
          </w:p>
        </w:tc>
      </w:tr>
      <w:tr w14:paraId="76A21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D96F952">
            <w:pPr>
              <w:spacing w:before="40" w:after="40" w:line="240" w:lineRule="exact"/>
              <w:jc w:val="left"/>
              <w:rPr>
                <w:rFonts w:ascii="宋体" w:hAnsi="宋体" w:eastAsia="宋体" w:cs="宋体"/>
                <w:sz w:val="18"/>
                <w:szCs w:val="18"/>
              </w:rPr>
            </w:pPr>
            <w:r>
              <w:rPr>
                <w:rFonts w:ascii="宋体" w:hAnsi="宋体" w:eastAsia="宋体" w:cs="宋体"/>
                <w:sz w:val="18"/>
                <w:szCs w:val="18"/>
              </w:rPr>
              <w:t>减：购买日子公司持有的现金及现金等价物</w:t>
            </w:r>
          </w:p>
        </w:tc>
        <w:tc>
          <w:tcPr>
            <w:tcW w:w="4820" w:type="dxa"/>
            <w:tcBorders>
              <w:top w:val="single" w:color="auto" w:sz="2" w:space="0"/>
              <w:left w:val="single" w:color="auto" w:sz="2" w:space="0"/>
              <w:bottom w:val="single" w:color="auto" w:sz="2" w:space="0"/>
              <w:right w:val="single" w:color="auto" w:sz="2" w:space="0"/>
            </w:tcBorders>
            <w:vAlign w:val="center"/>
          </w:tcPr>
          <w:p w14:paraId="1A82DC4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1,382,644.69</w:t>
            </w:r>
          </w:p>
        </w:tc>
      </w:tr>
      <w:tr w14:paraId="67BA9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9E95276">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EECEAFF">
            <w:pPr>
              <w:spacing w:before="0" w:after="0" w:line="240" w:lineRule="exact"/>
              <w:jc w:val="right"/>
              <w:rPr>
                <w:rFonts w:hint="default" w:ascii="Times New Roman" w:hAnsi="Times New Roman" w:eastAsia="宋体" w:cs="Times New Roman"/>
                <w:sz w:val="18"/>
                <w:szCs w:val="18"/>
              </w:rPr>
            </w:pPr>
          </w:p>
        </w:tc>
      </w:tr>
      <w:tr w14:paraId="03FDB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6DC2C87">
            <w:pPr>
              <w:spacing w:before="0" w:after="0" w:line="240" w:lineRule="exact"/>
              <w:jc w:val="left"/>
              <w:rPr>
                <w:rFonts w:ascii="宋体" w:hAnsi="宋体" w:eastAsia="宋体" w:cs="宋体"/>
                <w:sz w:val="18"/>
                <w:szCs w:val="18"/>
              </w:rPr>
            </w:pPr>
            <w:r>
              <w:rPr>
                <w:rFonts w:ascii="宋体" w:hAnsi="宋体" w:eastAsia="宋体" w:cs="宋体"/>
                <w:sz w:val="18"/>
                <w:szCs w:val="18"/>
              </w:rPr>
              <w:t>北京宏冠再生医学科技有限公司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81C03C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1,382,644.69</w:t>
            </w:r>
          </w:p>
        </w:tc>
      </w:tr>
      <w:tr w14:paraId="019C4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B804D41">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A10022D">
            <w:pPr>
              <w:spacing w:before="0" w:after="0" w:line="240" w:lineRule="exact"/>
              <w:jc w:val="right"/>
              <w:rPr>
                <w:rFonts w:hint="default" w:ascii="Times New Roman" w:hAnsi="Times New Roman" w:eastAsia="宋体" w:cs="Times New Roman"/>
                <w:sz w:val="18"/>
                <w:szCs w:val="18"/>
              </w:rPr>
            </w:pPr>
          </w:p>
        </w:tc>
      </w:tr>
      <w:tr w14:paraId="1D8CA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1243871">
            <w:pPr>
              <w:spacing w:before="40" w:after="40" w:line="240" w:lineRule="exact"/>
              <w:jc w:val="left"/>
              <w:rPr>
                <w:rFonts w:ascii="宋体" w:hAnsi="宋体" w:eastAsia="宋体" w:cs="宋体"/>
                <w:sz w:val="18"/>
                <w:szCs w:val="18"/>
              </w:rPr>
            </w:pPr>
            <w:r>
              <w:rPr>
                <w:rFonts w:ascii="宋体" w:hAnsi="宋体" w:eastAsia="宋体" w:cs="宋体"/>
                <w:sz w:val="18"/>
                <w:szCs w:val="18"/>
              </w:rPr>
              <w:t>取得子公司支付的现金净额</w:t>
            </w:r>
          </w:p>
        </w:tc>
        <w:tc>
          <w:tcPr>
            <w:tcW w:w="4820" w:type="dxa"/>
            <w:tcBorders>
              <w:top w:val="single" w:color="auto" w:sz="2" w:space="0"/>
              <w:left w:val="single" w:color="auto" w:sz="2" w:space="0"/>
              <w:bottom w:val="single" w:color="auto" w:sz="2" w:space="0"/>
              <w:right w:val="single" w:color="auto" w:sz="2" w:space="0"/>
            </w:tcBorders>
            <w:vAlign w:val="center"/>
          </w:tcPr>
          <w:p w14:paraId="127334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898,382.18</w:t>
            </w:r>
          </w:p>
        </w:tc>
      </w:tr>
    </w:tbl>
    <w:p w14:paraId="18E35441">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602C21E9">
      <w:pPr>
        <w:keepNext/>
        <w:keepLines/>
        <w:spacing w:before="300" w:after="300" w:line="280" w:lineRule="exact"/>
        <w:jc w:val="left"/>
        <w:outlineLvl w:val="3"/>
        <w:rPr>
          <w:rFonts w:ascii="宋体" w:hAnsi="宋体" w:eastAsia="宋体" w:cs="宋体"/>
          <w:b/>
          <w:bCs/>
          <w:sz w:val="21"/>
          <w:szCs w:val="21"/>
        </w:rPr>
      </w:pPr>
      <w:bookmarkStart w:id="383" w:name="_Toc989193"/>
      <w:r>
        <w:rPr>
          <w:rFonts w:ascii="宋体" w:hAnsi="宋体" w:eastAsia="宋体" w:cs="宋体"/>
          <w:b/>
          <w:bCs/>
          <w:sz w:val="21"/>
          <w:szCs w:val="21"/>
        </w:rPr>
        <w:t>（</w:t>
      </w:r>
      <w:r>
        <w:rPr>
          <w:rFonts w:hint="default" w:ascii="Times New Roman" w:hAnsi="Times New Roman" w:eastAsia="宋体" w:cs="Times New Roman"/>
          <w:b/>
          <w:bCs/>
          <w:sz w:val="21"/>
          <w:szCs w:val="21"/>
        </w:rPr>
        <w:t>3</w:t>
      </w:r>
      <w:r>
        <w:rPr>
          <w:rFonts w:ascii="宋体" w:hAnsi="宋体" w:eastAsia="宋体" w:cs="宋体"/>
          <w:b/>
          <w:bCs/>
          <w:sz w:val="21"/>
          <w:szCs w:val="21"/>
        </w:rPr>
        <w:t>） 现金和现金等价物的构成</w:t>
      </w:r>
      <w:bookmarkEnd w:id="383"/>
    </w:p>
    <w:p w14:paraId="3B2078C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DC43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4A720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E798C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A927D0">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69D06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FEBBBF">
            <w:pPr>
              <w:spacing w:before="40" w:after="40" w:line="240" w:lineRule="exact"/>
              <w:jc w:val="left"/>
              <w:rPr>
                <w:rFonts w:ascii="宋体" w:hAnsi="宋体" w:eastAsia="宋体" w:cs="宋体"/>
                <w:sz w:val="18"/>
                <w:szCs w:val="18"/>
              </w:rPr>
            </w:pPr>
            <w:r>
              <w:rPr>
                <w:rFonts w:ascii="宋体" w:hAnsi="宋体" w:eastAsia="宋体" w:cs="宋体"/>
                <w:sz w:val="18"/>
                <w:szCs w:val="18"/>
              </w:rPr>
              <w:t>一、现金</w:t>
            </w:r>
          </w:p>
        </w:tc>
        <w:tc>
          <w:tcPr>
            <w:tcW w:w="3213" w:type="dxa"/>
            <w:tcBorders>
              <w:top w:val="single" w:color="auto" w:sz="2" w:space="0"/>
              <w:left w:val="single" w:color="auto" w:sz="2" w:space="0"/>
              <w:bottom w:val="single" w:color="auto" w:sz="2" w:space="0"/>
              <w:right w:val="single" w:color="auto" w:sz="2" w:space="0"/>
            </w:tcBorders>
            <w:vAlign w:val="center"/>
          </w:tcPr>
          <w:p w14:paraId="5F7BD2B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160,602,712.50</w:t>
            </w:r>
          </w:p>
        </w:tc>
        <w:tc>
          <w:tcPr>
            <w:tcW w:w="3213" w:type="dxa"/>
            <w:tcBorders>
              <w:top w:val="single" w:color="auto" w:sz="2" w:space="0"/>
              <w:left w:val="single" w:color="auto" w:sz="2" w:space="0"/>
              <w:bottom w:val="single" w:color="auto" w:sz="2" w:space="0"/>
              <w:right w:val="single" w:color="auto" w:sz="2" w:space="0"/>
            </w:tcBorders>
            <w:vAlign w:val="center"/>
          </w:tcPr>
          <w:p w14:paraId="3FEA696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104,483,800.11</w:t>
            </w:r>
          </w:p>
        </w:tc>
      </w:tr>
      <w:tr w14:paraId="046EF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840D37">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14:paraId="507A20E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160,602,712.50</w:t>
            </w:r>
          </w:p>
        </w:tc>
        <w:tc>
          <w:tcPr>
            <w:tcW w:w="3213" w:type="dxa"/>
            <w:tcBorders>
              <w:top w:val="single" w:color="auto" w:sz="2" w:space="0"/>
              <w:left w:val="single" w:color="auto" w:sz="2" w:space="0"/>
              <w:bottom w:val="single" w:color="auto" w:sz="2" w:space="0"/>
              <w:right w:val="single" w:color="auto" w:sz="2" w:space="0"/>
            </w:tcBorders>
            <w:vAlign w:val="center"/>
          </w:tcPr>
          <w:p w14:paraId="69AE1D2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104,483,800.11</w:t>
            </w:r>
          </w:p>
        </w:tc>
      </w:tr>
      <w:tr w14:paraId="3A4D3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1D8ABD">
            <w:pPr>
              <w:spacing w:before="40" w:after="40" w:line="240" w:lineRule="exact"/>
              <w:jc w:val="left"/>
              <w:rPr>
                <w:rFonts w:ascii="宋体" w:hAnsi="宋体" w:eastAsia="宋体" w:cs="宋体"/>
                <w:sz w:val="18"/>
                <w:szCs w:val="18"/>
              </w:rPr>
            </w:pPr>
            <w:r>
              <w:rPr>
                <w:rFonts w:ascii="宋体" w:hAnsi="宋体" w:eastAsia="宋体" w:cs="宋体"/>
                <w:sz w:val="18"/>
                <w:szCs w:val="18"/>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244A0B6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160,602,712.50</w:t>
            </w:r>
          </w:p>
        </w:tc>
        <w:tc>
          <w:tcPr>
            <w:tcW w:w="3213" w:type="dxa"/>
            <w:tcBorders>
              <w:top w:val="single" w:color="auto" w:sz="2" w:space="0"/>
              <w:left w:val="single" w:color="auto" w:sz="2" w:space="0"/>
              <w:bottom w:val="single" w:color="auto" w:sz="2" w:space="0"/>
              <w:right w:val="single" w:color="auto" w:sz="2" w:space="0"/>
            </w:tcBorders>
            <w:vAlign w:val="center"/>
          </w:tcPr>
          <w:p w14:paraId="48E3AEE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104,483,800.11</w:t>
            </w:r>
          </w:p>
        </w:tc>
      </w:tr>
    </w:tbl>
    <w:p w14:paraId="74AD4E0C">
      <w:pPr>
        <w:keepNext/>
        <w:keepLines/>
        <w:spacing w:before="300" w:after="300" w:line="280" w:lineRule="exact"/>
        <w:jc w:val="left"/>
        <w:outlineLvl w:val="3"/>
        <w:rPr>
          <w:rFonts w:ascii="宋体" w:hAnsi="宋体" w:eastAsia="宋体" w:cs="宋体"/>
          <w:b/>
          <w:bCs/>
          <w:sz w:val="21"/>
          <w:szCs w:val="21"/>
        </w:rPr>
      </w:pPr>
      <w:bookmarkStart w:id="384" w:name="_Toc989194"/>
      <w:r>
        <w:rPr>
          <w:rFonts w:ascii="宋体" w:hAnsi="宋体" w:eastAsia="宋体" w:cs="宋体"/>
          <w:b/>
          <w:bCs/>
          <w:sz w:val="21"/>
          <w:szCs w:val="21"/>
        </w:rPr>
        <w:t>（</w:t>
      </w:r>
      <w:r>
        <w:rPr>
          <w:rFonts w:hint="default" w:ascii="Times New Roman" w:hAnsi="Times New Roman" w:eastAsia="宋体" w:cs="Times New Roman"/>
          <w:b/>
          <w:bCs/>
          <w:sz w:val="21"/>
          <w:szCs w:val="21"/>
        </w:rPr>
        <w:t>4</w:t>
      </w:r>
      <w:r>
        <w:rPr>
          <w:rFonts w:ascii="宋体" w:hAnsi="宋体" w:eastAsia="宋体" w:cs="宋体"/>
          <w:b/>
          <w:bCs/>
          <w:sz w:val="21"/>
          <w:szCs w:val="21"/>
        </w:rPr>
        <w:t>） 不属于现金及现金等价物的货币资金</w:t>
      </w:r>
      <w:bookmarkEnd w:id="384"/>
    </w:p>
    <w:p w14:paraId="6FAEA5D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7F2B8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72213A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1155E9E">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350A2FA">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71D2B62">
            <w:pPr>
              <w:spacing w:before="40" w:after="40" w:line="240" w:lineRule="exact"/>
              <w:jc w:val="center"/>
              <w:rPr>
                <w:rFonts w:ascii="宋体" w:hAnsi="宋体" w:eastAsia="宋体" w:cs="宋体"/>
                <w:sz w:val="18"/>
                <w:szCs w:val="18"/>
              </w:rPr>
            </w:pPr>
            <w:r>
              <w:rPr>
                <w:rFonts w:ascii="宋体" w:hAnsi="宋体" w:eastAsia="宋体" w:cs="宋体"/>
                <w:sz w:val="18"/>
                <w:szCs w:val="18"/>
              </w:rPr>
              <w:t>不属于现金及现金等价物的理由</w:t>
            </w:r>
          </w:p>
        </w:tc>
      </w:tr>
      <w:tr w14:paraId="457B7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23DE34A">
            <w:pPr>
              <w:spacing w:before="0" w:after="0" w:line="240" w:lineRule="exact"/>
              <w:jc w:val="left"/>
              <w:rPr>
                <w:rFonts w:ascii="宋体" w:hAnsi="宋体" w:eastAsia="宋体" w:cs="宋体"/>
                <w:sz w:val="18"/>
                <w:szCs w:val="18"/>
              </w:rPr>
            </w:pPr>
            <w:r>
              <w:rPr>
                <w:rFonts w:ascii="宋体" w:hAnsi="宋体" w:eastAsia="宋体" w:cs="宋体"/>
                <w:sz w:val="18"/>
                <w:szCs w:val="18"/>
              </w:rPr>
              <w:t>被冻结的银行存款</w:t>
            </w:r>
          </w:p>
        </w:tc>
        <w:tc>
          <w:tcPr>
            <w:tcW w:w="2410" w:type="dxa"/>
            <w:tcBorders>
              <w:top w:val="single" w:color="auto" w:sz="2" w:space="0"/>
              <w:left w:val="single" w:color="auto" w:sz="2" w:space="0"/>
              <w:bottom w:val="single" w:color="auto" w:sz="2" w:space="0"/>
              <w:right w:val="single" w:color="auto" w:sz="2" w:space="0"/>
            </w:tcBorders>
            <w:vAlign w:val="center"/>
          </w:tcPr>
          <w:p w14:paraId="32A9C0D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2,000.00</w:t>
            </w:r>
          </w:p>
        </w:tc>
        <w:tc>
          <w:tcPr>
            <w:tcW w:w="2410" w:type="dxa"/>
            <w:tcBorders>
              <w:top w:val="single" w:color="auto" w:sz="2" w:space="0"/>
              <w:left w:val="single" w:color="auto" w:sz="2" w:space="0"/>
              <w:bottom w:val="single" w:color="auto" w:sz="2" w:space="0"/>
              <w:right w:val="single" w:color="auto" w:sz="2" w:space="0"/>
            </w:tcBorders>
            <w:vAlign w:val="center"/>
          </w:tcPr>
          <w:p w14:paraId="33B5AA9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2,296,352.04</w:t>
            </w:r>
          </w:p>
        </w:tc>
        <w:tc>
          <w:tcPr>
            <w:tcW w:w="2410" w:type="dxa"/>
            <w:tcBorders>
              <w:top w:val="single" w:color="auto" w:sz="2" w:space="0"/>
              <w:left w:val="single" w:color="auto" w:sz="2" w:space="0"/>
              <w:bottom w:val="single" w:color="auto" w:sz="2" w:space="0"/>
              <w:right w:val="single" w:color="auto" w:sz="2" w:space="0"/>
            </w:tcBorders>
            <w:vAlign w:val="center"/>
          </w:tcPr>
          <w:p w14:paraId="733F2F91">
            <w:pPr>
              <w:spacing w:before="0" w:after="0" w:line="240" w:lineRule="exact"/>
              <w:jc w:val="left"/>
              <w:rPr>
                <w:rFonts w:ascii="宋体" w:hAnsi="宋体" w:eastAsia="宋体" w:cs="宋体"/>
                <w:sz w:val="18"/>
                <w:szCs w:val="18"/>
              </w:rPr>
            </w:pPr>
            <w:r>
              <w:rPr>
                <w:rFonts w:ascii="宋体" w:hAnsi="宋体" w:eastAsia="宋体" w:cs="宋体"/>
                <w:sz w:val="18"/>
                <w:szCs w:val="18"/>
              </w:rPr>
              <w:t>资金使用受限</w:t>
            </w:r>
          </w:p>
        </w:tc>
      </w:tr>
      <w:tr w14:paraId="4D711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92886EE">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69A5ACB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2,000.00</w:t>
            </w:r>
          </w:p>
        </w:tc>
        <w:tc>
          <w:tcPr>
            <w:tcW w:w="2410" w:type="dxa"/>
            <w:tcBorders>
              <w:top w:val="single" w:color="auto" w:sz="2" w:space="0"/>
              <w:left w:val="single" w:color="auto" w:sz="2" w:space="0"/>
              <w:bottom w:val="single" w:color="auto" w:sz="2" w:space="0"/>
              <w:right w:val="single" w:color="auto" w:sz="2" w:space="0"/>
            </w:tcBorders>
            <w:vAlign w:val="center"/>
          </w:tcPr>
          <w:p w14:paraId="03AE62B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2,296,352.04</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4C86F43"/>
        </w:tc>
      </w:tr>
    </w:tbl>
    <w:p w14:paraId="41C8C89B">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3E0852B7">
      <w:pPr>
        <w:pStyle w:val="3"/>
        <w:keepNext/>
        <w:keepLines/>
        <w:spacing w:before="300" w:after="300" w:line="280" w:lineRule="exact"/>
        <w:jc w:val="left"/>
        <w:outlineLvl w:val="2"/>
        <w:rPr>
          <w:rFonts w:ascii="宋体" w:hAnsi="宋体" w:eastAsia="宋体" w:cs="宋体"/>
          <w:b/>
          <w:bCs/>
          <w:sz w:val="21"/>
          <w:szCs w:val="21"/>
        </w:rPr>
      </w:pPr>
      <w:bookmarkStart w:id="385" w:name="_Toc989195"/>
      <w:r>
        <w:rPr>
          <w:rFonts w:hint="default" w:ascii="Times New Roman" w:hAnsi="Times New Roman" w:eastAsia="宋体" w:cs="Times New Roman"/>
          <w:b/>
          <w:bCs/>
          <w:sz w:val="21"/>
          <w:szCs w:val="21"/>
        </w:rPr>
        <w:t>54</w:t>
      </w:r>
      <w:r>
        <w:rPr>
          <w:rFonts w:ascii="宋体" w:hAnsi="宋体" w:eastAsia="宋体" w:cs="宋体"/>
          <w:b/>
          <w:bCs/>
          <w:sz w:val="21"/>
          <w:szCs w:val="21"/>
        </w:rPr>
        <w:t>、外币货币性项目</w:t>
      </w:r>
      <w:bookmarkEnd w:id="385"/>
    </w:p>
    <w:p w14:paraId="343D0695">
      <w:pPr>
        <w:keepNext/>
        <w:keepLines/>
        <w:spacing w:before="300" w:after="300" w:line="280" w:lineRule="exact"/>
        <w:jc w:val="left"/>
        <w:outlineLvl w:val="3"/>
        <w:rPr>
          <w:rFonts w:ascii="宋体" w:hAnsi="宋体" w:eastAsia="宋体" w:cs="宋体"/>
          <w:b/>
          <w:bCs/>
          <w:sz w:val="21"/>
          <w:szCs w:val="21"/>
        </w:rPr>
      </w:pPr>
      <w:bookmarkStart w:id="386" w:name="_Toc989196"/>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外币货币性项目</w:t>
      </w:r>
      <w:bookmarkEnd w:id="386"/>
    </w:p>
    <w:p w14:paraId="7BDDF8C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26E06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EE05EE2">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1A2A005">
            <w:pPr>
              <w:spacing w:before="40" w:after="40" w:line="240" w:lineRule="exact"/>
              <w:jc w:val="center"/>
              <w:rPr>
                <w:rFonts w:ascii="宋体" w:hAnsi="宋体" w:eastAsia="宋体" w:cs="宋体"/>
                <w:sz w:val="18"/>
                <w:szCs w:val="18"/>
              </w:rPr>
            </w:pPr>
            <w:r>
              <w:rPr>
                <w:rFonts w:ascii="宋体" w:hAnsi="宋体" w:eastAsia="宋体" w:cs="宋体"/>
                <w:sz w:val="18"/>
                <w:szCs w:val="18"/>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54A4D3A">
            <w:pPr>
              <w:spacing w:before="40" w:after="40" w:line="240" w:lineRule="exact"/>
              <w:jc w:val="center"/>
              <w:rPr>
                <w:rFonts w:ascii="宋体" w:hAnsi="宋体" w:eastAsia="宋体" w:cs="宋体"/>
                <w:sz w:val="18"/>
                <w:szCs w:val="18"/>
              </w:rPr>
            </w:pPr>
            <w:r>
              <w:rPr>
                <w:rFonts w:ascii="宋体" w:hAnsi="宋体" w:eastAsia="宋体" w:cs="宋体"/>
                <w:sz w:val="18"/>
                <w:szCs w:val="18"/>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33D4745">
            <w:pPr>
              <w:spacing w:before="40" w:after="40" w:line="240" w:lineRule="exact"/>
              <w:jc w:val="center"/>
              <w:rPr>
                <w:rFonts w:ascii="宋体" w:hAnsi="宋体" w:eastAsia="宋体" w:cs="宋体"/>
                <w:sz w:val="18"/>
                <w:szCs w:val="18"/>
              </w:rPr>
            </w:pPr>
            <w:r>
              <w:rPr>
                <w:rFonts w:ascii="宋体" w:hAnsi="宋体" w:eastAsia="宋体" w:cs="宋体"/>
                <w:sz w:val="18"/>
                <w:szCs w:val="18"/>
              </w:rPr>
              <w:t>期末折算人民币余额</w:t>
            </w:r>
          </w:p>
        </w:tc>
      </w:tr>
      <w:tr w14:paraId="3F68A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E3DA301">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1A87088">
            <w:pPr>
              <w:spacing w:before="0" w:after="0" w:line="240" w:lineRule="exact"/>
              <w:jc w:val="right"/>
              <w:rPr>
                <w:rFonts w:hint="default"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FD886BE">
            <w:pPr>
              <w:spacing w:before="0" w:after="0" w:line="240" w:lineRule="exact"/>
              <w:jc w:val="right"/>
              <w:rPr>
                <w:rFonts w:hint="default"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860FD9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583,658.02</w:t>
            </w:r>
          </w:p>
        </w:tc>
      </w:tr>
      <w:tr w14:paraId="2EF69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FFF1F6B">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14:paraId="55ACD82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72,791.42</w:t>
            </w:r>
          </w:p>
        </w:tc>
        <w:tc>
          <w:tcPr>
            <w:tcW w:w="2410" w:type="dxa"/>
            <w:tcBorders>
              <w:top w:val="single" w:color="auto" w:sz="2" w:space="0"/>
              <w:left w:val="single" w:color="auto" w:sz="2" w:space="0"/>
              <w:bottom w:val="single" w:color="auto" w:sz="2" w:space="0"/>
              <w:right w:val="single" w:color="auto" w:sz="2" w:space="0"/>
            </w:tcBorders>
            <w:vAlign w:val="center"/>
          </w:tcPr>
          <w:p w14:paraId="04CB5C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7.02880</w:t>
            </w:r>
          </w:p>
        </w:tc>
        <w:tc>
          <w:tcPr>
            <w:tcW w:w="2410" w:type="dxa"/>
            <w:tcBorders>
              <w:top w:val="single" w:color="auto" w:sz="2" w:space="0"/>
              <w:left w:val="single" w:color="auto" w:sz="2" w:space="0"/>
              <w:bottom w:val="single" w:color="auto" w:sz="2" w:space="0"/>
              <w:right w:val="single" w:color="auto" w:sz="2" w:space="0"/>
            </w:tcBorders>
            <w:vAlign w:val="center"/>
          </w:tcPr>
          <w:p w14:paraId="3674B2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511,636.33</w:t>
            </w:r>
          </w:p>
        </w:tc>
      </w:tr>
      <w:tr w14:paraId="54DD2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D0935C2">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14:paraId="3CC8E33E">
            <w:pPr>
              <w:spacing w:before="0" w:after="0" w:line="240" w:lineRule="exact"/>
              <w:jc w:val="right"/>
              <w:rPr>
                <w:rFonts w:hint="default"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18707DB2">
            <w:pPr>
              <w:spacing w:before="0" w:after="0" w:line="240" w:lineRule="exact"/>
              <w:jc w:val="right"/>
              <w:rPr>
                <w:rFonts w:hint="default"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0DA6CD32">
            <w:pPr>
              <w:spacing w:before="0" w:after="0" w:line="240" w:lineRule="exact"/>
              <w:jc w:val="right"/>
              <w:rPr>
                <w:rFonts w:hint="default" w:ascii="Times New Roman" w:hAnsi="Times New Roman" w:eastAsia="宋体" w:cs="Times New Roman"/>
                <w:sz w:val="18"/>
                <w:szCs w:val="18"/>
              </w:rPr>
            </w:pPr>
          </w:p>
        </w:tc>
      </w:tr>
      <w:tr w14:paraId="4EACC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1A57A5C">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14:paraId="6B8F9A1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79,738.81</w:t>
            </w:r>
          </w:p>
        </w:tc>
        <w:tc>
          <w:tcPr>
            <w:tcW w:w="2410" w:type="dxa"/>
            <w:tcBorders>
              <w:top w:val="single" w:color="auto" w:sz="2" w:space="0"/>
              <w:left w:val="single" w:color="auto" w:sz="2" w:space="0"/>
              <w:bottom w:val="single" w:color="auto" w:sz="2" w:space="0"/>
              <w:right w:val="single" w:color="auto" w:sz="2" w:space="0"/>
            </w:tcBorders>
            <w:vAlign w:val="center"/>
          </w:tcPr>
          <w:p w14:paraId="62EE8B2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0.90322</w:t>
            </w:r>
          </w:p>
        </w:tc>
        <w:tc>
          <w:tcPr>
            <w:tcW w:w="2410" w:type="dxa"/>
            <w:tcBorders>
              <w:top w:val="single" w:color="auto" w:sz="2" w:space="0"/>
              <w:left w:val="single" w:color="auto" w:sz="2" w:space="0"/>
              <w:bottom w:val="single" w:color="auto" w:sz="2" w:space="0"/>
              <w:right w:val="single" w:color="auto" w:sz="2" w:space="0"/>
            </w:tcBorders>
            <w:vAlign w:val="center"/>
          </w:tcPr>
          <w:p w14:paraId="620548E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72,021.69</w:t>
            </w:r>
          </w:p>
        </w:tc>
      </w:tr>
      <w:tr w14:paraId="31886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1910DA9">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7AA9921">
            <w:pPr>
              <w:spacing w:before="0" w:after="0" w:line="240" w:lineRule="exact"/>
              <w:jc w:val="right"/>
              <w:rPr>
                <w:rFonts w:hint="default"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C3340B5">
            <w:pPr>
              <w:spacing w:before="0" w:after="0" w:line="240" w:lineRule="exact"/>
              <w:jc w:val="right"/>
              <w:rPr>
                <w:rFonts w:hint="default"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A619C7B">
            <w:pPr>
              <w:spacing w:before="0" w:after="0" w:line="240" w:lineRule="exact"/>
              <w:jc w:val="right"/>
              <w:rPr>
                <w:rFonts w:hint="default" w:ascii="Times New Roman" w:hAnsi="Times New Roman" w:eastAsia="宋体" w:cs="Times New Roman"/>
                <w:sz w:val="18"/>
                <w:szCs w:val="18"/>
              </w:rPr>
            </w:pPr>
          </w:p>
        </w:tc>
      </w:tr>
      <w:tr w14:paraId="1736F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4E6F2CA">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AE131D5">
            <w:pPr>
              <w:spacing w:before="0" w:after="0" w:line="240" w:lineRule="exact"/>
              <w:jc w:val="right"/>
              <w:rPr>
                <w:rFonts w:hint="default"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F15F61F">
            <w:pPr>
              <w:spacing w:before="0" w:after="0" w:line="240" w:lineRule="exact"/>
              <w:jc w:val="right"/>
              <w:rPr>
                <w:rFonts w:hint="default"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B89F760">
            <w:pPr>
              <w:spacing w:before="0" w:after="0" w:line="240" w:lineRule="exact"/>
              <w:jc w:val="right"/>
              <w:rPr>
                <w:rFonts w:hint="default" w:ascii="Times New Roman" w:hAnsi="Times New Roman" w:eastAsia="宋体" w:cs="Times New Roman"/>
                <w:sz w:val="18"/>
                <w:szCs w:val="18"/>
              </w:rPr>
            </w:pPr>
          </w:p>
        </w:tc>
      </w:tr>
      <w:tr w14:paraId="19AA5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7769BAF">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14:paraId="60C4F019">
            <w:pPr>
              <w:spacing w:before="0" w:after="0" w:line="240" w:lineRule="exact"/>
              <w:jc w:val="right"/>
              <w:rPr>
                <w:rFonts w:hint="default"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391813F">
            <w:pPr>
              <w:spacing w:before="0" w:after="0" w:line="240" w:lineRule="exact"/>
              <w:jc w:val="right"/>
              <w:rPr>
                <w:rFonts w:hint="default"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5E7E1BE">
            <w:pPr>
              <w:spacing w:before="0" w:after="0" w:line="240" w:lineRule="exact"/>
              <w:jc w:val="right"/>
              <w:rPr>
                <w:rFonts w:hint="default" w:ascii="Times New Roman" w:hAnsi="Times New Roman" w:eastAsia="宋体" w:cs="Times New Roman"/>
                <w:sz w:val="18"/>
                <w:szCs w:val="18"/>
              </w:rPr>
            </w:pPr>
          </w:p>
        </w:tc>
      </w:tr>
      <w:tr w14:paraId="4D0B5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703A9AE">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14:paraId="5AA9C964">
            <w:pPr>
              <w:spacing w:before="0" w:after="0" w:line="240" w:lineRule="exact"/>
              <w:jc w:val="right"/>
              <w:rPr>
                <w:rFonts w:hint="default"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1143C3CC">
            <w:pPr>
              <w:spacing w:before="0" w:after="0" w:line="240" w:lineRule="exact"/>
              <w:jc w:val="right"/>
              <w:rPr>
                <w:rFonts w:hint="default"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E2483AC">
            <w:pPr>
              <w:spacing w:before="0" w:after="0" w:line="240" w:lineRule="exact"/>
              <w:jc w:val="right"/>
              <w:rPr>
                <w:rFonts w:hint="default" w:ascii="Times New Roman" w:hAnsi="Times New Roman" w:eastAsia="宋体" w:cs="Times New Roman"/>
                <w:sz w:val="18"/>
                <w:szCs w:val="18"/>
              </w:rPr>
            </w:pPr>
          </w:p>
        </w:tc>
      </w:tr>
      <w:tr w14:paraId="12619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9FB01CE">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14:paraId="3CDBAAAA">
            <w:pPr>
              <w:spacing w:before="0" w:after="0" w:line="240" w:lineRule="exact"/>
              <w:jc w:val="right"/>
              <w:rPr>
                <w:rFonts w:hint="default"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F34CE73">
            <w:pPr>
              <w:spacing w:before="0" w:after="0" w:line="240" w:lineRule="exact"/>
              <w:jc w:val="right"/>
              <w:rPr>
                <w:rFonts w:hint="default"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384190A">
            <w:pPr>
              <w:spacing w:before="0" w:after="0" w:line="240" w:lineRule="exact"/>
              <w:jc w:val="right"/>
              <w:rPr>
                <w:rFonts w:hint="default" w:ascii="Times New Roman" w:hAnsi="Times New Roman" w:eastAsia="宋体" w:cs="Times New Roman"/>
                <w:sz w:val="18"/>
                <w:szCs w:val="18"/>
              </w:rPr>
            </w:pPr>
          </w:p>
        </w:tc>
      </w:tr>
      <w:tr w14:paraId="151FC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A1797E7">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1025B9AC">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0DF9B54B">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27B49A3">
            <w:pPr>
              <w:spacing w:before="0" w:after="0" w:line="240" w:lineRule="exact"/>
              <w:jc w:val="right"/>
              <w:rPr>
                <w:rFonts w:ascii="宋体" w:hAnsi="宋体" w:eastAsia="宋体" w:cs="宋体"/>
                <w:sz w:val="18"/>
                <w:szCs w:val="18"/>
              </w:rPr>
            </w:pPr>
          </w:p>
        </w:tc>
      </w:tr>
      <w:tr w14:paraId="50C88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00AB182">
            <w:pPr>
              <w:spacing w:before="40" w:after="40" w:line="240" w:lineRule="exact"/>
              <w:jc w:val="left"/>
              <w:rPr>
                <w:rFonts w:ascii="宋体" w:hAnsi="宋体" w:eastAsia="宋体" w:cs="宋体"/>
                <w:sz w:val="18"/>
                <w:szCs w:val="18"/>
              </w:rPr>
            </w:pPr>
            <w:r>
              <w:rPr>
                <w:rFonts w:ascii="宋体" w:hAnsi="宋体" w:eastAsia="宋体" w:cs="宋体"/>
                <w:sz w:val="18"/>
                <w:szCs w:val="18"/>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64453D5"/>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22B7EDF"/>
        </w:tc>
        <w:tc>
          <w:tcPr>
            <w:tcW w:w="2410" w:type="dxa"/>
            <w:tcBorders>
              <w:top w:val="single" w:color="auto" w:sz="2" w:space="0"/>
              <w:left w:val="single" w:color="auto" w:sz="2" w:space="0"/>
              <w:bottom w:val="single" w:color="auto" w:sz="2" w:space="0"/>
              <w:right w:val="single" w:color="auto" w:sz="2" w:space="0"/>
            </w:tcBorders>
            <w:vAlign w:val="center"/>
          </w:tcPr>
          <w:p w14:paraId="00A6CECB">
            <w:pPr>
              <w:spacing w:before="0" w:after="0" w:line="240" w:lineRule="exact"/>
              <w:jc w:val="right"/>
              <w:rPr>
                <w:rFonts w:ascii="宋体" w:hAnsi="宋体" w:eastAsia="宋体" w:cs="宋体"/>
                <w:sz w:val="18"/>
                <w:szCs w:val="18"/>
              </w:rPr>
            </w:pPr>
          </w:p>
        </w:tc>
      </w:tr>
      <w:tr w14:paraId="3C597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762537A">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14:paraId="7537B7AE">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F8DA27F">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1EB85BEE">
            <w:pPr>
              <w:spacing w:before="0" w:after="0" w:line="240" w:lineRule="exact"/>
              <w:jc w:val="right"/>
              <w:rPr>
                <w:rFonts w:ascii="宋体" w:hAnsi="宋体" w:eastAsia="宋体" w:cs="宋体"/>
                <w:sz w:val="18"/>
                <w:szCs w:val="18"/>
              </w:rPr>
            </w:pPr>
          </w:p>
        </w:tc>
      </w:tr>
      <w:tr w14:paraId="5ABED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EFCB650">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14:paraId="2FBCEE07">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0FC927A6">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4B6E23A">
            <w:pPr>
              <w:spacing w:before="0" w:after="0" w:line="240" w:lineRule="exact"/>
              <w:jc w:val="right"/>
              <w:rPr>
                <w:rFonts w:ascii="宋体" w:hAnsi="宋体" w:eastAsia="宋体" w:cs="宋体"/>
                <w:sz w:val="18"/>
                <w:szCs w:val="18"/>
              </w:rPr>
            </w:pPr>
          </w:p>
        </w:tc>
      </w:tr>
      <w:tr w14:paraId="2C432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1706EAA">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14:paraId="71FA6589">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DFA60F0">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B7AFC9E">
            <w:pPr>
              <w:spacing w:before="0" w:after="0" w:line="240" w:lineRule="exact"/>
              <w:jc w:val="right"/>
              <w:rPr>
                <w:rFonts w:ascii="宋体" w:hAnsi="宋体" w:eastAsia="宋体" w:cs="宋体"/>
                <w:sz w:val="18"/>
                <w:szCs w:val="18"/>
              </w:rPr>
            </w:pPr>
          </w:p>
        </w:tc>
      </w:tr>
      <w:tr w14:paraId="71B36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6D8E7E1">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19E2969">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186766A3">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0E59FCB6">
            <w:pPr>
              <w:spacing w:before="0" w:after="0" w:line="240" w:lineRule="exact"/>
              <w:jc w:val="right"/>
              <w:rPr>
                <w:rFonts w:ascii="宋体" w:hAnsi="宋体" w:eastAsia="宋体" w:cs="宋体"/>
                <w:sz w:val="18"/>
                <w:szCs w:val="18"/>
              </w:rPr>
            </w:pPr>
          </w:p>
        </w:tc>
      </w:tr>
    </w:tbl>
    <w:p w14:paraId="3B356DD5">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28C86B66">
      <w:pPr>
        <w:keepNext/>
        <w:keepLines/>
        <w:spacing w:before="300" w:after="300" w:line="280" w:lineRule="exact"/>
        <w:jc w:val="left"/>
        <w:outlineLvl w:val="3"/>
        <w:rPr>
          <w:rFonts w:ascii="宋体" w:hAnsi="宋体" w:eastAsia="宋体" w:cs="宋体"/>
          <w:b/>
          <w:bCs/>
          <w:sz w:val="21"/>
          <w:szCs w:val="21"/>
        </w:rPr>
      </w:pPr>
      <w:bookmarkStart w:id="387" w:name="_Toc989197"/>
      <w:r>
        <w:rPr>
          <w:rFonts w:ascii="宋体" w:hAnsi="宋体" w:eastAsia="宋体" w:cs="宋体"/>
          <w:b/>
          <w:bCs/>
          <w:sz w:val="21"/>
          <w:szCs w:val="21"/>
        </w:rPr>
        <w:t>（</w:t>
      </w:r>
      <w:r>
        <w:rPr>
          <w:rFonts w:hint="default" w:ascii="Times New Roman" w:hAnsi="Times New Roman" w:eastAsia="宋体" w:cs="Times New Roman"/>
          <w:b/>
          <w:bCs/>
          <w:sz w:val="21"/>
          <w:szCs w:val="21"/>
        </w:rPr>
        <w:t>2</w:t>
      </w:r>
      <w:r>
        <w:rPr>
          <w:rFonts w:ascii="宋体" w:hAnsi="宋体" w:eastAsia="宋体" w:cs="宋体"/>
          <w:b/>
          <w:bCs/>
          <w:sz w:val="21"/>
          <w:szCs w:val="21"/>
        </w:rPr>
        <w:t>） 境外经营实体说明，包括对于重要的境外经营实体，应披露其境外主要经营地、记账本位币及选择依据，记账本位币发生变化的还应披露原因。</w:t>
      </w:r>
      <w:bookmarkEnd w:id="387"/>
    </w:p>
    <w:p w14:paraId="0BF3D6F1">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7"/>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65"/>
        <w:gridCol w:w="2216"/>
        <w:gridCol w:w="2236"/>
        <w:gridCol w:w="2236"/>
      </w:tblGrid>
      <w:tr w14:paraId="4F77E7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2801"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C337F68">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重要境外经营实体</w:t>
            </w:r>
          </w:p>
        </w:tc>
        <w:tc>
          <w:tcPr>
            <w:tcW w:w="1961"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907A1F8">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境外主要经营地</w:t>
            </w:r>
          </w:p>
        </w:tc>
        <w:tc>
          <w:tcPr>
            <w:tcW w:w="197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2A0873">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记账本位币</w:t>
            </w:r>
          </w:p>
        </w:tc>
        <w:tc>
          <w:tcPr>
            <w:tcW w:w="197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FDBB15">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选择依据</w:t>
            </w:r>
          </w:p>
        </w:tc>
      </w:tr>
      <w:tr w14:paraId="73CF9D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28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76C90D">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冠昊生物科技（香港）有限公司</w:t>
            </w:r>
          </w:p>
        </w:tc>
        <w:tc>
          <w:tcPr>
            <w:tcW w:w="19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D1C69F">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香港</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445052">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港币</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F7427B">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经营实体在香港</w:t>
            </w:r>
          </w:p>
        </w:tc>
      </w:tr>
      <w:tr w14:paraId="641397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28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D7A0BE">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耀昌国际贸易有限公司</w:t>
            </w:r>
          </w:p>
        </w:tc>
        <w:tc>
          <w:tcPr>
            <w:tcW w:w="19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BF7B61">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香港</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C06D79">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港币</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2B89D5">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经营实体在香港</w:t>
            </w:r>
          </w:p>
        </w:tc>
      </w:tr>
      <w:tr w14:paraId="5F1295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28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DB0ED7">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祥乐医药（香港）有限公司</w:t>
            </w:r>
          </w:p>
        </w:tc>
        <w:tc>
          <w:tcPr>
            <w:tcW w:w="19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41988A">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香港</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37C859">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港币</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DB4F6A">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经营实体在香港</w:t>
            </w:r>
          </w:p>
        </w:tc>
      </w:tr>
    </w:tbl>
    <w:p w14:paraId="2E396207">
      <w:pPr>
        <w:pStyle w:val="3"/>
        <w:keepNext/>
        <w:keepLines/>
        <w:spacing w:before="300" w:after="300" w:line="280" w:lineRule="exact"/>
        <w:jc w:val="left"/>
        <w:outlineLvl w:val="2"/>
        <w:rPr>
          <w:rFonts w:ascii="宋体" w:hAnsi="宋体" w:eastAsia="宋体" w:cs="宋体"/>
          <w:b/>
          <w:bCs/>
          <w:sz w:val="21"/>
          <w:szCs w:val="21"/>
        </w:rPr>
      </w:pPr>
      <w:bookmarkStart w:id="388" w:name="_Toc989198"/>
      <w:r>
        <w:rPr>
          <w:rFonts w:hint="default" w:ascii="Times New Roman" w:hAnsi="Times New Roman" w:eastAsia="宋体" w:cs="Times New Roman"/>
          <w:b/>
          <w:bCs/>
          <w:sz w:val="21"/>
          <w:szCs w:val="21"/>
        </w:rPr>
        <w:t>55</w:t>
      </w:r>
      <w:r>
        <w:rPr>
          <w:rFonts w:ascii="宋体" w:hAnsi="宋体" w:eastAsia="宋体" w:cs="宋体"/>
          <w:b/>
          <w:bCs/>
          <w:sz w:val="21"/>
          <w:szCs w:val="21"/>
        </w:rPr>
        <w:t>、租赁</w:t>
      </w:r>
      <w:bookmarkEnd w:id="388"/>
    </w:p>
    <w:p w14:paraId="48AA47DD">
      <w:pPr>
        <w:pStyle w:val="6"/>
        <w:keepNext w:val="0"/>
        <w:keepLines w:val="0"/>
        <w:widowControl/>
        <w:suppressLineNumbers w:val="0"/>
        <w:spacing w:before="0" w:beforeAutospacing="1" w:after="157" w:afterAutospacing="0"/>
        <w:ind w:left="0" w:right="0" w:firstLine="420"/>
      </w:pPr>
      <w:r>
        <w:rPr>
          <w:rFonts w:hint="default" w:ascii="Times New Roman" w:hAnsi="Times New Roman" w:eastAsia="宋体" w:cs="Times New Roman"/>
          <w:sz w:val="21"/>
          <w:szCs w:val="21"/>
        </w:rPr>
        <w:t>1</w:t>
      </w:r>
      <w:r>
        <w:rPr>
          <w:rFonts w:hint="eastAsia" w:ascii="宋体" w:hAnsi="宋体" w:eastAsia="宋体" w:cs="宋体"/>
          <w:sz w:val="21"/>
          <w:szCs w:val="21"/>
        </w:rPr>
        <w:t>.作为承租人</w:t>
      </w:r>
    </w:p>
    <w:tbl>
      <w:tblPr>
        <w:tblStyle w:val="7"/>
        <w:tblW w:w="85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71"/>
        <w:gridCol w:w="2663"/>
      </w:tblGrid>
      <w:tr w14:paraId="036A38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587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46E6177">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项目</w:t>
            </w:r>
          </w:p>
        </w:tc>
        <w:tc>
          <w:tcPr>
            <w:tcW w:w="26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14:paraId="5DFFF19B">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金额</w:t>
            </w:r>
          </w:p>
        </w:tc>
      </w:tr>
      <w:tr w14:paraId="49008D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58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2EC1A8">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计入相关资产成本或当期损益的未纳入租赁负债计量的可变租赁付款额</w:t>
            </w:r>
          </w:p>
        </w:tc>
        <w:tc>
          <w:tcPr>
            <w:tcW w:w="26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D6DFA5">
            <w:pPr>
              <w:spacing w:before="0" w:after="0" w:line="240" w:lineRule="exact"/>
              <w:jc w:val="right"/>
              <w:rPr>
                <w:rFonts w:hint="default" w:ascii="Times New Roman" w:hAnsi="Times New Roman" w:eastAsia="宋体" w:cs="Times New Roman"/>
                <w:sz w:val="18"/>
                <w:szCs w:val="18"/>
              </w:rPr>
            </w:pPr>
            <w:r>
              <w:rPr>
                <w:rFonts w:hint="eastAsia" w:ascii="Times New Roman" w:hAnsi="Times New Roman" w:eastAsia="宋体" w:cs="Times New Roman"/>
                <w:sz w:val="18"/>
                <w:szCs w:val="18"/>
              </w:rPr>
              <w:t> </w:t>
            </w:r>
          </w:p>
        </w:tc>
      </w:tr>
      <w:tr w14:paraId="36E66A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58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97B93A">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计入当期损益的简化处理的短期租赁费用</w:t>
            </w:r>
          </w:p>
        </w:tc>
        <w:tc>
          <w:tcPr>
            <w:tcW w:w="26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DE595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7,610,044.15</w:t>
            </w:r>
          </w:p>
        </w:tc>
      </w:tr>
      <w:tr w14:paraId="4E0A7A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8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10F21A">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计入相关资产成本或当期损益的简化处理的低价值资产租赁费用（低价值资产的短期租赁费用除外）</w:t>
            </w:r>
          </w:p>
        </w:tc>
        <w:tc>
          <w:tcPr>
            <w:tcW w:w="26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77341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r>
      <w:tr w14:paraId="117A28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58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213898">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与租赁相关的总现金流出</w:t>
            </w:r>
          </w:p>
        </w:tc>
        <w:tc>
          <w:tcPr>
            <w:tcW w:w="26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C820F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4,739,893.08</w:t>
            </w:r>
          </w:p>
        </w:tc>
      </w:tr>
    </w:tbl>
    <w:p w14:paraId="4AD6D720">
      <w:pPr>
        <w:pStyle w:val="6"/>
        <w:keepNext w:val="0"/>
        <w:keepLines w:val="0"/>
        <w:widowControl/>
        <w:suppressLineNumbers w:val="0"/>
        <w:spacing w:before="0" w:beforeAutospacing="1" w:after="0" w:afterAutospacing="1"/>
        <w:ind w:left="0" w:right="0" w:firstLine="420"/>
      </w:pPr>
      <w:r>
        <w:rPr>
          <w:rFonts w:hint="default" w:ascii="Times New Roman" w:hAnsi="Times New Roman" w:eastAsia="宋体" w:cs="Times New Roman"/>
          <w:sz w:val="21"/>
          <w:szCs w:val="21"/>
        </w:rPr>
        <w:t>2</w:t>
      </w:r>
      <w:r>
        <w:rPr>
          <w:rFonts w:hint="eastAsia" w:ascii="宋体" w:hAnsi="宋体" w:eastAsia="宋体" w:cs="宋体"/>
          <w:sz w:val="21"/>
          <w:szCs w:val="21"/>
        </w:rPr>
        <w:t>.作为出租人</w:t>
      </w:r>
    </w:p>
    <w:p w14:paraId="0081ED57">
      <w:pPr>
        <w:pStyle w:val="6"/>
        <w:keepNext w:val="0"/>
        <w:keepLines w:val="0"/>
        <w:widowControl/>
        <w:suppressLineNumbers w:val="0"/>
        <w:spacing w:before="0" w:beforeAutospacing="1" w:after="0" w:afterAutospacing="1"/>
        <w:ind w:left="420" w:right="0"/>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）经营租赁</w:t>
      </w:r>
    </w:p>
    <w:tbl>
      <w:tblPr>
        <w:tblStyle w:val="7"/>
        <w:tblW w:w="4994"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276"/>
        <w:gridCol w:w="2932"/>
        <w:gridCol w:w="3633"/>
      </w:tblGrid>
      <w:tr w14:paraId="737A86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c>
          <w:tcPr>
            <w:tcW w:w="166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35241A">
            <w:pPr>
              <w:pStyle w:val="6"/>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18"/>
                <w:szCs w:val="18"/>
              </w:rPr>
              <w:t>项目</w:t>
            </w:r>
          </w:p>
        </w:tc>
        <w:tc>
          <w:tcPr>
            <w:tcW w:w="148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EBAF3B">
            <w:pPr>
              <w:pStyle w:val="6"/>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18"/>
                <w:szCs w:val="18"/>
              </w:rPr>
              <w:t>租赁收入</w:t>
            </w:r>
          </w:p>
        </w:tc>
        <w:tc>
          <w:tcPr>
            <w:tcW w:w="184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9AC9E2">
            <w:pPr>
              <w:pStyle w:val="6"/>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18"/>
                <w:szCs w:val="18"/>
              </w:rPr>
              <w:t>其中:未计入租赁收款额的可变租赁</w:t>
            </w:r>
          </w:p>
          <w:p w14:paraId="2F4AAEDA">
            <w:pPr>
              <w:pStyle w:val="6"/>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18"/>
                <w:szCs w:val="18"/>
              </w:rPr>
              <w:t>付款额相关的收入</w:t>
            </w:r>
          </w:p>
        </w:tc>
      </w:tr>
      <w:tr w14:paraId="5325F5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66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EFB982">
            <w:pPr>
              <w:pStyle w:val="6"/>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8"/>
                <w:szCs w:val="18"/>
                <w:shd w:val="clear" w:fill="FFFFFF"/>
              </w:rPr>
              <w:t>自有房产出租</w:t>
            </w:r>
          </w:p>
        </w:tc>
        <w:tc>
          <w:tcPr>
            <w:tcW w:w="2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F4AA6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2,428,902.17 </w:t>
            </w:r>
          </w:p>
        </w:tc>
        <w:tc>
          <w:tcPr>
            <w:tcW w:w="184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3FFEEA">
            <w:pPr>
              <w:pStyle w:val="6"/>
              <w:keepNext w:val="0"/>
              <w:keepLines w:val="0"/>
              <w:widowControl/>
              <w:suppressLineNumbers w:val="0"/>
              <w:spacing w:before="0" w:beforeAutospacing="0" w:after="0" w:afterAutospacing="0"/>
              <w:ind w:left="0" w:right="0"/>
              <w:jc w:val="right"/>
              <w:textAlignment w:val="bottom"/>
              <w:rPr>
                <w:rFonts w:hint="default" w:ascii="Times New Roman" w:hAnsi="Times New Roman" w:cs="Times New Roman"/>
                <w:sz w:val="21"/>
                <w:szCs w:val="21"/>
              </w:rPr>
            </w:pPr>
          </w:p>
        </w:tc>
      </w:tr>
      <w:tr w14:paraId="59EE18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6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BDB28E">
            <w:pPr>
              <w:pStyle w:val="6"/>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8"/>
                <w:szCs w:val="18"/>
                <w:shd w:val="clear" w:fill="FFFFFF"/>
              </w:rPr>
              <w:t>租赁房产转租</w:t>
            </w:r>
          </w:p>
        </w:tc>
        <w:tc>
          <w:tcPr>
            <w:tcW w:w="2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41FC8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6,581,142.30 </w:t>
            </w:r>
          </w:p>
        </w:tc>
        <w:tc>
          <w:tcPr>
            <w:tcW w:w="184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1D7B6E">
            <w:pPr>
              <w:pStyle w:val="6"/>
              <w:keepNext w:val="0"/>
              <w:keepLines w:val="0"/>
              <w:widowControl/>
              <w:suppressLineNumbers w:val="0"/>
              <w:spacing w:before="0" w:beforeAutospacing="0" w:after="0" w:afterAutospacing="0"/>
              <w:ind w:left="0" w:right="0"/>
              <w:jc w:val="right"/>
              <w:textAlignment w:val="bottom"/>
              <w:rPr>
                <w:rFonts w:hint="default" w:ascii="Times New Roman" w:hAnsi="Times New Roman" w:cs="Times New Roman"/>
                <w:sz w:val="21"/>
                <w:szCs w:val="21"/>
              </w:rPr>
            </w:pPr>
          </w:p>
        </w:tc>
      </w:tr>
      <w:tr w14:paraId="72E068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6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E9D16D">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合计</w:t>
            </w:r>
          </w:p>
        </w:tc>
        <w:tc>
          <w:tcPr>
            <w:tcW w:w="2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2D1CD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9,010,044.47 </w:t>
            </w:r>
          </w:p>
        </w:tc>
        <w:tc>
          <w:tcPr>
            <w:tcW w:w="3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0BC342">
            <w:pPr>
              <w:pStyle w:val="6"/>
              <w:keepNext w:val="0"/>
              <w:keepLines w:val="0"/>
              <w:widowControl/>
              <w:suppressLineNumbers w:val="0"/>
              <w:spacing w:before="0" w:beforeAutospacing="0" w:after="0" w:afterAutospacing="0"/>
              <w:ind w:left="0" w:right="0"/>
              <w:jc w:val="right"/>
              <w:textAlignment w:val="bottom"/>
              <w:rPr>
                <w:rFonts w:hint="default" w:ascii="Times New Roman" w:hAnsi="Times New Roman" w:cs="Times New Roman"/>
                <w:sz w:val="21"/>
                <w:szCs w:val="21"/>
              </w:rPr>
            </w:pPr>
          </w:p>
        </w:tc>
      </w:tr>
    </w:tbl>
    <w:p w14:paraId="2929A3B3">
      <w:pPr>
        <w:pStyle w:val="2"/>
        <w:keepNext/>
        <w:keepLines/>
        <w:spacing w:before="300" w:after="300" w:line="320" w:lineRule="exact"/>
        <w:jc w:val="left"/>
        <w:outlineLvl w:val="1"/>
        <w:rPr>
          <w:rFonts w:ascii="宋体" w:hAnsi="宋体" w:eastAsia="宋体" w:cs="宋体"/>
          <w:b/>
          <w:bCs/>
          <w:sz w:val="24"/>
          <w:szCs w:val="24"/>
        </w:rPr>
      </w:pPr>
      <w:bookmarkStart w:id="389" w:name="_Toc989199"/>
      <w:bookmarkStart w:id="390" w:name="_Toc9721"/>
      <w:r>
        <w:rPr>
          <w:rFonts w:ascii="宋体" w:hAnsi="宋体" w:eastAsia="宋体" w:cs="宋体"/>
          <w:b/>
          <w:bCs/>
          <w:sz w:val="24"/>
          <w:szCs w:val="24"/>
        </w:rPr>
        <w:t>八、研发支出</w:t>
      </w:r>
      <w:bookmarkEnd w:id="389"/>
      <w:bookmarkEnd w:id="390"/>
    </w:p>
    <w:p w14:paraId="6EBF7B5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865D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9F186A">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58BB62">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2AE134">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62554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5C35696">
            <w:pPr>
              <w:spacing w:before="0" w:after="0" w:line="240" w:lineRule="exact"/>
              <w:jc w:val="left"/>
              <w:rPr>
                <w:rFonts w:ascii="宋体" w:hAnsi="宋体" w:eastAsia="宋体" w:cs="宋体"/>
                <w:sz w:val="18"/>
                <w:szCs w:val="18"/>
              </w:rPr>
            </w:pPr>
            <w:r>
              <w:rPr>
                <w:rFonts w:ascii="宋体" w:hAnsi="宋体" w:eastAsia="宋体" w:cs="宋体"/>
                <w:sz w:val="18"/>
                <w:szCs w:val="18"/>
              </w:rPr>
              <w:t>工资及福利</w:t>
            </w:r>
          </w:p>
        </w:tc>
        <w:tc>
          <w:tcPr>
            <w:tcW w:w="3213" w:type="dxa"/>
            <w:tcBorders>
              <w:top w:val="single" w:color="auto" w:sz="2" w:space="0"/>
              <w:left w:val="single" w:color="auto" w:sz="2" w:space="0"/>
              <w:bottom w:val="single" w:color="auto" w:sz="2" w:space="0"/>
              <w:right w:val="single" w:color="auto" w:sz="2" w:space="0"/>
            </w:tcBorders>
            <w:vAlign w:val="center"/>
          </w:tcPr>
          <w:p w14:paraId="2E45D38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18,171,644.15</w:t>
            </w:r>
          </w:p>
        </w:tc>
        <w:tc>
          <w:tcPr>
            <w:tcW w:w="3213" w:type="dxa"/>
            <w:tcBorders>
              <w:top w:val="single" w:color="auto" w:sz="2" w:space="0"/>
              <w:left w:val="single" w:color="auto" w:sz="2" w:space="0"/>
              <w:bottom w:val="single" w:color="auto" w:sz="2" w:space="0"/>
              <w:right w:val="single" w:color="auto" w:sz="2" w:space="0"/>
            </w:tcBorders>
            <w:vAlign w:val="center"/>
          </w:tcPr>
          <w:p w14:paraId="3A79447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15,787,352.01</w:t>
            </w:r>
          </w:p>
        </w:tc>
      </w:tr>
      <w:tr w14:paraId="2FF40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49ECA25">
            <w:pPr>
              <w:spacing w:before="0" w:after="0" w:line="240" w:lineRule="exact"/>
              <w:jc w:val="left"/>
              <w:rPr>
                <w:rFonts w:ascii="宋体" w:hAnsi="宋体" w:eastAsia="宋体" w:cs="宋体"/>
                <w:sz w:val="18"/>
                <w:szCs w:val="18"/>
              </w:rPr>
            </w:pPr>
            <w:r>
              <w:rPr>
                <w:rFonts w:ascii="宋体" w:hAnsi="宋体" w:eastAsia="宋体" w:cs="宋体"/>
                <w:sz w:val="18"/>
                <w:szCs w:val="18"/>
              </w:rPr>
              <w:t>折旧与摊销</w:t>
            </w:r>
          </w:p>
        </w:tc>
        <w:tc>
          <w:tcPr>
            <w:tcW w:w="3213" w:type="dxa"/>
            <w:tcBorders>
              <w:top w:val="single" w:color="auto" w:sz="2" w:space="0"/>
              <w:left w:val="single" w:color="auto" w:sz="2" w:space="0"/>
              <w:bottom w:val="single" w:color="auto" w:sz="2" w:space="0"/>
              <w:right w:val="single" w:color="auto" w:sz="2" w:space="0"/>
            </w:tcBorders>
            <w:vAlign w:val="center"/>
          </w:tcPr>
          <w:p w14:paraId="0CA4C29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3,233,775.29</w:t>
            </w:r>
          </w:p>
        </w:tc>
        <w:tc>
          <w:tcPr>
            <w:tcW w:w="3213" w:type="dxa"/>
            <w:tcBorders>
              <w:top w:val="single" w:color="auto" w:sz="2" w:space="0"/>
              <w:left w:val="single" w:color="auto" w:sz="2" w:space="0"/>
              <w:bottom w:val="single" w:color="auto" w:sz="2" w:space="0"/>
              <w:right w:val="single" w:color="auto" w:sz="2" w:space="0"/>
            </w:tcBorders>
            <w:vAlign w:val="center"/>
          </w:tcPr>
          <w:p w14:paraId="0061F4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4,485,707.42</w:t>
            </w:r>
          </w:p>
        </w:tc>
      </w:tr>
      <w:tr w14:paraId="610AD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914AEAF">
            <w:pPr>
              <w:spacing w:before="0" w:after="0" w:line="240" w:lineRule="exact"/>
              <w:jc w:val="left"/>
              <w:rPr>
                <w:rFonts w:ascii="宋体" w:hAnsi="宋体" w:eastAsia="宋体" w:cs="宋体"/>
                <w:sz w:val="18"/>
                <w:szCs w:val="18"/>
              </w:rPr>
            </w:pPr>
            <w:r>
              <w:rPr>
                <w:rFonts w:ascii="宋体" w:hAnsi="宋体" w:eastAsia="宋体" w:cs="宋体"/>
                <w:sz w:val="18"/>
                <w:szCs w:val="18"/>
              </w:rPr>
              <w:t>材料及动力费</w:t>
            </w:r>
          </w:p>
        </w:tc>
        <w:tc>
          <w:tcPr>
            <w:tcW w:w="3213" w:type="dxa"/>
            <w:tcBorders>
              <w:top w:val="single" w:color="auto" w:sz="2" w:space="0"/>
              <w:left w:val="single" w:color="auto" w:sz="2" w:space="0"/>
              <w:bottom w:val="single" w:color="auto" w:sz="2" w:space="0"/>
              <w:right w:val="single" w:color="auto" w:sz="2" w:space="0"/>
            </w:tcBorders>
            <w:vAlign w:val="center"/>
          </w:tcPr>
          <w:p w14:paraId="0191227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8,732,951.73</w:t>
            </w:r>
          </w:p>
        </w:tc>
        <w:tc>
          <w:tcPr>
            <w:tcW w:w="3213" w:type="dxa"/>
            <w:tcBorders>
              <w:top w:val="single" w:color="auto" w:sz="2" w:space="0"/>
              <w:left w:val="single" w:color="auto" w:sz="2" w:space="0"/>
              <w:bottom w:val="single" w:color="auto" w:sz="2" w:space="0"/>
              <w:right w:val="single" w:color="auto" w:sz="2" w:space="0"/>
            </w:tcBorders>
            <w:vAlign w:val="center"/>
          </w:tcPr>
          <w:p w14:paraId="3298092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6,132,801.59</w:t>
            </w:r>
          </w:p>
        </w:tc>
      </w:tr>
      <w:tr w14:paraId="3CD04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EB9117F">
            <w:pPr>
              <w:spacing w:before="0" w:after="0" w:line="240" w:lineRule="exact"/>
              <w:jc w:val="left"/>
              <w:rPr>
                <w:rFonts w:ascii="宋体" w:hAnsi="宋体" w:eastAsia="宋体" w:cs="宋体"/>
                <w:sz w:val="18"/>
                <w:szCs w:val="18"/>
              </w:rPr>
            </w:pPr>
            <w:r>
              <w:rPr>
                <w:rFonts w:ascii="宋体" w:hAnsi="宋体"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14:paraId="4187822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672,427.54</w:t>
            </w:r>
          </w:p>
        </w:tc>
        <w:tc>
          <w:tcPr>
            <w:tcW w:w="3213" w:type="dxa"/>
            <w:tcBorders>
              <w:top w:val="single" w:color="auto" w:sz="2" w:space="0"/>
              <w:left w:val="single" w:color="auto" w:sz="2" w:space="0"/>
              <w:bottom w:val="single" w:color="auto" w:sz="2" w:space="0"/>
              <w:right w:val="single" w:color="auto" w:sz="2" w:space="0"/>
            </w:tcBorders>
            <w:vAlign w:val="center"/>
          </w:tcPr>
          <w:p w14:paraId="5A9DE54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847,724.50</w:t>
            </w:r>
          </w:p>
        </w:tc>
      </w:tr>
      <w:tr w14:paraId="7E969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543BB8C">
            <w:pPr>
              <w:spacing w:before="0" w:after="0" w:line="240" w:lineRule="exact"/>
              <w:jc w:val="left"/>
              <w:rPr>
                <w:rFonts w:ascii="宋体" w:hAnsi="宋体" w:eastAsia="宋体" w:cs="宋体"/>
                <w:sz w:val="18"/>
                <w:szCs w:val="18"/>
              </w:rPr>
            </w:pPr>
            <w:r>
              <w:rPr>
                <w:rFonts w:ascii="宋体" w:hAnsi="宋体" w:eastAsia="宋体" w:cs="宋体"/>
                <w:sz w:val="18"/>
                <w:szCs w:val="18"/>
              </w:rPr>
              <w:t>专家咨询费</w:t>
            </w:r>
          </w:p>
        </w:tc>
        <w:tc>
          <w:tcPr>
            <w:tcW w:w="3213" w:type="dxa"/>
            <w:tcBorders>
              <w:top w:val="single" w:color="auto" w:sz="2" w:space="0"/>
              <w:left w:val="single" w:color="auto" w:sz="2" w:space="0"/>
              <w:bottom w:val="single" w:color="auto" w:sz="2" w:space="0"/>
              <w:right w:val="single" w:color="auto" w:sz="2" w:space="0"/>
            </w:tcBorders>
            <w:vAlign w:val="center"/>
          </w:tcPr>
          <w:p w14:paraId="405E967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636,922.01</w:t>
            </w:r>
          </w:p>
        </w:tc>
        <w:tc>
          <w:tcPr>
            <w:tcW w:w="3213" w:type="dxa"/>
            <w:tcBorders>
              <w:top w:val="single" w:color="auto" w:sz="2" w:space="0"/>
              <w:left w:val="single" w:color="auto" w:sz="2" w:space="0"/>
              <w:bottom w:val="single" w:color="auto" w:sz="2" w:space="0"/>
              <w:right w:val="single" w:color="auto" w:sz="2" w:space="0"/>
            </w:tcBorders>
            <w:vAlign w:val="center"/>
          </w:tcPr>
          <w:p w14:paraId="7F60697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1,451,719.58</w:t>
            </w:r>
          </w:p>
        </w:tc>
      </w:tr>
      <w:tr w14:paraId="152BB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33638FC">
            <w:pPr>
              <w:spacing w:before="0" w:after="0" w:line="240" w:lineRule="exact"/>
              <w:jc w:val="left"/>
              <w:rPr>
                <w:rFonts w:ascii="宋体" w:hAnsi="宋体" w:eastAsia="宋体" w:cs="宋体"/>
                <w:sz w:val="18"/>
                <w:szCs w:val="18"/>
              </w:rPr>
            </w:pPr>
            <w:r>
              <w:rPr>
                <w:rFonts w:ascii="宋体" w:hAnsi="宋体" w:eastAsia="宋体" w:cs="宋体"/>
                <w:sz w:val="18"/>
                <w:szCs w:val="18"/>
              </w:rPr>
              <w:t>测试化验加工费</w:t>
            </w:r>
          </w:p>
        </w:tc>
        <w:tc>
          <w:tcPr>
            <w:tcW w:w="3213" w:type="dxa"/>
            <w:tcBorders>
              <w:top w:val="single" w:color="auto" w:sz="2" w:space="0"/>
              <w:left w:val="single" w:color="auto" w:sz="2" w:space="0"/>
              <w:bottom w:val="single" w:color="auto" w:sz="2" w:space="0"/>
              <w:right w:val="single" w:color="auto" w:sz="2" w:space="0"/>
            </w:tcBorders>
            <w:vAlign w:val="center"/>
          </w:tcPr>
          <w:p w14:paraId="6E093B0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13,144,829.94</w:t>
            </w:r>
          </w:p>
        </w:tc>
        <w:tc>
          <w:tcPr>
            <w:tcW w:w="3213" w:type="dxa"/>
            <w:tcBorders>
              <w:top w:val="single" w:color="auto" w:sz="2" w:space="0"/>
              <w:left w:val="single" w:color="auto" w:sz="2" w:space="0"/>
              <w:bottom w:val="single" w:color="auto" w:sz="2" w:space="0"/>
              <w:right w:val="single" w:color="auto" w:sz="2" w:space="0"/>
            </w:tcBorders>
            <w:vAlign w:val="center"/>
          </w:tcPr>
          <w:p w14:paraId="646A3CF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12,350,888.51</w:t>
            </w:r>
          </w:p>
        </w:tc>
      </w:tr>
      <w:tr w14:paraId="3CB95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406D2DD">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7B9A666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980,396.39</w:t>
            </w:r>
          </w:p>
        </w:tc>
        <w:tc>
          <w:tcPr>
            <w:tcW w:w="3213" w:type="dxa"/>
            <w:tcBorders>
              <w:top w:val="single" w:color="auto" w:sz="2" w:space="0"/>
              <w:left w:val="single" w:color="auto" w:sz="2" w:space="0"/>
              <w:bottom w:val="single" w:color="auto" w:sz="2" w:space="0"/>
              <w:right w:val="single" w:color="auto" w:sz="2" w:space="0"/>
            </w:tcBorders>
            <w:vAlign w:val="center"/>
          </w:tcPr>
          <w:p w14:paraId="272F03D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1,254,437.05</w:t>
            </w:r>
          </w:p>
        </w:tc>
      </w:tr>
      <w:tr w14:paraId="06BAF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7D2806">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963F53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45,572,947.05</w:t>
            </w:r>
          </w:p>
        </w:tc>
        <w:tc>
          <w:tcPr>
            <w:tcW w:w="3213" w:type="dxa"/>
            <w:tcBorders>
              <w:top w:val="single" w:color="auto" w:sz="2" w:space="0"/>
              <w:left w:val="single" w:color="auto" w:sz="2" w:space="0"/>
              <w:bottom w:val="single" w:color="auto" w:sz="2" w:space="0"/>
              <w:right w:val="single" w:color="auto" w:sz="2" w:space="0"/>
            </w:tcBorders>
            <w:vAlign w:val="center"/>
          </w:tcPr>
          <w:p w14:paraId="33B67DA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42,310,630.66</w:t>
            </w:r>
          </w:p>
        </w:tc>
      </w:tr>
      <w:tr w14:paraId="53EEA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14DE2F">
            <w:pPr>
              <w:spacing w:before="40" w:after="40" w:line="240" w:lineRule="exact"/>
              <w:jc w:val="left"/>
              <w:rPr>
                <w:rFonts w:ascii="宋体" w:hAnsi="宋体" w:eastAsia="宋体" w:cs="宋体"/>
                <w:sz w:val="18"/>
                <w:szCs w:val="18"/>
              </w:rPr>
            </w:pPr>
            <w:r>
              <w:rPr>
                <w:rFonts w:ascii="宋体" w:hAnsi="宋体" w:eastAsia="宋体" w:cs="宋体"/>
                <w:sz w:val="18"/>
                <w:szCs w:val="18"/>
              </w:rPr>
              <w:t>其中：费用化研发支出</w:t>
            </w:r>
          </w:p>
        </w:tc>
        <w:tc>
          <w:tcPr>
            <w:tcW w:w="3213" w:type="dxa"/>
            <w:tcBorders>
              <w:top w:val="single" w:color="auto" w:sz="2" w:space="0"/>
              <w:left w:val="single" w:color="auto" w:sz="2" w:space="0"/>
              <w:bottom w:val="single" w:color="auto" w:sz="2" w:space="0"/>
              <w:right w:val="single" w:color="auto" w:sz="2" w:space="0"/>
            </w:tcBorders>
            <w:vAlign w:val="center"/>
          </w:tcPr>
          <w:p w14:paraId="65CB501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40,965,725.76</w:t>
            </w:r>
          </w:p>
        </w:tc>
        <w:tc>
          <w:tcPr>
            <w:tcW w:w="3213" w:type="dxa"/>
            <w:tcBorders>
              <w:top w:val="single" w:color="auto" w:sz="2" w:space="0"/>
              <w:left w:val="single" w:color="auto" w:sz="2" w:space="0"/>
              <w:bottom w:val="single" w:color="auto" w:sz="2" w:space="0"/>
              <w:right w:val="single" w:color="auto" w:sz="2" w:space="0"/>
            </w:tcBorders>
            <w:vAlign w:val="center"/>
          </w:tcPr>
          <w:p w14:paraId="622CE21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36,164,958.42</w:t>
            </w:r>
          </w:p>
        </w:tc>
      </w:tr>
      <w:tr w14:paraId="68943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96E416">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资本化研发支出</w:t>
            </w:r>
          </w:p>
        </w:tc>
        <w:tc>
          <w:tcPr>
            <w:tcW w:w="3213" w:type="dxa"/>
            <w:tcBorders>
              <w:top w:val="single" w:color="auto" w:sz="2" w:space="0"/>
              <w:left w:val="single" w:color="auto" w:sz="2" w:space="0"/>
              <w:bottom w:val="single" w:color="auto" w:sz="2" w:space="0"/>
              <w:right w:val="single" w:color="auto" w:sz="2" w:space="0"/>
            </w:tcBorders>
            <w:vAlign w:val="center"/>
          </w:tcPr>
          <w:p w14:paraId="7CDB288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4,607,221.29</w:t>
            </w:r>
          </w:p>
        </w:tc>
        <w:tc>
          <w:tcPr>
            <w:tcW w:w="3213" w:type="dxa"/>
            <w:tcBorders>
              <w:top w:val="single" w:color="auto" w:sz="2" w:space="0"/>
              <w:left w:val="single" w:color="auto" w:sz="2" w:space="0"/>
              <w:bottom w:val="single" w:color="auto" w:sz="2" w:space="0"/>
              <w:right w:val="single" w:color="auto" w:sz="2" w:space="0"/>
            </w:tcBorders>
            <w:vAlign w:val="center"/>
          </w:tcPr>
          <w:p w14:paraId="0319C0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6,145,672.24</w:t>
            </w:r>
          </w:p>
        </w:tc>
      </w:tr>
    </w:tbl>
    <w:p w14:paraId="33EA5281">
      <w:pPr>
        <w:pStyle w:val="3"/>
        <w:keepNext/>
        <w:keepLines/>
        <w:spacing w:before="300" w:after="300" w:line="280" w:lineRule="exact"/>
        <w:jc w:val="left"/>
        <w:outlineLvl w:val="2"/>
        <w:rPr>
          <w:rFonts w:ascii="宋体" w:hAnsi="宋体" w:eastAsia="宋体" w:cs="宋体"/>
          <w:b/>
          <w:bCs/>
          <w:sz w:val="21"/>
          <w:szCs w:val="21"/>
        </w:rPr>
      </w:pPr>
      <w:bookmarkStart w:id="391" w:name="_Toc989200"/>
      <w:r>
        <w:rPr>
          <w:rFonts w:hint="default" w:ascii="Times New Roman" w:hAnsi="Times New Roman" w:eastAsia="宋体" w:cs="Times New Roman"/>
          <w:b/>
          <w:bCs/>
          <w:sz w:val="21"/>
          <w:szCs w:val="21"/>
        </w:rPr>
        <w:t>1</w:t>
      </w:r>
      <w:r>
        <w:rPr>
          <w:rFonts w:ascii="宋体" w:hAnsi="宋体" w:eastAsia="宋体" w:cs="宋体"/>
          <w:b/>
          <w:bCs/>
          <w:sz w:val="21"/>
          <w:szCs w:val="21"/>
        </w:rPr>
        <w:t>、符合资本化条件的研发项目</w:t>
      </w:r>
      <w:bookmarkEnd w:id="391"/>
    </w:p>
    <w:p w14:paraId="548DDBD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6D6A4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F0D96A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7EBAC10">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125E524A">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60D0A80E">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50D4B8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614B3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7EE113A"/>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5DA2A9D"/>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08312AB">
            <w:pPr>
              <w:spacing w:before="40" w:after="40" w:line="240" w:lineRule="exact"/>
              <w:jc w:val="center"/>
              <w:rPr>
                <w:rFonts w:ascii="宋体" w:hAnsi="宋体" w:eastAsia="宋体" w:cs="宋体"/>
                <w:sz w:val="18"/>
                <w:szCs w:val="18"/>
              </w:rPr>
            </w:pPr>
            <w:r>
              <w:rPr>
                <w:rFonts w:ascii="宋体" w:hAnsi="宋体" w:eastAsia="宋体" w:cs="宋体"/>
                <w:sz w:val="18"/>
                <w:szCs w:val="18"/>
              </w:rPr>
              <w:t>内部开发支出</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19F3DC9">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14:paraId="01051206">
            <w:pPr>
              <w:spacing w:before="0" w:after="0" w:line="240" w:lineRule="exact"/>
              <w:jc w:val="center"/>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1B581CE">
            <w:pPr>
              <w:spacing w:before="40" w:after="40" w:line="240" w:lineRule="exact"/>
              <w:jc w:val="center"/>
              <w:rPr>
                <w:rFonts w:ascii="宋体" w:hAnsi="宋体" w:eastAsia="宋体" w:cs="宋体"/>
                <w:sz w:val="18"/>
                <w:szCs w:val="18"/>
              </w:rPr>
            </w:pPr>
            <w:r>
              <w:rPr>
                <w:rFonts w:ascii="宋体" w:hAnsi="宋体" w:eastAsia="宋体" w:cs="宋体"/>
                <w:sz w:val="18"/>
                <w:szCs w:val="18"/>
              </w:rPr>
              <w:t>确认为无形资产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1676247">
            <w:pPr>
              <w:spacing w:before="40" w:after="40" w:line="240" w:lineRule="exact"/>
              <w:jc w:val="center"/>
              <w:rPr>
                <w:rFonts w:ascii="宋体" w:hAnsi="宋体" w:eastAsia="宋体" w:cs="宋体"/>
                <w:sz w:val="18"/>
                <w:szCs w:val="18"/>
              </w:rPr>
            </w:pPr>
            <w:r>
              <w:rPr>
                <w:rFonts w:ascii="宋体" w:hAnsi="宋体" w:eastAsia="宋体" w:cs="宋体"/>
                <w:sz w:val="18"/>
                <w:szCs w:val="18"/>
              </w:rPr>
              <w:t>转入当期损益</w:t>
            </w:r>
          </w:p>
        </w:tc>
        <w:tc>
          <w:tcPr>
            <w:tcW w:w="1071" w:type="dxa"/>
            <w:tcBorders>
              <w:top w:val="single" w:color="auto" w:sz="2" w:space="0"/>
              <w:left w:val="single" w:color="auto" w:sz="2" w:space="0"/>
              <w:bottom w:val="single" w:color="auto" w:sz="2" w:space="0"/>
              <w:right w:val="single" w:color="auto" w:sz="2" w:space="0"/>
            </w:tcBorders>
            <w:vAlign w:val="center"/>
          </w:tcPr>
          <w:p w14:paraId="1F305E93">
            <w:pPr>
              <w:spacing w:before="0" w:after="0" w:line="240" w:lineRule="exact"/>
              <w:jc w:val="center"/>
              <w:rPr>
                <w:rFonts w:ascii="宋体" w:hAnsi="宋体" w:eastAsia="宋体" w:cs="宋体"/>
                <w:sz w:val="18"/>
                <w:szCs w:val="18"/>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687C20B"/>
        </w:tc>
      </w:tr>
      <w:tr w14:paraId="5F592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C347946">
            <w:pPr>
              <w:spacing w:before="0" w:after="0" w:line="240" w:lineRule="exact"/>
              <w:jc w:val="left"/>
              <w:rPr>
                <w:rFonts w:ascii="宋体" w:hAnsi="宋体" w:eastAsia="宋体" w:cs="宋体"/>
                <w:sz w:val="18"/>
                <w:szCs w:val="18"/>
              </w:rPr>
            </w:pPr>
            <w:r>
              <w:rPr>
                <w:rFonts w:ascii="宋体" w:hAnsi="宋体" w:eastAsia="宋体" w:cs="宋体"/>
                <w:sz w:val="18"/>
                <w:szCs w:val="18"/>
              </w:rPr>
              <w:t>新型小分子化学药本维莫德乳膏剂（湿疹）</w:t>
            </w:r>
          </w:p>
        </w:tc>
        <w:tc>
          <w:tcPr>
            <w:tcW w:w="1071" w:type="dxa"/>
            <w:tcBorders>
              <w:top w:val="single" w:color="auto" w:sz="2" w:space="0"/>
              <w:left w:val="single" w:color="auto" w:sz="2" w:space="0"/>
              <w:bottom w:val="single" w:color="auto" w:sz="2" w:space="0"/>
              <w:right w:val="single" w:color="auto" w:sz="2" w:space="0"/>
            </w:tcBorders>
            <w:vAlign w:val="center"/>
          </w:tcPr>
          <w:p w14:paraId="7C3263C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26,619,457.50</w:t>
            </w:r>
          </w:p>
        </w:tc>
        <w:tc>
          <w:tcPr>
            <w:tcW w:w="1071" w:type="dxa"/>
            <w:tcBorders>
              <w:top w:val="single" w:color="auto" w:sz="2" w:space="0"/>
              <w:left w:val="single" w:color="auto" w:sz="2" w:space="0"/>
              <w:bottom w:val="single" w:color="auto" w:sz="2" w:space="0"/>
              <w:right w:val="single" w:color="auto" w:sz="2" w:space="0"/>
            </w:tcBorders>
            <w:vAlign w:val="center"/>
          </w:tcPr>
          <w:p w14:paraId="4A010BA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4,607,221.29</w:t>
            </w:r>
          </w:p>
        </w:tc>
        <w:tc>
          <w:tcPr>
            <w:tcW w:w="1071" w:type="dxa"/>
            <w:tcBorders>
              <w:top w:val="single" w:color="auto" w:sz="2" w:space="0"/>
              <w:left w:val="single" w:color="auto" w:sz="2" w:space="0"/>
              <w:bottom w:val="single" w:color="auto" w:sz="2" w:space="0"/>
              <w:right w:val="single" w:color="auto" w:sz="2" w:space="0"/>
            </w:tcBorders>
            <w:vAlign w:val="center"/>
          </w:tcPr>
          <w:p w14:paraId="079F9FFF">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7F10F5D">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BA6E22E">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B2188FE">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9BD9DFE">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A1E4A5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31,226,678.79</w:t>
            </w:r>
          </w:p>
        </w:tc>
      </w:tr>
      <w:tr w14:paraId="33CC8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66B78E6">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14:paraId="32E1A58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26,619,457.50</w:t>
            </w:r>
          </w:p>
        </w:tc>
        <w:tc>
          <w:tcPr>
            <w:tcW w:w="1071" w:type="dxa"/>
            <w:tcBorders>
              <w:top w:val="single" w:color="auto" w:sz="2" w:space="0"/>
              <w:left w:val="single" w:color="auto" w:sz="2" w:space="0"/>
              <w:bottom w:val="single" w:color="auto" w:sz="2" w:space="0"/>
              <w:right w:val="single" w:color="auto" w:sz="2" w:space="0"/>
            </w:tcBorders>
            <w:vAlign w:val="center"/>
          </w:tcPr>
          <w:p w14:paraId="47AE729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4,607,221.29</w:t>
            </w:r>
          </w:p>
        </w:tc>
        <w:tc>
          <w:tcPr>
            <w:tcW w:w="1071" w:type="dxa"/>
            <w:tcBorders>
              <w:top w:val="single" w:color="auto" w:sz="2" w:space="0"/>
              <w:left w:val="single" w:color="auto" w:sz="2" w:space="0"/>
              <w:bottom w:val="single" w:color="auto" w:sz="2" w:space="0"/>
              <w:right w:val="single" w:color="auto" w:sz="2" w:space="0"/>
            </w:tcBorders>
            <w:vAlign w:val="center"/>
          </w:tcPr>
          <w:p w14:paraId="26C1F86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FDE21C8">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3A49F8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0CD9563">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027CD87">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5B9EB1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31,226,678.79</w:t>
            </w:r>
          </w:p>
        </w:tc>
      </w:tr>
    </w:tbl>
    <w:p w14:paraId="20565307">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重要的资本化研发项目</w:t>
      </w:r>
    </w:p>
    <w:p w14:paraId="2FB07E43">
      <w:pPr>
        <w:spacing w:before="0" w:after="0" w:line="0" w:lineRule="exact"/>
        <w:jc w:val="left"/>
      </w:pPr>
    </w:p>
    <w:tbl>
      <w:tblPr>
        <w:tblStyle w:val="7"/>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718"/>
        <w:gridCol w:w="1350"/>
        <w:gridCol w:w="1763"/>
        <w:gridCol w:w="1593"/>
      </w:tblGrid>
      <w:tr w14:paraId="717E7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331AC6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749454E">
            <w:pPr>
              <w:spacing w:before="40" w:after="40" w:line="240" w:lineRule="exact"/>
              <w:jc w:val="center"/>
              <w:rPr>
                <w:rFonts w:ascii="宋体" w:hAnsi="宋体" w:eastAsia="宋体" w:cs="宋体"/>
                <w:sz w:val="18"/>
                <w:szCs w:val="18"/>
              </w:rPr>
            </w:pPr>
            <w:r>
              <w:rPr>
                <w:rFonts w:ascii="宋体" w:hAnsi="宋体" w:eastAsia="宋体" w:cs="宋体"/>
                <w:sz w:val="18"/>
                <w:szCs w:val="18"/>
              </w:rPr>
              <w:t>研发进度</w:t>
            </w:r>
          </w:p>
        </w:tc>
        <w:tc>
          <w:tcPr>
            <w:tcW w:w="1718" w:type="dxa"/>
            <w:tcBorders>
              <w:top w:val="single" w:color="auto" w:sz="2" w:space="0"/>
              <w:left w:val="single" w:color="auto" w:sz="2" w:space="0"/>
              <w:bottom w:val="single" w:color="auto" w:sz="2" w:space="0"/>
              <w:right w:val="single" w:color="auto" w:sz="2" w:space="0"/>
            </w:tcBorders>
            <w:shd w:val="clear" w:color="auto" w:fill="D3D3D3"/>
            <w:vAlign w:val="center"/>
          </w:tcPr>
          <w:p w14:paraId="10BB75D8">
            <w:pPr>
              <w:spacing w:before="40" w:after="40" w:line="240" w:lineRule="exact"/>
              <w:jc w:val="center"/>
              <w:rPr>
                <w:rFonts w:ascii="宋体" w:hAnsi="宋体" w:eastAsia="宋体" w:cs="宋体"/>
                <w:sz w:val="18"/>
                <w:szCs w:val="18"/>
              </w:rPr>
            </w:pPr>
            <w:r>
              <w:rPr>
                <w:rFonts w:ascii="宋体" w:hAnsi="宋体" w:eastAsia="宋体" w:cs="宋体"/>
                <w:sz w:val="18"/>
                <w:szCs w:val="18"/>
              </w:rPr>
              <w:t>预计完成时间</w:t>
            </w:r>
          </w:p>
        </w:tc>
        <w:tc>
          <w:tcPr>
            <w:tcW w:w="1350" w:type="dxa"/>
            <w:tcBorders>
              <w:top w:val="single" w:color="auto" w:sz="2" w:space="0"/>
              <w:left w:val="single" w:color="auto" w:sz="2" w:space="0"/>
              <w:bottom w:val="single" w:color="auto" w:sz="2" w:space="0"/>
              <w:right w:val="single" w:color="auto" w:sz="2" w:space="0"/>
            </w:tcBorders>
            <w:shd w:val="clear" w:color="auto" w:fill="D3D3D3"/>
            <w:vAlign w:val="center"/>
          </w:tcPr>
          <w:p w14:paraId="03B56227">
            <w:pPr>
              <w:spacing w:before="40" w:after="40" w:line="240" w:lineRule="exact"/>
              <w:jc w:val="center"/>
              <w:rPr>
                <w:rFonts w:ascii="宋体" w:hAnsi="宋体" w:eastAsia="宋体" w:cs="宋体"/>
                <w:sz w:val="18"/>
                <w:szCs w:val="18"/>
              </w:rPr>
            </w:pPr>
            <w:r>
              <w:rPr>
                <w:rFonts w:ascii="宋体" w:hAnsi="宋体" w:eastAsia="宋体" w:cs="宋体"/>
                <w:sz w:val="18"/>
                <w:szCs w:val="18"/>
              </w:rPr>
              <w:t>预计经济利益产生方式</w:t>
            </w:r>
          </w:p>
        </w:tc>
        <w:tc>
          <w:tcPr>
            <w:tcW w:w="1763" w:type="dxa"/>
            <w:tcBorders>
              <w:top w:val="single" w:color="auto" w:sz="2" w:space="0"/>
              <w:left w:val="single" w:color="auto" w:sz="2" w:space="0"/>
              <w:bottom w:val="single" w:color="auto" w:sz="2" w:space="0"/>
              <w:right w:val="single" w:color="auto" w:sz="2" w:space="0"/>
            </w:tcBorders>
            <w:shd w:val="clear" w:color="auto" w:fill="D3D3D3"/>
            <w:vAlign w:val="center"/>
          </w:tcPr>
          <w:p w14:paraId="69529C06">
            <w:pPr>
              <w:spacing w:before="40" w:after="40" w:line="240" w:lineRule="exact"/>
              <w:jc w:val="center"/>
              <w:rPr>
                <w:rFonts w:ascii="宋体" w:hAnsi="宋体" w:eastAsia="宋体" w:cs="宋体"/>
                <w:sz w:val="18"/>
                <w:szCs w:val="18"/>
              </w:rPr>
            </w:pPr>
            <w:r>
              <w:rPr>
                <w:rFonts w:ascii="宋体" w:hAnsi="宋体" w:eastAsia="宋体" w:cs="宋体"/>
                <w:sz w:val="18"/>
                <w:szCs w:val="18"/>
              </w:rPr>
              <w:t>开始资本化的时点</w:t>
            </w:r>
          </w:p>
        </w:tc>
        <w:tc>
          <w:tcPr>
            <w:tcW w:w="1593" w:type="dxa"/>
            <w:tcBorders>
              <w:top w:val="single" w:color="auto" w:sz="2" w:space="0"/>
              <w:left w:val="single" w:color="auto" w:sz="2" w:space="0"/>
              <w:bottom w:val="single" w:color="auto" w:sz="2" w:space="0"/>
              <w:right w:val="single" w:color="auto" w:sz="2" w:space="0"/>
            </w:tcBorders>
            <w:shd w:val="clear" w:color="auto" w:fill="D3D3D3"/>
            <w:vAlign w:val="center"/>
          </w:tcPr>
          <w:p w14:paraId="094851BD">
            <w:pPr>
              <w:spacing w:before="40" w:after="40" w:line="240" w:lineRule="exact"/>
              <w:jc w:val="center"/>
              <w:rPr>
                <w:rFonts w:ascii="宋体" w:hAnsi="宋体" w:eastAsia="宋体" w:cs="宋体"/>
                <w:sz w:val="18"/>
                <w:szCs w:val="18"/>
              </w:rPr>
            </w:pPr>
            <w:r>
              <w:rPr>
                <w:rFonts w:ascii="宋体" w:hAnsi="宋体" w:eastAsia="宋体" w:cs="宋体"/>
                <w:sz w:val="18"/>
                <w:szCs w:val="18"/>
              </w:rPr>
              <w:t>开始资本化的具体依据</w:t>
            </w:r>
          </w:p>
        </w:tc>
      </w:tr>
      <w:tr w14:paraId="0A1C5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ED42EE4">
            <w:pPr>
              <w:spacing w:before="0" w:after="0" w:line="240" w:lineRule="exact"/>
              <w:jc w:val="left"/>
              <w:rPr>
                <w:rFonts w:ascii="宋体" w:hAnsi="宋体" w:eastAsia="宋体" w:cs="宋体"/>
                <w:sz w:val="18"/>
                <w:szCs w:val="18"/>
              </w:rPr>
            </w:pPr>
            <w:r>
              <w:rPr>
                <w:rFonts w:ascii="宋体" w:hAnsi="宋体" w:eastAsia="宋体" w:cs="宋体"/>
                <w:sz w:val="18"/>
                <w:szCs w:val="18"/>
              </w:rPr>
              <w:t>新型小分子化学药本维莫德乳膏剂（湿疹）</w:t>
            </w:r>
          </w:p>
        </w:tc>
        <w:tc>
          <w:tcPr>
            <w:tcW w:w="1606" w:type="dxa"/>
            <w:tcBorders>
              <w:top w:val="single" w:color="auto" w:sz="2" w:space="0"/>
              <w:left w:val="single" w:color="auto" w:sz="2" w:space="0"/>
              <w:bottom w:val="single" w:color="auto" w:sz="2" w:space="0"/>
              <w:right w:val="single" w:color="auto" w:sz="2" w:space="0"/>
            </w:tcBorders>
            <w:vAlign w:val="center"/>
          </w:tcPr>
          <w:p w14:paraId="32FACAE9">
            <w:pPr>
              <w:spacing w:before="0" w:after="0" w:line="240" w:lineRule="exact"/>
              <w:jc w:val="center"/>
              <w:rPr>
                <w:rFonts w:ascii="宋体" w:hAnsi="宋体" w:eastAsia="宋体" w:cs="宋体"/>
                <w:sz w:val="18"/>
                <w:szCs w:val="18"/>
              </w:rPr>
            </w:pPr>
            <w:r>
              <w:rPr>
                <w:rFonts w:ascii="宋体" w:hAnsi="宋体" w:eastAsia="宋体" w:cs="宋体"/>
                <w:sz w:val="18"/>
                <w:szCs w:val="18"/>
              </w:rPr>
              <w:t>已</w:t>
            </w:r>
            <w:r>
              <w:rPr>
                <w:rFonts w:hint="eastAsia" w:ascii="宋体" w:hAnsi="宋体" w:cs="宋体"/>
                <w:sz w:val="18"/>
                <w:szCs w:val="18"/>
                <w:lang w:val="en-US" w:eastAsia="zh-CN"/>
              </w:rPr>
              <w:t>基本</w:t>
            </w:r>
            <w:r>
              <w:rPr>
                <w:rFonts w:ascii="宋体" w:hAnsi="宋体" w:eastAsia="宋体" w:cs="宋体"/>
                <w:sz w:val="18"/>
                <w:szCs w:val="18"/>
              </w:rPr>
              <w:t>完成出组</w:t>
            </w:r>
          </w:p>
        </w:tc>
        <w:tc>
          <w:tcPr>
            <w:tcW w:w="1718" w:type="dxa"/>
            <w:tcBorders>
              <w:top w:val="single" w:color="auto" w:sz="2" w:space="0"/>
              <w:left w:val="single" w:color="auto" w:sz="2" w:space="0"/>
              <w:bottom w:val="single" w:color="auto" w:sz="2" w:space="0"/>
              <w:right w:val="single" w:color="auto" w:sz="2" w:space="0"/>
            </w:tcBorders>
            <w:vAlign w:val="center"/>
          </w:tcPr>
          <w:p w14:paraId="5D8A5B38">
            <w:pPr>
              <w:spacing w:before="0" w:after="0" w:line="240" w:lineRule="exact"/>
              <w:jc w:val="center"/>
              <w:rPr>
                <w:rFonts w:ascii="宋体" w:hAnsi="宋体" w:eastAsia="宋体" w:cs="宋体"/>
                <w:sz w:val="18"/>
                <w:szCs w:val="18"/>
              </w:rPr>
            </w:pPr>
            <w:r>
              <w:rPr>
                <w:rFonts w:hint="default" w:ascii="Times New Roman" w:hAnsi="Times New Roman" w:eastAsia="宋体" w:cs="Times New Roman"/>
                <w:sz w:val="18"/>
                <w:szCs w:val="18"/>
              </w:rPr>
              <w:t>2026</w:t>
            </w:r>
            <w:r>
              <w:rPr>
                <w:rFonts w:ascii="宋体" w:hAnsi="宋体" w:eastAsia="宋体" w:cs="宋体"/>
                <w:sz w:val="18"/>
                <w:szCs w:val="18"/>
              </w:rPr>
              <w:t>年</w:t>
            </w:r>
            <w:r>
              <w:rPr>
                <w:rFonts w:hint="default" w:ascii="Times New Roman" w:hAnsi="Times New Roman" w:eastAsia="宋体" w:cs="Times New Roman"/>
                <w:sz w:val="18"/>
                <w:szCs w:val="18"/>
              </w:rPr>
              <w:t>12</w:t>
            </w:r>
            <w:r>
              <w:rPr>
                <w:rFonts w:ascii="宋体" w:hAnsi="宋体" w:eastAsia="宋体" w:cs="宋体"/>
                <w:sz w:val="18"/>
                <w:szCs w:val="18"/>
              </w:rPr>
              <w:t>月</w:t>
            </w:r>
            <w:r>
              <w:rPr>
                <w:rFonts w:hint="default" w:ascii="Times New Roman" w:hAnsi="Times New Roman" w:eastAsia="宋体" w:cs="Times New Roman"/>
                <w:sz w:val="18"/>
                <w:szCs w:val="18"/>
              </w:rPr>
              <w:t>31</w:t>
            </w:r>
            <w:r>
              <w:rPr>
                <w:rFonts w:ascii="宋体" w:hAnsi="宋体" w:eastAsia="宋体" w:cs="宋体"/>
                <w:sz w:val="18"/>
                <w:szCs w:val="18"/>
              </w:rPr>
              <w:t>日</w:t>
            </w:r>
          </w:p>
        </w:tc>
        <w:tc>
          <w:tcPr>
            <w:tcW w:w="1350" w:type="dxa"/>
            <w:tcBorders>
              <w:top w:val="single" w:color="auto" w:sz="2" w:space="0"/>
              <w:left w:val="single" w:color="auto" w:sz="2" w:space="0"/>
              <w:bottom w:val="single" w:color="auto" w:sz="2" w:space="0"/>
              <w:right w:val="single" w:color="auto" w:sz="2" w:space="0"/>
            </w:tcBorders>
            <w:vAlign w:val="center"/>
          </w:tcPr>
          <w:p w14:paraId="21C7258A">
            <w:pPr>
              <w:spacing w:before="0" w:after="0" w:line="240" w:lineRule="exact"/>
              <w:jc w:val="center"/>
              <w:rPr>
                <w:rFonts w:ascii="宋体" w:hAnsi="宋体" w:eastAsia="宋体" w:cs="宋体"/>
                <w:sz w:val="18"/>
                <w:szCs w:val="18"/>
              </w:rPr>
            </w:pPr>
            <w:r>
              <w:rPr>
                <w:rFonts w:ascii="宋体" w:hAnsi="宋体" w:eastAsia="宋体" w:cs="宋体"/>
                <w:sz w:val="18"/>
                <w:szCs w:val="18"/>
              </w:rPr>
              <w:t>产品销售</w:t>
            </w:r>
          </w:p>
        </w:tc>
        <w:tc>
          <w:tcPr>
            <w:tcW w:w="1763" w:type="dxa"/>
            <w:tcBorders>
              <w:top w:val="single" w:color="auto" w:sz="2" w:space="0"/>
              <w:left w:val="single" w:color="auto" w:sz="2" w:space="0"/>
              <w:bottom w:val="single" w:color="auto" w:sz="2" w:space="0"/>
              <w:right w:val="single" w:color="auto" w:sz="2" w:space="0"/>
            </w:tcBorders>
            <w:vAlign w:val="center"/>
          </w:tcPr>
          <w:p w14:paraId="21357257">
            <w:pPr>
              <w:spacing w:before="0" w:after="0" w:line="240" w:lineRule="exact"/>
              <w:jc w:val="center"/>
              <w:rPr>
                <w:rFonts w:ascii="宋体" w:hAnsi="宋体" w:eastAsia="宋体" w:cs="宋体"/>
                <w:sz w:val="18"/>
                <w:szCs w:val="18"/>
              </w:rPr>
            </w:pPr>
            <w:r>
              <w:rPr>
                <w:rFonts w:hint="default" w:ascii="Times New Roman" w:hAnsi="Times New Roman" w:eastAsia="宋体" w:cs="Times New Roman"/>
                <w:sz w:val="18"/>
                <w:szCs w:val="18"/>
              </w:rPr>
              <w:t>2017</w:t>
            </w:r>
            <w:r>
              <w:rPr>
                <w:rFonts w:ascii="宋体" w:hAnsi="宋体" w:eastAsia="宋体" w:cs="宋体"/>
                <w:sz w:val="18"/>
                <w:szCs w:val="18"/>
              </w:rPr>
              <w:t>年</w:t>
            </w:r>
            <w:r>
              <w:rPr>
                <w:rFonts w:hint="default" w:ascii="Times New Roman" w:hAnsi="Times New Roman" w:eastAsia="宋体" w:cs="Times New Roman"/>
                <w:sz w:val="18"/>
                <w:szCs w:val="18"/>
              </w:rPr>
              <w:t>10</w:t>
            </w:r>
            <w:r>
              <w:rPr>
                <w:rFonts w:ascii="宋体" w:hAnsi="宋体" w:eastAsia="宋体" w:cs="宋体"/>
                <w:sz w:val="18"/>
                <w:szCs w:val="18"/>
              </w:rPr>
              <w:t>月</w:t>
            </w:r>
            <w:r>
              <w:rPr>
                <w:rFonts w:hint="default" w:ascii="Times New Roman" w:hAnsi="Times New Roman" w:eastAsia="宋体" w:cs="Times New Roman"/>
                <w:sz w:val="18"/>
                <w:szCs w:val="18"/>
              </w:rPr>
              <w:t>31</w:t>
            </w:r>
            <w:r>
              <w:rPr>
                <w:rFonts w:ascii="宋体" w:hAnsi="宋体" w:eastAsia="宋体" w:cs="宋体"/>
                <w:sz w:val="18"/>
                <w:szCs w:val="18"/>
              </w:rPr>
              <w:t>日</w:t>
            </w:r>
          </w:p>
        </w:tc>
        <w:tc>
          <w:tcPr>
            <w:tcW w:w="1593" w:type="dxa"/>
            <w:tcBorders>
              <w:top w:val="single" w:color="auto" w:sz="2" w:space="0"/>
              <w:left w:val="single" w:color="auto" w:sz="2" w:space="0"/>
              <w:bottom w:val="single" w:color="auto" w:sz="2" w:space="0"/>
              <w:right w:val="single" w:color="auto" w:sz="2" w:space="0"/>
            </w:tcBorders>
            <w:vAlign w:val="center"/>
          </w:tcPr>
          <w:p w14:paraId="5E14454E">
            <w:pPr>
              <w:spacing w:before="0" w:after="0" w:line="240" w:lineRule="exact"/>
              <w:jc w:val="left"/>
              <w:rPr>
                <w:rFonts w:ascii="宋体" w:hAnsi="宋体" w:eastAsia="宋体" w:cs="宋体"/>
                <w:sz w:val="18"/>
                <w:szCs w:val="18"/>
              </w:rPr>
            </w:pPr>
            <w:r>
              <w:rPr>
                <w:rFonts w:ascii="宋体" w:hAnsi="宋体" w:eastAsia="宋体" w:cs="宋体"/>
                <w:sz w:val="18"/>
                <w:szCs w:val="18"/>
              </w:rPr>
              <w:t>临床试验第一例用药</w:t>
            </w:r>
          </w:p>
        </w:tc>
      </w:tr>
    </w:tbl>
    <w:p w14:paraId="306F0B79">
      <w:pPr>
        <w:spacing w:before="100" w:after="100" w:line="240" w:lineRule="exact"/>
        <w:jc w:val="left"/>
        <w:rPr>
          <w:rFonts w:ascii="宋体" w:hAnsi="宋体" w:eastAsia="宋体" w:cs="宋体"/>
          <w:sz w:val="18"/>
          <w:szCs w:val="18"/>
        </w:rPr>
      </w:pPr>
      <w:r>
        <w:rPr>
          <w:rFonts w:ascii="宋体" w:hAnsi="宋体" w:eastAsia="宋体" w:cs="宋体"/>
          <w:sz w:val="18"/>
          <w:szCs w:val="18"/>
        </w:rPr>
        <w:t>开发支出减值准备</w:t>
      </w:r>
    </w:p>
    <w:p w14:paraId="5B0138A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1D858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7C2DC79">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9DA7CC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B5BB395">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0A77348">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0F22295">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E645693">
            <w:pPr>
              <w:spacing w:before="40" w:after="40" w:line="240" w:lineRule="exact"/>
              <w:jc w:val="center"/>
              <w:rPr>
                <w:rFonts w:ascii="宋体" w:hAnsi="宋体" w:eastAsia="宋体" w:cs="宋体"/>
                <w:sz w:val="18"/>
                <w:szCs w:val="18"/>
              </w:rPr>
            </w:pPr>
            <w:r>
              <w:rPr>
                <w:rFonts w:ascii="宋体" w:hAnsi="宋体" w:eastAsia="宋体" w:cs="宋体"/>
                <w:sz w:val="18"/>
                <w:szCs w:val="18"/>
              </w:rPr>
              <w:t>减值测试情况</w:t>
            </w:r>
          </w:p>
        </w:tc>
      </w:tr>
    </w:tbl>
    <w:p w14:paraId="73195518">
      <w:pPr>
        <w:pStyle w:val="2"/>
        <w:keepNext/>
        <w:keepLines/>
        <w:spacing w:before="300" w:after="300" w:line="320" w:lineRule="exact"/>
        <w:jc w:val="left"/>
        <w:outlineLvl w:val="1"/>
        <w:rPr>
          <w:rFonts w:ascii="宋体" w:hAnsi="宋体" w:eastAsia="宋体" w:cs="宋体"/>
          <w:b/>
          <w:bCs/>
          <w:sz w:val="24"/>
          <w:szCs w:val="24"/>
        </w:rPr>
      </w:pPr>
      <w:bookmarkStart w:id="392" w:name="_Toc989201"/>
      <w:bookmarkStart w:id="393" w:name="_Toc341"/>
      <w:r>
        <w:rPr>
          <w:rFonts w:ascii="宋体" w:hAnsi="宋体" w:eastAsia="宋体" w:cs="宋体"/>
          <w:b/>
          <w:bCs/>
          <w:sz w:val="24"/>
          <w:szCs w:val="24"/>
        </w:rPr>
        <w:t>九、合并范围的变更</w:t>
      </w:r>
      <w:bookmarkEnd w:id="392"/>
      <w:bookmarkEnd w:id="393"/>
    </w:p>
    <w:p w14:paraId="3468BAFF">
      <w:pPr>
        <w:pStyle w:val="3"/>
        <w:keepNext/>
        <w:keepLines/>
        <w:spacing w:before="300" w:after="300" w:line="280" w:lineRule="exact"/>
        <w:jc w:val="left"/>
        <w:outlineLvl w:val="2"/>
        <w:rPr>
          <w:rFonts w:ascii="宋体" w:hAnsi="宋体" w:eastAsia="宋体" w:cs="宋体"/>
          <w:b/>
          <w:bCs/>
          <w:sz w:val="21"/>
          <w:szCs w:val="21"/>
        </w:rPr>
      </w:pPr>
      <w:bookmarkStart w:id="394" w:name="_Toc989202"/>
      <w:r>
        <w:rPr>
          <w:rFonts w:hint="default" w:ascii="Times New Roman" w:hAnsi="Times New Roman" w:eastAsia="宋体" w:cs="Times New Roman"/>
          <w:b/>
          <w:bCs/>
          <w:sz w:val="21"/>
          <w:szCs w:val="21"/>
        </w:rPr>
        <w:t>1</w:t>
      </w:r>
      <w:r>
        <w:rPr>
          <w:rFonts w:ascii="宋体" w:hAnsi="宋体" w:eastAsia="宋体" w:cs="宋体"/>
          <w:b/>
          <w:bCs/>
          <w:sz w:val="21"/>
          <w:szCs w:val="21"/>
        </w:rPr>
        <w:t>、其他原因的合并范围变动</w:t>
      </w:r>
      <w:bookmarkEnd w:id="394"/>
    </w:p>
    <w:p w14:paraId="6F037194">
      <w:pPr>
        <w:spacing w:before="100" w:after="100" w:line="240" w:lineRule="exact"/>
        <w:jc w:val="left"/>
        <w:rPr>
          <w:rFonts w:ascii="宋体" w:hAnsi="宋体" w:eastAsia="宋体" w:cs="宋体"/>
          <w:sz w:val="18"/>
          <w:szCs w:val="18"/>
        </w:rPr>
      </w:pPr>
      <w:r>
        <w:rPr>
          <w:rFonts w:ascii="宋体" w:hAnsi="宋体" w:eastAsia="宋体" w:cs="宋体"/>
          <w:sz w:val="18"/>
          <w:szCs w:val="18"/>
        </w:rPr>
        <w:t>说明其他原因导致的合并范围变动（如，新设子公司、清算子公司等）及其相关情况：</w:t>
      </w:r>
    </w:p>
    <w:p w14:paraId="34E1D4FA">
      <w:pPr>
        <w:pStyle w:val="6"/>
        <w:keepNext w:val="0"/>
        <w:keepLines w:val="0"/>
        <w:widowControl/>
        <w:suppressLineNumbers w:val="0"/>
        <w:spacing w:before="0" w:beforeAutospacing="0" w:after="0" w:afterAutospacing="0" w:line="460" w:lineRule="atLeast"/>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1</w:t>
      </w:r>
      <w:r>
        <w:rPr>
          <w:rFonts w:hint="eastAsia" w:ascii="宋体" w:hAnsi="宋体" w:eastAsia="宋体" w:cs="宋体"/>
          <w:sz w:val="18"/>
          <w:szCs w:val="18"/>
        </w:rPr>
        <w:t>.新设子公司纳入合并范围</w:t>
      </w:r>
    </w:p>
    <w:p w14:paraId="408865C7">
      <w:pPr>
        <w:pStyle w:val="6"/>
        <w:keepNext w:val="0"/>
        <w:keepLines w:val="0"/>
        <w:widowControl/>
        <w:suppressLineNumbers w:val="0"/>
        <w:spacing w:before="0" w:beforeAutospacing="0" w:after="0" w:afterAutospacing="0" w:line="460" w:lineRule="atLeast"/>
        <w:ind w:left="0" w:right="0" w:firstLine="420"/>
        <w:jc w:val="left"/>
        <w:rPr>
          <w:rFonts w:hint="default" w:ascii="Times New Roman" w:hAnsi="Times New Roman" w:cs="Times New Roman"/>
          <w:sz w:val="18"/>
          <w:szCs w:val="18"/>
        </w:rPr>
      </w:pPr>
      <w:r>
        <w:rPr>
          <w:rFonts w:hint="eastAsia" w:ascii="宋体" w:hAnsi="宋体" w:eastAsia="宋体" w:cs="宋体"/>
          <w:sz w:val="18"/>
          <w:szCs w:val="18"/>
        </w:rPr>
        <w:t>本公司本期设立了北京天佑启元生物科技有限公司，于</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w:t>
      </w:r>
      <w:r>
        <w:rPr>
          <w:rFonts w:hint="default" w:ascii="Times New Roman" w:hAnsi="Times New Roman" w:eastAsia="宋体" w:cs="Times New Roman"/>
          <w:sz w:val="18"/>
          <w:szCs w:val="18"/>
        </w:rPr>
        <w:t>10</w:t>
      </w:r>
      <w:r>
        <w:rPr>
          <w:rFonts w:hint="eastAsia" w:ascii="宋体" w:hAnsi="宋体" w:eastAsia="宋体" w:cs="宋体"/>
          <w:sz w:val="18"/>
          <w:szCs w:val="18"/>
        </w:rPr>
        <w:t>日办妥工商设立登记手续，注册资本人民币</w:t>
      </w:r>
      <w:r>
        <w:rPr>
          <w:rFonts w:hint="default" w:ascii="Times New Roman" w:hAnsi="Times New Roman" w:eastAsia="宋体" w:cs="Times New Roman"/>
          <w:sz w:val="18"/>
          <w:szCs w:val="18"/>
        </w:rPr>
        <w:t>40</w:t>
      </w:r>
      <w:r>
        <w:rPr>
          <w:rFonts w:hint="eastAsia" w:ascii="宋体" w:hAnsi="宋体" w:eastAsia="宋体" w:cs="宋体"/>
          <w:sz w:val="18"/>
          <w:szCs w:val="18"/>
        </w:rPr>
        <w:t>.</w:t>
      </w:r>
      <w:r>
        <w:rPr>
          <w:rFonts w:hint="default" w:ascii="Times New Roman" w:hAnsi="Times New Roman" w:eastAsia="宋体" w:cs="Times New Roman"/>
          <w:sz w:val="18"/>
          <w:szCs w:val="18"/>
        </w:rPr>
        <w:t>00</w:t>
      </w:r>
      <w:r>
        <w:rPr>
          <w:rFonts w:hint="eastAsia" w:ascii="宋体" w:hAnsi="宋体" w:eastAsia="宋体" w:cs="宋体"/>
          <w:sz w:val="18"/>
          <w:szCs w:val="18"/>
        </w:rPr>
        <w:t>万元。本公司拥有对上述新设公司的实质控制权，故自上述公司成立之日起，将其纳入合并财务报表范围。</w:t>
      </w:r>
    </w:p>
    <w:p w14:paraId="125C4D75">
      <w:pPr>
        <w:pStyle w:val="6"/>
        <w:keepNext w:val="0"/>
        <w:keepLines w:val="0"/>
        <w:widowControl/>
        <w:suppressLineNumbers w:val="0"/>
        <w:spacing w:before="0" w:beforeAutospacing="0" w:after="0" w:afterAutospacing="0" w:line="460" w:lineRule="atLeast"/>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2</w:t>
      </w:r>
      <w:r>
        <w:rPr>
          <w:rFonts w:hint="eastAsia" w:ascii="宋体" w:hAnsi="宋体" w:eastAsia="宋体" w:cs="宋体"/>
          <w:sz w:val="18"/>
          <w:szCs w:val="18"/>
        </w:rPr>
        <w:t>.购买资产形成子公司纳入合并范围</w:t>
      </w:r>
    </w:p>
    <w:p w14:paraId="08A8D1EC">
      <w:pPr>
        <w:pStyle w:val="6"/>
        <w:keepNext w:val="0"/>
        <w:keepLines w:val="0"/>
        <w:widowControl/>
        <w:suppressLineNumbers w:val="0"/>
        <w:spacing w:before="0" w:beforeAutospacing="0" w:after="0" w:afterAutospacing="0" w:line="460" w:lineRule="atLeast"/>
        <w:ind w:left="0" w:right="0" w:firstLine="420"/>
        <w:jc w:val="both"/>
        <w:rPr>
          <w:rFonts w:hint="default" w:ascii="Times New Roman" w:hAnsi="Times New Roman" w:cs="Times New Roman"/>
          <w:sz w:val="18"/>
          <w:szCs w:val="18"/>
        </w:rPr>
      </w:pPr>
      <w:r>
        <w:rPr>
          <w:rFonts w:hint="eastAsia" w:ascii="宋体" w:hAnsi="宋体" w:eastAsia="宋体" w:cs="宋体"/>
          <w:sz w:val="18"/>
          <w:szCs w:val="18"/>
        </w:rPr>
        <w:t>本公司原持有北京宏冠再生医学科技有限公司（以下简称“北京宏冠”）</w:t>
      </w:r>
      <w:r>
        <w:rPr>
          <w:rFonts w:hint="default" w:ascii="Times New Roman" w:hAnsi="Times New Roman" w:eastAsia="宋体" w:cs="Times New Roman"/>
          <w:sz w:val="18"/>
          <w:szCs w:val="18"/>
        </w:rPr>
        <w:t>50</w:t>
      </w:r>
      <w:r>
        <w:rPr>
          <w:rFonts w:hint="eastAsia" w:ascii="Times New Roman" w:hAnsi="Times New Roman" w:eastAsia="宋体" w:cs="Times New Roman"/>
          <w:sz w:val="18"/>
          <w:szCs w:val="18"/>
        </w:rPr>
        <w:t>%股权，由本公司设立时货币出资取得，初始取得成本</w:t>
      </w:r>
      <w:r>
        <w:rPr>
          <w:rFonts w:hint="default" w:ascii="Times New Roman" w:hAnsi="Times New Roman" w:eastAsia="宋体" w:cs="Times New Roman"/>
          <w:sz w:val="18"/>
          <w:szCs w:val="18"/>
        </w:rPr>
        <w:t>3</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833</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500</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00</w:t>
      </w:r>
      <w:r>
        <w:rPr>
          <w:rFonts w:hint="eastAsia" w:ascii="Times New Roman" w:hAnsi="Times New Roman" w:eastAsia="宋体" w:cs="Times New Roman"/>
          <w:sz w:val="18"/>
          <w:szCs w:val="18"/>
        </w:rPr>
        <w:t>元，公司作为合营企业按权益法核</w:t>
      </w:r>
      <w:r>
        <w:rPr>
          <w:rFonts w:hint="eastAsia" w:ascii="宋体" w:hAnsi="宋体" w:eastAsia="宋体" w:cs="宋体"/>
          <w:sz w:val="18"/>
          <w:szCs w:val="18"/>
        </w:rPr>
        <w:t>算。截至购买日，该长期股权投资账面价值为</w:t>
      </w:r>
      <w:r>
        <w:rPr>
          <w:rFonts w:hint="default" w:ascii="Times New Roman" w:hAnsi="Times New Roman" w:eastAsia="宋体" w:cs="Times New Roman"/>
          <w:sz w:val="18"/>
          <w:szCs w:val="18"/>
        </w:rPr>
        <w:t>4</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441</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322</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35</w:t>
      </w:r>
      <w:r>
        <w:rPr>
          <w:rFonts w:hint="eastAsia" w:ascii="Times New Roman" w:hAnsi="Times New Roman" w:eastAsia="宋体" w:cs="Times New Roman"/>
          <w:sz w:val="18"/>
          <w:szCs w:val="18"/>
        </w:rPr>
        <w:t>元</w:t>
      </w:r>
      <w:r>
        <w:rPr>
          <w:rFonts w:hint="eastAsia" w:ascii="宋体" w:hAnsi="宋体" w:eastAsia="宋体" w:cs="宋体"/>
          <w:sz w:val="18"/>
          <w:szCs w:val="18"/>
        </w:rPr>
        <w:t>，北京宏冠账面净资产为</w:t>
      </w:r>
      <w:r>
        <w:rPr>
          <w:rFonts w:hint="default" w:ascii="Times New Roman" w:hAnsi="Times New Roman" w:eastAsia="宋体" w:cs="Times New Roman"/>
          <w:sz w:val="18"/>
          <w:szCs w:val="18"/>
        </w:rPr>
        <w:t>8</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882</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644</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69</w:t>
      </w:r>
      <w:r>
        <w:rPr>
          <w:rFonts w:hint="eastAsia" w:ascii="宋体" w:hAnsi="宋体" w:eastAsia="宋体" w:cs="宋体"/>
          <w:sz w:val="18"/>
          <w:szCs w:val="18"/>
        </w:rPr>
        <w:t>元。本期公司子公司北昊干细胞与再生医学研究院有限公司出资</w:t>
      </w:r>
      <w:r>
        <w:rPr>
          <w:rFonts w:hint="default" w:ascii="Times New Roman" w:hAnsi="Times New Roman" w:eastAsia="宋体" w:cs="Times New Roman"/>
          <w:sz w:val="18"/>
          <w:szCs w:val="18"/>
        </w:rPr>
        <w:t>4</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562</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053</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74</w:t>
      </w:r>
      <w:r>
        <w:rPr>
          <w:rFonts w:hint="eastAsia" w:ascii="Times New Roman" w:hAnsi="Times New Roman" w:eastAsia="宋体" w:cs="Times New Roman"/>
          <w:sz w:val="18"/>
          <w:szCs w:val="18"/>
        </w:rPr>
        <w:t>元</w:t>
      </w:r>
      <w:r>
        <w:rPr>
          <w:rFonts w:hint="eastAsia" w:ascii="宋体" w:hAnsi="宋体" w:eastAsia="宋体" w:cs="宋体"/>
          <w:sz w:val="18"/>
          <w:szCs w:val="18"/>
        </w:rPr>
        <w:t>购买北京宏冠剩</w:t>
      </w:r>
      <w:r>
        <w:rPr>
          <w:rFonts w:hint="eastAsia" w:ascii="Times New Roman" w:hAnsi="Times New Roman" w:eastAsia="宋体" w:cs="Times New Roman"/>
          <w:sz w:val="18"/>
          <w:szCs w:val="18"/>
        </w:rPr>
        <w:t>余</w:t>
      </w:r>
      <w:r>
        <w:rPr>
          <w:rFonts w:hint="default" w:ascii="Times New Roman" w:hAnsi="Times New Roman" w:eastAsia="宋体" w:cs="Times New Roman"/>
          <w:sz w:val="18"/>
          <w:szCs w:val="18"/>
        </w:rPr>
        <w:t>50</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00</w:t>
      </w:r>
      <w:r>
        <w:rPr>
          <w:rFonts w:hint="eastAsia" w:ascii="Times New Roman" w:hAnsi="Times New Roman" w:eastAsia="宋体" w:cs="Times New Roman"/>
          <w:sz w:val="18"/>
          <w:szCs w:val="18"/>
        </w:rPr>
        <w:t>%股</w:t>
      </w:r>
      <w:r>
        <w:rPr>
          <w:rFonts w:hint="eastAsia" w:ascii="宋体" w:hAnsi="宋体" w:eastAsia="宋体" w:cs="宋体"/>
          <w:sz w:val="18"/>
          <w:szCs w:val="18"/>
        </w:rPr>
        <w:t>权，本公司取得北京宏冠最终控制权，由于北京宏冠处于无经营业务、无员工生产状态，账面资产主要为无形资产，并不构成业务，本次交易不形成企业合并，不按照企业合并准则进行处理。</w:t>
      </w:r>
    </w:p>
    <w:p w14:paraId="0FF2656C">
      <w:pPr>
        <w:pStyle w:val="6"/>
        <w:keepNext w:val="0"/>
        <w:keepLines w:val="0"/>
        <w:widowControl/>
        <w:suppressLineNumbers w:val="0"/>
        <w:spacing w:before="0" w:beforeAutospacing="0" w:after="0" w:afterAutospacing="0" w:line="460" w:lineRule="atLeast"/>
        <w:ind w:left="0" w:right="0" w:firstLine="420"/>
        <w:jc w:val="both"/>
        <w:rPr>
          <w:rFonts w:hint="default" w:ascii="Times New Roman" w:hAnsi="Times New Roman" w:cs="Times New Roman"/>
          <w:sz w:val="18"/>
          <w:szCs w:val="18"/>
        </w:rPr>
      </w:pPr>
      <w:r>
        <w:rPr>
          <w:rFonts w:hint="default" w:ascii="Times New Roman" w:hAnsi="Times New Roman" w:eastAsia="宋体" w:cs="Times New Roman"/>
          <w:sz w:val="18"/>
          <w:szCs w:val="18"/>
        </w:rPr>
        <w:t>3</w:t>
      </w:r>
      <w:r>
        <w:rPr>
          <w:rFonts w:hint="eastAsia" w:ascii="宋体" w:hAnsi="宋体" w:eastAsia="宋体" w:cs="宋体"/>
          <w:sz w:val="18"/>
          <w:szCs w:val="18"/>
        </w:rPr>
        <w:t>.注销子公司</w:t>
      </w:r>
    </w:p>
    <w:p w14:paraId="427DAECF">
      <w:pPr>
        <w:pStyle w:val="6"/>
        <w:keepNext w:val="0"/>
        <w:keepLines w:val="0"/>
        <w:widowControl/>
        <w:suppressLineNumbers w:val="0"/>
        <w:spacing w:before="0" w:beforeAutospacing="0" w:after="0" w:afterAutospacing="0" w:line="460" w:lineRule="atLeast"/>
        <w:ind w:left="0" w:right="0" w:firstLine="420"/>
        <w:jc w:val="both"/>
        <w:rPr>
          <w:rFonts w:hint="default" w:ascii="Times New Roman" w:hAnsi="Times New Roman" w:cs="Times New Roman"/>
          <w:sz w:val="18"/>
          <w:szCs w:val="18"/>
        </w:rPr>
      </w:pPr>
      <w:r>
        <w:rPr>
          <w:rFonts w:hint="eastAsia" w:ascii="宋体" w:hAnsi="宋体" w:eastAsia="宋体" w:cs="宋体"/>
          <w:sz w:val="18"/>
          <w:szCs w:val="18"/>
        </w:rPr>
        <w:t>本公司子公司杭州明兴生物科技有限公司于</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1</w:t>
      </w:r>
      <w:r>
        <w:rPr>
          <w:rFonts w:hint="eastAsia" w:ascii="宋体" w:hAnsi="宋体" w:eastAsia="宋体" w:cs="宋体"/>
          <w:sz w:val="18"/>
          <w:szCs w:val="18"/>
        </w:rPr>
        <w:t>月</w:t>
      </w:r>
      <w:r>
        <w:rPr>
          <w:rFonts w:hint="default" w:ascii="Times New Roman" w:hAnsi="Times New Roman" w:eastAsia="宋体" w:cs="Times New Roman"/>
          <w:sz w:val="18"/>
          <w:szCs w:val="18"/>
        </w:rPr>
        <w:t>21</w:t>
      </w:r>
      <w:r>
        <w:rPr>
          <w:rFonts w:hint="eastAsia" w:ascii="宋体" w:hAnsi="宋体" w:eastAsia="宋体" w:cs="宋体"/>
          <w:sz w:val="18"/>
          <w:szCs w:val="18"/>
        </w:rPr>
        <w:t>日注销其子公司陕西京冠生物科技有限公司，自其注销之日起，不再纳入合并报表范围。</w:t>
      </w:r>
    </w:p>
    <w:p w14:paraId="5D6643B1">
      <w:pPr>
        <w:pStyle w:val="2"/>
        <w:keepNext/>
        <w:keepLines/>
        <w:spacing w:before="300" w:after="300" w:line="320" w:lineRule="exact"/>
        <w:jc w:val="left"/>
        <w:outlineLvl w:val="1"/>
        <w:rPr>
          <w:rFonts w:ascii="宋体" w:hAnsi="宋体" w:eastAsia="宋体" w:cs="宋体"/>
          <w:b/>
          <w:bCs/>
          <w:sz w:val="24"/>
          <w:szCs w:val="24"/>
        </w:rPr>
      </w:pPr>
      <w:bookmarkStart w:id="395" w:name="_Toc7900"/>
      <w:bookmarkStart w:id="396" w:name="_Toc989203"/>
      <w:r>
        <w:rPr>
          <w:rFonts w:ascii="宋体" w:hAnsi="宋体" w:eastAsia="宋体" w:cs="宋体"/>
          <w:b/>
          <w:bCs/>
          <w:sz w:val="24"/>
          <w:szCs w:val="24"/>
        </w:rPr>
        <w:t>十、在其他主体中的权益</w:t>
      </w:r>
      <w:bookmarkEnd w:id="395"/>
      <w:bookmarkEnd w:id="396"/>
    </w:p>
    <w:p w14:paraId="388D22CE">
      <w:pPr>
        <w:pStyle w:val="3"/>
        <w:keepNext/>
        <w:keepLines/>
        <w:spacing w:before="300" w:after="300" w:line="280" w:lineRule="exact"/>
        <w:jc w:val="left"/>
        <w:outlineLvl w:val="2"/>
        <w:rPr>
          <w:rFonts w:ascii="宋体" w:hAnsi="宋体" w:eastAsia="宋体" w:cs="宋体"/>
          <w:b/>
          <w:bCs/>
          <w:sz w:val="21"/>
          <w:szCs w:val="21"/>
        </w:rPr>
      </w:pPr>
      <w:bookmarkStart w:id="397" w:name="_Toc989204"/>
      <w:r>
        <w:rPr>
          <w:rFonts w:hint="default" w:ascii="Times New Roman" w:hAnsi="Times New Roman" w:eastAsia="宋体" w:cs="Times New Roman"/>
          <w:b/>
          <w:bCs/>
          <w:sz w:val="21"/>
          <w:szCs w:val="21"/>
        </w:rPr>
        <w:t>1</w:t>
      </w:r>
      <w:r>
        <w:rPr>
          <w:rFonts w:ascii="宋体" w:hAnsi="宋体" w:eastAsia="宋体" w:cs="宋体"/>
          <w:b/>
          <w:bCs/>
          <w:sz w:val="21"/>
          <w:szCs w:val="21"/>
        </w:rPr>
        <w:t>、在子公司中的权益</w:t>
      </w:r>
      <w:bookmarkEnd w:id="397"/>
    </w:p>
    <w:p w14:paraId="0D1926DF">
      <w:pPr>
        <w:keepNext/>
        <w:keepLines/>
        <w:spacing w:before="300" w:after="300" w:line="280" w:lineRule="exact"/>
        <w:jc w:val="left"/>
        <w:outlineLvl w:val="3"/>
        <w:rPr>
          <w:rFonts w:ascii="宋体" w:hAnsi="宋体" w:eastAsia="宋体" w:cs="宋体"/>
          <w:b/>
          <w:bCs/>
          <w:sz w:val="18"/>
          <w:szCs w:val="18"/>
        </w:rPr>
      </w:pPr>
      <w:bookmarkStart w:id="398" w:name="_Toc989205"/>
      <w:r>
        <w:rPr>
          <w:rFonts w:ascii="宋体" w:hAnsi="宋体" w:eastAsia="宋体" w:cs="宋体"/>
          <w:b/>
          <w:bCs/>
          <w:sz w:val="18"/>
          <w:szCs w:val="18"/>
        </w:rPr>
        <w:t>（</w:t>
      </w:r>
      <w:r>
        <w:rPr>
          <w:rFonts w:hint="default" w:ascii="Times New Roman" w:hAnsi="Times New Roman" w:eastAsia="宋体" w:cs="Times New Roman"/>
          <w:b/>
          <w:bCs/>
          <w:sz w:val="18"/>
          <w:szCs w:val="18"/>
        </w:rPr>
        <w:t>1</w:t>
      </w:r>
      <w:r>
        <w:rPr>
          <w:rFonts w:ascii="宋体" w:hAnsi="宋体" w:eastAsia="宋体" w:cs="宋体"/>
          <w:b/>
          <w:bCs/>
          <w:sz w:val="18"/>
          <w:szCs w:val="18"/>
        </w:rPr>
        <w:t>） 企业集团的构成</w:t>
      </w:r>
      <w:bookmarkEnd w:id="398"/>
    </w:p>
    <w:p w14:paraId="697E53C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471"/>
        <w:gridCol w:w="1045"/>
        <w:gridCol w:w="900"/>
        <w:gridCol w:w="1588"/>
        <w:gridCol w:w="1189"/>
        <w:gridCol w:w="1037"/>
        <w:gridCol w:w="1205"/>
      </w:tblGrid>
      <w:tr w14:paraId="50150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996C4EE">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4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BB32748">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04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4102C46">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9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50341C1">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58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8FD56CF">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22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E5E7BDF">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69664FE">
            <w:pPr>
              <w:spacing w:before="40" w:after="40" w:line="240" w:lineRule="exact"/>
              <w:jc w:val="center"/>
              <w:rPr>
                <w:rFonts w:ascii="宋体" w:hAnsi="宋体" w:eastAsia="宋体" w:cs="宋体"/>
                <w:sz w:val="18"/>
                <w:szCs w:val="18"/>
              </w:rPr>
            </w:pPr>
            <w:r>
              <w:rPr>
                <w:rFonts w:ascii="宋体" w:hAnsi="宋体" w:eastAsia="宋体" w:cs="宋体"/>
                <w:sz w:val="18"/>
                <w:szCs w:val="18"/>
              </w:rPr>
              <w:t>取得方式</w:t>
            </w:r>
          </w:p>
        </w:tc>
      </w:tr>
      <w:tr w14:paraId="4417D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67EB0F8"/>
        </w:tc>
        <w:tc>
          <w:tcPr>
            <w:tcW w:w="14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16A7345"/>
        </w:tc>
        <w:tc>
          <w:tcPr>
            <w:tcW w:w="104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68F3E7A"/>
        </w:tc>
        <w:tc>
          <w:tcPr>
            <w:tcW w:w="9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BEEF535"/>
        </w:tc>
        <w:tc>
          <w:tcPr>
            <w:tcW w:w="158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A5C9179"/>
        </w:tc>
        <w:tc>
          <w:tcPr>
            <w:tcW w:w="1189" w:type="dxa"/>
            <w:tcBorders>
              <w:top w:val="single" w:color="auto" w:sz="2" w:space="0"/>
              <w:left w:val="single" w:color="auto" w:sz="2" w:space="0"/>
              <w:bottom w:val="single" w:color="auto" w:sz="2" w:space="0"/>
              <w:right w:val="single" w:color="auto" w:sz="2" w:space="0"/>
            </w:tcBorders>
            <w:shd w:val="clear" w:color="auto" w:fill="D3D3D3"/>
            <w:vAlign w:val="center"/>
          </w:tcPr>
          <w:p w14:paraId="758B9A44">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037" w:type="dxa"/>
            <w:tcBorders>
              <w:top w:val="single" w:color="auto" w:sz="2" w:space="0"/>
              <w:left w:val="single" w:color="auto" w:sz="2" w:space="0"/>
              <w:bottom w:val="single" w:color="auto" w:sz="2" w:space="0"/>
              <w:right w:val="single" w:color="auto" w:sz="2" w:space="0"/>
            </w:tcBorders>
            <w:shd w:val="clear" w:color="auto" w:fill="D3D3D3"/>
            <w:vAlign w:val="center"/>
          </w:tcPr>
          <w:p w14:paraId="157C1F4B">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8270494"/>
        </w:tc>
      </w:tr>
      <w:tr w14:paraId="663A8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0411D0D">
            <w:pPr>
              <w:spacing w:before="0" w:after="0" w:line="240" w:lineRule="exact"/>
              <w:jc w:val="left"/>
              <w:rPr>
                <w:rFonts w:ascii="宋体" w:hAnsi="宋体" w:eastAsia="宋体" w:cs="宋体"/>
                <w:sz w:val="18"/>
                <w:szCs w:val="18"/>
              </w:rPr>
            </w:pPr>
            <w:r>
              <w:rPr>
                <w:rFonts w:ascii="宋体" w:hAnsi="宋体" w:eastAsia="宋体" w:cs="宋体"/>
                <w:sz w:val="18"/>
                <w:szCs w:val="18"/>
              </w:rPr>
              <w:t>上海冠昊医疗器械有限公司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5A7DC63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3,000,000.00</w:t>
            </w:r>
          </w:p>
        </w:tc>
        <w:tc>
          <w:tcPr>
            <w:tcW w:w="1045" w:type="dxa"/>
            <w:tcBorders>
              <w:top w:val="single" w:color="auto" w:sz="2" w:space="0"/>
              <w:left w:val="single" w:color="auto" w:sz="2" w:space="0"/>
              <w:bottom w:val="single" w:color="auto" w:sz="2" w:space="0"/>
              <w:right w:val="single" w:color="auto" w:sz="2" w:space="0"/>
            </w:tcBorders>
            <w:vAlign w:val="center"/>
          </w:tcPr>
          <w:p w14:paraId="418E2569">
            <w:pPr>
              <w:spacing w:before="0" w:after="0" w:line="240" w:lineRule="exact"/>
              <w:jc w:val="left"/>
              <w:rPr>
                <w:rFonts w:ascii="宋体" w:hAnsi="宋体" w:eastAsia="宋体" w:cs="宋体"/>
                <w:sz w:val="18"/>
                <w:szCs w:val="18"/>
              </w:rPr>
            </w:pPr>
            <w:r>
              <w:rPr>
                <w:rFonts w:ascii="宋体" w:hAnsi="宋体" w:eastAsia="宋体" w:cs="宋体"/>
                <w:sz w:val="18"/>
                <w:szCs w:val="18"/>
              </w:rPr>
              <w:t>上海</w:t>
            </w:r>
          </w:p>
        </w:tc>
        <w:tc>
          <w:tcPr>
            <w:tcW w:w="900" w:type="dxa"/>
            <w:tcBorders>
              <w:top w:val="single" w:color="auto" w:sz="2" w:space="0"/>
              <w:left w:val="single" w:color="auto" w:sz="2" w:space="0"/>
              <w:bottom w:val="single" w:color="auto" w:sz="2" w:space="0"/>
              <w:right w:val="single" w:color="auto" w:sz="2" w:space="0"/>
            </w:tcBorders>
            <w:vAlign w:val="center"/>
          </w:tcPr>
          <w:p w14:paraId="2B056B09">
            <w:pPr>
              <w:spacing w:before="0" w:after="0" w:line="240" w:lineRule="exact"/>
              <w:jc w:val="left"/>
              <w:rPr>
                <w:rFonts w:ascii="宋体" w:hAnsi="宋体" w:eastAsia="宋体" w:cs="宋体"/>
                <w:sz w:val="18"/>
                <w:szCs w:val="18"/>
              </w:rPr>
            </w:pPr>
            <w:r>
              <w:rPr>
                <w:rFonts w:ascii="宋体" w:hAnsi="宋体" w:eastAsia="宋体" w:cs="宋体"/>
                <w:sz w:val="18"/>
                <w:szCs w:val="18"/>
              </w:rPr>
              <w:t>上海</w:t>
            </w:r>
          </w:p>
        </w:tc>
        <w:tc>
          <w:tcPr>
            <w:tcW w:w="1588" w:type="dxa"/>
            <w:tcBorders>
              <w:top w:val="single" w:color="auto" w:sz="2" w:space="0"/>
              <w:left w:val="single" w:color="auto" w:sz="2" w:space="0"/>
              <w:bottom w:val="single" w:color="auto" w:sz="2" w:space="0"/>
              <w:right w:val="single" w:color="auto" w:sz="2" w:space="0"/>
            </w:tcBorders>
            <w:vAlign w:val="center"/>
          </w:tcPr>
          <w:p w14:paraId="5FD314ED">
            <w:pPr>
              <w:spacing w:before="0" w:after="0" w:line="240" w:lineRule="exact"/>
              <w:jc w:val="left"/>
              <w:rPr>
                <w:rFonts w:ascii="宋体" w:hAnsi="宋体" w:eastAsia="宋体" w:cs="宋体"/>
                <w:sz w:val="18"/>
                <w:szCs w:val="18"/>
              </w:rPr>
            </w:pPr>
            <w:r>
              <w:rPr>
                <w:rFonts w:ascii="宋体" w:hAnsi="宋体" w:eastAsia="宋体" w:cs="宋体"/>
                <w:sz w:val="18"/>
                <w:szCs w:val="18"/>
              </w:rPr>
              <w:t>研发、销售商品</w:t>
            </w:r>
          </w:p>
        </w:tc>
        <w:tc>
          <w:tcPr>
            <w:tcW w:w="1189" w:type="dxa"/>
            <w:tcBorders>
              <w:top w:val="single" w:color="auto" w:sz="2" w:space="0"/>
              <w:left w:val="single" w:color="auto" w:sz="2" w:space="0"/>
              <w:bottom w:val="single" w:color="auto" w:sz="2" w:space="0"/>
              <w:right w:val="single" w:color="auto" w:sz="2" w:space="0"/>
            </w:tcBorders>
            <w:vAlign w:val="center"/>
          </w:tcPr>
          <w:p w14:paraId="6BE555C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037" w:type="dxa"/>
            <w:tcBorders>
              <w:top w:val="single" w:color="auto" w:sz="2" w:space="0"/>
              <w:left w:val="single" w:color="auto" w:sz="2" w:space="0"/>
              <w:bottom w:val="single" w:color="auto" w:sz="2" w:space="0"/>
              <w:right w:val="single" w:color="auto" w:sz="2" w:space="0"/>
            </w:tcBorders>
            <w:vAlign w:val="center"/>
          </w:tcPr>
          <w:p w14:paraId="18B98138">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2D793DB">
            <w:pPr>
              <w:spacing w:before="0" w:after="0" w:line="240" w:lineRule="exact"/>
              <w:jc w:val="left"/>
              <w:rPr>
                <w:rFonts w:ascii="宋体" w:hAnsi="宋体" w:eastAsia="宋体" w:cs="宋体"/>
                <w:sz w:val="18"/>
                <w:szCs w:val="18"/>
              </w:rPr>
            </w:pPr>
            <w:r>
              <w:rPr>
                <w:rFonts w:ascii="宋体" w:hAnsi="宋体" w:eastAsia="宋体" w:cs="宋体"/>
                <w:sz w:val="18"/>
                <w:szCs w:val="18"/>
              </w:rPr>
              <w:t>货币出资</w:t>
            </w:r>
          </w:p>
        </w:tc>
      </w:tr>
      <w:tr w14:paraId="0534B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0A28893">
            <w:pPr>
              <w:spacing w:before="0" w:after="0" w:line="240" w:lineRule="exact"/>
              <w:jc w:val="left"/>
              <w:rPr>
                <w:rFonts w:ascii="宋体" w:hAnsi="宋体" w:eastAsia="宋体" w:cs="宋体"/>
                <w:sz w:val="18"/>
                <w:szCs w:val="18"/>
              </w:rPr>
            </w:pPr>
            <w:r>
              <w:rPr>
                <w:rFonts w:ascii="宋体" w:hAnsi="宋体" w:eastAsia="宋体" w:cs="宋体"/>
                <w:sz w:val="18"/>
                <w:szCs w:val="18"/>
              </w:rPr>
              <w:t>冠昊生物科技（香港）有限公司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3E1D710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6,832,800.00</w:t>
            </w:r>
          </w:p>
        </w:tc>
        <w:tc>
          <w:tcPr>
            <w:tcW w:w="1045" w:type="dxa"/>
            <w:tcBorders>
              <w:top w:val="single" w:color="auto" w:sz="2" w:space="0"/>
              <w:left w:val="single" w:color="auto" w:sz="2" w:space="0"/>
              <w:bottom w:val="single" w:color="auto" w:sz="2" w:space="0"/>
              <w:right w:val="single" w:color="auto" w:sz="2" w:space="0"/>
            </w:tcBorders>
            <w:vAlign w:val="center"/>
          </w:tcPr>
          <w:p w14:paraId="4AA37B2F">
            <w:pPr>
              <w:spacing w:before="0" w:after="0" w:line="240" w:lineRule="exact"/>
              <w:jc w:val="left"/>
              <w:rPr>
                <w:rFonts w:ascii="宋体" w:hAnsi="宋体" w:eastAsia="宋体" w:cs="宋体"/>
                <w:sz w:val="18"/>
                <w:szCs w:val="18"/>
              </w:rPr>
            </w:pPr>
            <w:r>
              <w:rPr>
                <w:rFonts w:ascii="宋体" w:hAnsi="宋体" w:eastAsia="宋体" w:cs="宋体"/>
                <w:sz w:val="18"/>
                <w:szCs w:val="18"/>
              </w:rPr>
              <w:t>香港</w:t>
            </w:r>
          </w:p>
        </w:tc>
        <w:tc>
          <w:tcPr>
            <w:tcW w:w="900" w:type="dxa"/>
            <w:tcBorders>
              <w:top w:val="single" w:color="auto" w:sz="2" w:space="0"/>
              <w:left w:val="single" w:color="auto" w:sz="2" w:space="0"/>
              <w:bottom w:val="single" w:color="auto" w:sz="2" w:space="0"/>
              <w:right w:val="single" w:color="auto" w:sz="2" w:space="0"/>
            </w:tcBorders>
            <w:vAlign w:val="center"/>
          </w:tcPr>
          <w:p w14:paraId="5FCCDB3D">
            <w:pPr>
              <w:spacing w:before="0" w:after="0" w:line="240" w:lineRule="exact"/>
              <w:jc w:val="left"/>
              <w:rPr>
                <w:rFonts w:ascii="宋体" w:hAnsi="宋体" w:eastAsia="宋体" w:cs="宋体"/>
                <w:sz w:val="18"/>
                <w:szCs w:val="18"/>
              </w:rPr>
            </w:pPr>
            <w:r>
              <w:rPr>
                <w:rFonts w:ascii="宋体" w:hAnsi="宋体" w:eastAsia="宋体" w:cs="宋体"/>
                <w:sz w:val="18"/>
                <w:szCs w:val="18"/>
              </w:rPr>
              <w:t>香港</w:t>
            </w:r>
          </w:p>
        </w:tc>
        <w:tc>
          <w:tcPr>
            <w:tcW w:w="1588" w:type="dxa"/>
            <w:tcBorders>
              <w:top w:val="single" w:color="auto" w:sz="2" w:space="0"/>
              <w:left w:val="single" w:color="auto" w:sz="2" w:space="0"/>
              <w:bottom w:val="single" w:color="auto" w:sz="2" w:space="0"/>
              <w:right w:val="single" w:color="auto" w:sz="2" w:space="0"/>
            </w:tcBorders>
            <w:vAlign w:val="center"/>
          </w:tcPr>
          <w:p w14:paraId="274BD941">
            <w:pPr>
              <w:spacing w:before="0" w:after="0" w:line="240" w:lineRule="exact"/>
              <w:jc w:val="left"/>
              <w:rPr>
                <w:rFonts w:ascii="宋体" w:hAnsi="宋体" w:eastAsia="宋体" w:cs="宋体"/>
                <w:sz w:val="18"/>
                <w:szCs w:val="18"/>
              </w:rPr>
            </w:pPr>
            <w:r>
              <w:rPr>
                <w:rFonts w:ascii="宋体" w:hAnsi="宋体" w:eastAsia="宋体" w:cs="宋体"/>
                <w:sz w:val="18"/>
                <w:szCs w:val="18"/>
              </w:rPr>
              <w:t>研发及销售商品</w:t>
            </w:r>
          </w:p>
        </w:tc>
        <w:tc>
          <w:tcPr>
            <w:tcW w:w="1189" w:type="dxa"/>
            <w:tcBorders>
              <w:top w:val="single" w:color="auto" w:sz="2" w:space="0"/>
              <w:left w:val="single" w:color="auto" w:sz="2" w:space="0"/>
              <w:bottom w:val="single" w:color="auto" w:sz="2" w:space="0"/>
              <w:right w:val="single" w:color="auto" w:sz="2" w:space="0"/>
            </w:tcBorders>
            <w:vAlign w:val="center"/>
          </w:tcPr>
          <w:p w14:paraId="357F8B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037" w:type="dxa"/>
            <w:tcBorders>
              <w:top w:val="single" w:color="auto" w:sz="2" w:space="0"/>
              <w:left w:val="single" w:color="auto" w:sz="2" w:space="0"/>
              <w:bottom w:val="single" w:color="auto" w:sz="2" w:space="0"/>
              <w:right w:val="single" w:color="auto" w:sz="2" w:space="0"/>
            </w:tcBorders>
            <w:vAlign w:val="center"/>
          </w:tcPr>
          <w:p w14:paraId="31F197C2">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184ADFB">
            <w:pPr>
              <w:spacing w:before="0" w:after="0" w:line="240" w:lineRule="exact"/>
              <w:jc w:val="left"/>
              <w:rPr>
                <w:rFonts w:ascii="宋体" w:hAnsi="宋体" w:eastAsia="宋体" w:cs="宋体"/>
                <w:sz w:val="18"/>
                <w:szCs w:val="18"/>
              </w:rPr>
            </w:pPr>
            <w:r>
              <w:rPr>
                <w:rFonts w:ascii="宋体" w:hAnsi="宋体" w:eastAsia="宋体" w:cs="宋体"/>
                <w:sz w:val="18"/>
                <w:szCs w:val="18"/>
              </w:rPr>
              <w:t>货币出资</w:t>
            </w:r>
          </w:p>
        </w:tc>
      </w:tr>
      <w:tr w14:paraId="6693B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0263A7C">
            <w:pPr>
              <w:spacing w:before="0" w:after="0" w:line="240" w:lineRule="exact"/>
              <w:jc w:val="left"/>
              <w:rPr>
                <w:rFonts w:ascii="宋体" w:hAnsi="宋体" w:eastAsia="宋体" w:cs="宋体"/>
                <w:sz w:val="18"/>
                <w:szCs w:val="18"/>
              </w:rPr>
            </w:pPr>
            <w:r>
              <w:rPr>
                <w:rFonts w:ascii="宋体" w:hAnsi="宋体" w:eastAsia="宋体" w:cs="宋体"/>
                <w:sz w:val="18"/>
                <w:szCs w:val="18"/>
              </w:rPr>
              <w:t>冠昊生命健康科技园有限公司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354CF5C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85,000,000.</w:t>
            </w:r>
            <w:r>
              <w:rPr>
                <w:rFonts w:hint="eastAsia" w:cs="Times New Roman"/>
                <w:sz w:val="18"/>
                <w:szCs w:val="18"/>
                <w:lang w:val="en-US" w:eastAsia="zh-CN"/>
              </w:rPr>
              <w:t>0</w:t>
            </w:r>
            <w:bookmarkStart w:id="471" w:name="_GoBack"/>
            <w:bookmarkEnd w:id="471"/>
            <w:r>
              <w:rPr>
                <w:rFonts w:hint="default" w:ascii="Times New Roman" w:hAnsi="Times New Roman" w:eastAsia="宋体" w:cs="Times New Roman"/>
                <w:sz w:val="18"/>
                <w:szCs w:val="18"/>
              </w:rPr>
              <w:t>0</w:t>
            </w:r>
          </w:p>
        </w:tc>
        <w:tc>
          <w:tcPr>
            <w:tcW w:w="1045" w:type="dxa"/>
            <w:tcBorders>
              <w:top w:val="single" w:color="auto" w:sz="2" w:space="0"/>
              <w:left w:val="single" w:color="auto" w:sz="2" w:space="0"/>
              <w:bottom w:val="single" w:color="auto" w:sz="2" w:space="0"/>
              <w:right w:val="single" w:color="auto" w:sz="2" w:space="0"/>
            </w:tcBorders>
            <w:vAlign w:val="center"/>
          </w:tcPr>
          <w:p w14:paraId="5A8FA239">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900" w:type="dxa"/>
            <w:tcBorders>
              <w:top w:val="single" w:color="auto" w:sz="2" w:space="0"/>
              <w:left w:val="single" w:color="auto" w:sz="2" w:space="0"/>
              <w:bottom w:val="single" w:color="auto" w:sz="2" w:space="0"/>
              <w:right w:val="single" w:color="auto" w:sz="2" w:space="0"/>
            </w:tcBorders>
            <w:vAlign w:val="center"/>
          </w:tcPr>
          <w:p w14:paraId="60BFB108">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1588" w:type="dxa"/>
            <w:tcBorders>
              <w:top w:val="single" w:color="auto" w:sz="2" w:space="0"/>
              <w:left w:val="single" w:color="auto" w:sz="2" w:space="0"/>
              <w:bottom w:val="single" w:color="auto" w:sz="2" w:space="0"/>
              <w:right w:val="single" w:color="auto" w:sz="2" w:space="0"/>
            </w:tcBorders>
            <w:vAlign w:val="center"/>
          </w:tcPr>
          <w:p w14:paraId="00AFA5DB">
            <w:pPr>
              <w:spacing w:before="0" w:after="0" w:line="240" w:lineRule="exact"/>
              <w:jc w:val="left"/>
              <w:rPr>
                <w:rFonts w:ascii="宋体" w:hAnsi="宋体" w:eastAsia="宋体" w:cs="宋体"/>
                <w:sz w:val="18"/>
                <w:szCs w:val="18"/>
              </w:rPr>
            </w:pPr>
            <w:r>
              <w:rPr>
                <w:rFonts w:ascii="宋体" w:hAnsi="宋体" w:eastAsia="宋体" w:cs="宋体"/>
                <w:sz w:val="18"/>
                <w:szCs w:val="18"/>
              </w:rPr>
              <w:t>技术推广及科技中介</w:t>
            </w:r>
          </w:p>
        </w:tc>
        <w:tc>
          <w:tcPr>
            <w:tcW w:w="1189" w:type="dxa"/>
            <w:tcBorders>
              <w:top w:val="single" w:color="auto" w:sz="2" w:space="0"/>
              <w:left w:val="single" w:color="auto" w:sz="2" w:space="0"/>
              <w:bottom w:val="single" w:color="auto" w:sz="2" w:space="0"/>
              <w:right w:val="single" w:color="auto" w:sz="2" w:space="0"/>
            </w:tcBorders>
            <w:vAlign w:val="center"/>
          </w:tcPr>
          <w:p w14:paraId="331B8E5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037" w:type="dxa"/>
            <w:tcBorders>
              <w:top w:val="single" w:color="auto" w:sz="2" w:space="0"/>
              <w:left w:val="single" w:color="auto" w:sz="2" w:space="0"/>
              <w:bottom w:val="single" w:color="auto" w:sz="2" w:space="0"/>
              <w:right w:val="single" w:color="auto" w:sz="2" w:space="0"/>
            </w:tcBorders>
            <w:vAlign w:val="center"/>
          </w:tcPr>
          <w:p w14:paraId="762FE4B9">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3DC253C">
            <w:pPr>
              <w:spacing w:before="0" w:after="0" w:line="240" w:lineRule="exact"/>
              <w:jc w:val="left"/>
              <w:rPr>
                <w:rFonts w:ascii="宋体" w:hAnsi="宋体" w:eastAsia="宋体" w:cs="宋体"/>
                <w:sz w:val="18"/>
                <w:szCs w:val="18"/>
              </w:rPr>
            </w:pPr>
            <w:r>
              <w:rPr>
                <w:rFonts w:ascii="宋体" w:hAnsi="宋体" w:eastAsia="宋体" w:cs="宋体"/>
                <w:sz w:val="18"/>
                <w:szCs w:val="18"/>
              </w:rPr>
              <w:t>货币出资</w:t>
            </w:r>
          </w:p>
        </w:tc>
      </w:tr>
      <w:tr w14:paraId="2DC3D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57970E2">
            <w:pPr>
              <w:spacing w:before="0" w:after="0" w:line="240" w:lineRule="exact"/>
              <w:jc w:val="left"/>
              <w:rPr>
                <w:rFonts w:ascii="宋体" w:hAnsi="宋体" w:eastAsia="宋体" w:cs="宋体"/>
                <w:sz w:val="18"/>
                <w:szCs w:val="18"/>
              </w:rPr>
            </w:pPr>
            <w:r>
              <w:rPr>
                <w:rFonts w:ascii="宋体" w:hAnsi="宋体" w:eastAsia="宋体" w:cs="宋体"/>
                <w:sz w:val="18"/>
                <w:szCs w:val="18"/>
              </w:rPr>
              <w:t>广东冠昊再生医学科技开发有限公司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45BB835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140,000,020.00</w:t>
            </w:r>
          </w:p>
        </w:tc>
        <w:tc>
          <w:tcPr>
            <w:tcW w:w="1045" w:type="dxa"/>
            <w:tcBorders>
              <w:top w:val="single" w:color="auto" w:sz="2" w:space="0"/>
              <w:left w:val="single" w:color="auto" w:sz="2" w:space="0"/>
              <w:bottom w:val="single" w:color="auto" w:sz="2" w:space="0"/>
              <w:right w:val="single" w:color="auto" w:sz="2" w:space="0"/>
            </w:tcBorders>
            <w:vAlign w:val="center"/>
          </w:tcPr>
          <w:p w14:paraId="29BB2275">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900" w:type="dxa"/>
            <w:tcBorders>
              <w:top w:val="single" w:color="auto" w:sz="2" w:space="0"/>
              <w:left w:val="single" w:color="auto" w:sz="2" w:space="0"/>
              <w:bottom w:val="single" w:color="auto" w:sz="2" w:space="0"/>
              <w:right w:val="single" w:color="auto" w:sz="2" w:space="0"/>
            </w:tcBorders>
            <w:vAlign w:val="center"/>
          </w:tcPr>
          <w:p w14:paraId="3FA5A516">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1588" w:type="dxa"/>
            <w:tcBorders>
              <w:top w:val="single" w:color="auto" w:sz="2" w:space="0"/>
              <w:left w:val="single" w:color="auto" w:sz="2" w:space="0"/>
              <w:bottom w:val="single" w:color="auto" w:sz="2" w:space="0"/>
              <w:right w:val="single" w:color="auto" w:sz="2" w:space="0"/>
            </w:tcBorders>
            <w:vAlign w:val="center"/>
          </w:tcPr>
          <w:p w14:paraId="249D2AB4">
            <w:pPr>
              <w:spacing w:before="0" w:after="0" w:line="240" w:lineRule="exact"/>
              <w:jc w:val="left"/>
              <w:rPr>
                <w:rFonts w:ascii="宋体" w:hAnsi="宋体" w:eastAsia="宋体" w:cs="宋体"/>
                <w:sz w:val="18"/>
                <w:szCs w:val="18"/>
              </w:rPr>
            </w:pPr>
            <w:r>
              <w:rPr>
                <w:rFonts w:ascii="宋体" w:hAnsi="宋体" w:eastAsia="宋体" w:cs="宋体"/>
                <w:sz w:val="18"/>
                <w:szCs w:val="18"/>
              </w:rPr>
              <w:t>研究和实验发展</w:t>
            </w:r>
          </w:p>
        </w:tc>
        <w:tc>
          <w:tcPr>
            <w:tcW w:w="1189" w:type="dxa"/>
            <w:tcBorders>
              <w:top w:val="single" w:color="auto" w:sz="2" w:space="0"/>
              <w:left w:val="single" w:color="auto" w:sz="2" w:space="0"/>
              <w:bottom w:val="single" w:color="auto" w:sz="2" w:space="0"/>
              <w:right w:val="single" w:color="auto" w:sz="2" w:space="0"/>
            </w:tcBorders>
            <w:vAlign w:val="center"/>
          </w:tcPr>
          <w:p w14:paraId="3D8C890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037" w:type="dxa"/>
            <w:tcBorders>
              <w:top w:val="single" w:color="auto" w:sz="2" w:space="0"/>
              <w:left w:val="single" w:color="auto" w:sz="2" w:space="0"/>
              <w:bottom w:val="single" w:color="auto" w:sz="2" w:space="0"/>
              <w:right w:val="single" w:color="auto" w:sz="2" w:space="0"/>
            </w:tcBorders>
            <w:vAlign w:val="center"/>
          </w:tcPr>
          <w:p w14:paraId="353E402F">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2680D24">
            <w:pPr>
              <w:spacing w:before="0" w:after="0" w:line="240" w:lineRule="exact"/>
              <w:jc w:val="left"/>
              <w:rPr>
                <w:rFonts w:ascii="宋体" w:hAnsi="宋体" w:eastAsia="宋体" w:cs="宋体"/>
                <w:sz w:val="18"/>
                <w:szCs w:val="18"/>
              </w:rPr>
            </w:pPr>
            <w:r>
              <w:rPr>
                <w:rFonts w:ascii="宋体" w:hAnsi="宋体" w:eastAsia="宋体" w:cs="宋体"/>
                <w:sz w:val="18"/>
                <w:szCs w:val="18"/>
              </w:rPr>
              <w:t>货币出资</w:t>
            </w:r>
          </w:p>
        </w:tc>
      </w:tr>
      <w:tr w14:paraId="70F04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6B3FE89">
            <w:pPr>
              <w:spacing w:before="0" w:after="0" w:line="240" w:lineRule="exact"/>
              <w:jc w:val="left"/>
              <w:rPr>
                <w:rFonts w:ascii="宋体" w:hAnsi="宋体" w:eastAsia="宋体" w:cs="宋体"/>
                <w:sz w:val="18"/>
                <w:szCs w:val="18"/>
              </w:rPr>
            </w:pPr>
            <w:r>
              <w:rPr>
                <w:rFonts w:ascii="宋体" w:hAnsi="宋体" w:eastAsia="宋体" w:cs="宋体"/>
                <w:sz w:val="18"/>
                <w:szCs w:val="18"/>
              </w:rPr>
              <w:t>广东冠昊生物医用材料开发有限公司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262A30F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10,000,000.00</w:t>
            </w:r>
          </w:p>
        </w:tc>
        <w:tc>
          <w:tcPr>
            <w:tcW w:w="1045" w:type="dxa"/>
            <w:tcBorders>
              <w:top w:val="single" w:color="auto" w:sz="2" w:space="0"/>
              <w:left w:val="single" w:color="auto" w:sz="2" w:space="0"/>
              <w:bottom w:val="single" w:color="auto" w:sz="2" w:space="0"/>
              <w:right w:val="single" w:color="auto" w:sz="2" w:space="0"/>
            </w:tcBorders>
            <w:vAlign w:val="center"/>
          </w:tcPr>
          <w:p w14:paraId="46E6684F">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900" w:type="dxa"/>
            <w:tcBorders>
              <w:top w:val="single" w:color="auto" w:sz="2" w:space="0"/>
              <w:left w:val="single" w:color="auto" w:sz="2" w:space="0"/>
              <w:bottom w:val="single" w:color="auto" w:sz="2" w:space="0"/>
              <w:right w:val="single" w:color="auto" w:sz="2" w:space="0"/>
            </w:tcBorders>
            <w:vAlign w:val="center"/>
          </w:tcPr>
          <w:p w14:paraId="42678F4B">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1588" w:type="dxa"/>
            <w:tcBorders>
              <w:top w:val="single" w:color="auto" w:sz="2" w:space="0"/>
              <w:left w:val="single" w:color="auto" w:sz="2" w:space="0"/>
              <w:bottom w:val="single" w:color="auto" w:sz="2" w:space="0"/>
              <w:right w:val="single" w:color="auto" w:sz="2" w:space="0"/>
            </w:tcBorders>
            <w:vAlign w:val="center"/>
          </w:tcPr>
          <w:p w14:paraId="0D533E9C">
            <w:pPr>
              <w:spacing w:before="0" w:after="0" w:line="240" w:lineRule="exact"/>
              <w:jc w:val="left"/>
              <w:rPr>
                <w:rFonts w:ascii="宋体" w:hAnsi="宋体" w:eastAsia="宋体" w:cs="宋体"/>
                <w:sz w:val="18"/>
                <w:szCs w:val="18"/>
              </w:rPr>
            </w:pPr>
            <w:r>
              <w:rPr>
                <w:rFonts w:ascii="宋体" w:hAnsi="宋体" w:eastAsia="宋体" w:cs="宋体"/>
                <w:sz w:val="18"/>
                <w:szCs w:val="18"/>
              </w:rPr>
              <w:t>研究和实验发展</w:t>
            </w:r>
          </w:p>
        </w:tc>
        <w:tc>
          <w:tcPr>
            <w:tcW w:w="1189" w:type="dxa"/>
            <w:tcBorders>
              <w:top w:val="single" w:color="auto" w:sz="2" w:space="0"/>
              <w:left w:val="single" w:color="auto" w:sz="2" w:space="0"/>
              <w:bottom w:val="single" w:color="auto" w:sz="2" w:space="0"/>
              <w:right w:val="single" w:color="auto" w:sz="2" w:space="0"/>
            </w:tcBorders>
            <w:vAlign w:val="center"/>
          </w:tcPr>
          <w:p w14:paraId="54603F5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037" w:type="dxa"/>
            <w:tcBorders>
              <w:top w:val="single" w:color="auto" w:sz="2" w:space="0"/>
              <w:left w:val="single" w:color="auto" w:sz="2" w:space="0"/>
              <w:bottom w:val="single" w:color="auto" w:sz="2" w:space="0"/>
              <w:right w:val="single" w:color="auto" w:sz="2" w:space="0"/>
            </w:tcBorders>
            <w:vAlign w:val="center"/>
          </w:tcPr>
          <w:p w14:paraId="30139F74">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103C133">
            <w:pPr>
              <w:spacing w:before="0" w:after="0" w:line="240" w:lineRule="exact"/>
              <w:jc w:val="left"/>
              <w:rPr>
                <w:rFonts w:ascii="宋体" w:hAnsi="宋体" w:eastAsia="宋体" w:cs="宋体"/>
                <w:sz w:val="18"/>
                <w:szCs w:val="18"/>
              </w:rPr>
            </w:pPr>
            <w:r>
              <w:rPr>
                <w:rFonts w:ascii="宋体" w:hAnsi="宋体" w:eastAsia="宋体" w:cs="宋体"/>
                <w:sz w:val="18"/>
                <w:szCs w:val="18"/>
              </w:rPr>
              <w:t>货币出资</w:t>
            </w:r>
          </w:p>
        </w:tc>
      </w:tr>
      <w:tr w14:paraId="2D325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6B599CC">
            <w:pPr>
              <w:spacing w:before="0" w:after="0" w:line="240" w:lineRule="exact"/>
              <w:jc w:val="left"/>
              <w:rPr>
                <w:rFonts w:ascii="宋体" w:hAnsi="宋体" w:eastAsia="宋体" w:cs="宋体"/>
                <w:sz w:val="18"/>
                <w:szCs w:val="18"/>
              </w:rPr>
            </w:pPr>
            <w:r>
              <w:rPr>
                <w:rFonts w:ascii="宋体" w:hAnsi="宋体" w:eastAsia="宋体" w:cs="宋体"/>
                <w:sz w:val="18"/>
                <w:szCs w:val="18"/>
              </w:rPr>
              <w:t>杭州明兴生物科技有限公司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1F017E1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10,000,000.00</w:t>
            </w:r>
          </w:p>
        </w:tc>
        <w:tc>
          <w:tcPr>
            <w:tcW w:w="1045" w:type="dxa"/>
            <w:tcBorders>
              <w:top w:val="single" w:color="auto" w:sz="2" w:space="0"/>
              <w:left w:val="single" w:color="auto" w:sz="2" w:space="0"/>
              <w:bottom w:val="single" w:color="auto" w:sz="2" w:space="0"/>
              <w:right w:val="single" w:color="auto" w:sz="2" w:space="0"/>
            </w:tcBorders>
            <w:vAlign w:val="center"/>
          </w:tcPr>
          <w:p w14:paraId="52362888">
            <w:pPr>
              <w:spacing w:before="0" w:after="0" w:line="240" w:lineRule="exact"/>
              <w:jc w:val="left"/>
              <w:rPr>
                <w:rFonts w:ascii="宋体" w:hAnsi="宋体" w:eastAsia="宋体" w:cs="宋体"/>
                <w:sz w:val="18"/>
                <w:szCs w:val="18"/>
              </w:rPr>
            </w:pPr>
            <w:r>
              <w:rPr>
                <w:rFonts w:ascii="宋体" w:hAnsi="宋体" w:eastAsia="宋体" w:cs="宋体"/>
                <w:sz w:val="18"/>
                <w:szCs w:val="18"/>
              </w:rPr>
              <w:t>杭州</w:t>
            </w:r>
          </w:p>
        </w:tc>
        <w:tc>
          <w:tcPr>
            <w:tcW w:w="900" w:type="dxa"/>
            <w:tcBorders>
              <w:top w:val="single" w:color="auto" w:sz="2" w:space="0"/>
              <w:left w:val="single" w:color="auto" w:sz="2" w:space="0"/>
              <w:bottom w:val="single" w:color="auto" w:sz="2" w:space="0"/>
              <w:right w:val="single" w:color="auto" w:sz="2" w:space="0"/>
            </w:tcBorders>
            <w:vAlign w:val="center"/>
          </w:tcPr>
          <w:p w14:paraId="07200CDA">
            <w:pPr>
              <w:spacing w:before="0" w:after="0" w:line="240" w:lineRule="exact"/>
              <w:jc w:val="left"/>
              <w:rPr>
                <w:rFonts w:ascii="宋体" w:hAnsi="宋体" w:eastAsia="宋体" w:cs="宋体"/>
                <w:sz w:val="18"/>
                <w:szCs w:val="18"/>
              </w:rPr>
            </w:pPr>
            <w:r>
              <w:rPr>
                <w:rFonts w:ascii="宋体" w:hAnsi="宋体" w:eastAsia="宋体" w:cs="宋体"/>
                <w:sz w:val="18"/>
                <w:szCs w:val="18"/>
              </w:rPr>
              <w:t>杭州</w:t>
            </w:r>
          </w:p>
        </w:tc>
        <w:tc>
          <w:tcPr>
            <w:tcW w:w="1588" w:type="dxa"/>
            <w:tcBorders>
              <w:top w:val="single" w:color="auto" w:sz="2" w:space="0"/>
              <w:left w:val="single" w:color="auto" w:sz="2" w:space="0"/>
              <w:bottom w:val="single" w:color="auto" w:sz="2" w:space="0"/>
              <w:right w:val="single" w:color="auto" w:sz="2" w:space="0"/>
            </w:tcBorders>
            <w:vAlign w:val="center"/>
          </w:tcPr>
          <w:p w14:paraId="4586E2C7">
            <w:pPr>
              <w:spacing w:before="0" w:after="0" w:line="240" w:lineRule="exact"/>
              <w:jc w:val="left"/>
              <w:rPr>
                <w:rFonts w:ascii="宋体" w:hAnsi="宋体" w:eastAsia="宋体" w:cs="宋体"/>
                <w:sz w:val="18"/>
                <w:szCs w:val="18"/>
              </w:rPr>
            </w:pPr>
            <w:r>
              <w:rPr>
                <w:rFonts w:ascii="宋体" w:hAnsi="宋体" w:eastAsia="宋体" w:cs="宋体"/>
                <w:sz w:val="18"/>
                <w:szCs w:val="18"/>
              </w:rPr>
              <w:t>技术开发、技术服务、技术咨询</w:t>
            </w:r>
          </w:p>
        </w:tc>
        <w:tc>
          <w:tcPr>
            <w:tcW w:w="1189" w:type="dxa"/>
            <w:tcBorders>
              <w:top w:val="single" w:color="auto" w:sz="2" w:space="0"/>
              <w:left w:val="single" w:color="auto" w:sz="2" w:space="0"/>
              <w:bottom w:val="single" w:color="auto" w:sz="2" w:space="0"/>
              <w:right w:val="single" w:color="auto" w:sz="2" w:space="0"/>
            </w:tcBorders>
            <w:vAlign w:val="center"/>
          </w:tcPr>
          <w:p w14:paraId="4B1799C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80.00%</w:t>
            </w:r>
          </w:p>
        </w:tc>
        <w:tc>
          <w:tcPr>
            <w:tcW w:w="1037" w:type="dxa"/>
            <w:tcBorders>
              <w:top w:val="single" w:color="auto" w:sz="2" w:space="0"/>
              <w:left w:val="single" w:color="auto" w:sz="2" w:space="0"/>
              <w:bottom w:val="single" w:color="auto" w:sz="2" w:space="0"/>
              <w:right w:val="single" w:color="auto" w:sz="2" w:space="0"/>
            </w:tcBorders>
            <w:vAlign w:val="center"/>
          </w:tcPr>
          <w:p w14:paraId="7E55AD52">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2557B39">
            <w:pPr>
              <w:spacing w:before="0" w:after="0" w:line="240" w:lineRule="exact"/>
              <w:jc w:val="left"/>
              <w:rPr>
                <w:rFonts w:ascii="宋体" w:hAnsi="宋体" w:eastAsia="宋体" w:cs="宋体"/>
                <w:sz w:val="18"/>
                <w:szCs w:val="18"/>
              </w:rPr>
            </w:pPr>
            <w:r>
              <w:rPr>
                <w:rFonts w:ascii="宋体" w:hAnsi="宋体" w:eastAsia="宋体" w:cs="宋体"/>
                <w:sz w:val="18"/>
                <w:szCs w:val="18"/>
              </w:rPr>
              <w:t>股权收购</w:t>
            </w:r>
          </w:p>
        </w:tc>
      </w:tr>
      <w:tr w14:paraId="27976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4F60F88">
            <w:pPr>
              <w:spacing w:before="0" w:after="0" w:line="240" w:lineRule="exact"/>
              <w:jc w:val="left"/>
              <w:rPr>
                <w:rFonts w:ascii="宋体" w:hAnsi="宋体" w:eastAsia="宋体" w:cs="宋体"/>
                <w:sz w:val="18"/>
                <w:szCs w:val="18"/>
              </w:rPr>
            </w:pPr>
            <w:r>
              <w:rPr>
                <w:rFonts w:ascii="宋体" w:hAnsi="宋体" w:eastAsia="宋体" w:cs="宋体"/>
                <w:sz w:val="18"/>
                <w:szCs w:val="18"/>
              </w:rPr>
              <w:t>北京申佑医学研究有限公司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5601C6F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6,000,000.00</w:t>
            </w:r>
          </w:p>
        </w:tc>
        <w:tc>
          <w:tcPr>
            <w:tcW w:w="1045" w:type="dxa"/>
            <w:tcBorders>
              <w:top w:val="single" w:color="auto" w:sz="2" w:space="0"/>
              <w:left w:val="single" w:color="auto" w:sz="2" w:space="0"/>
              <w:bottom w:val="single" w:color="auto" w:sz="2" w:space="0"/>
              <w:right w:val="single" w:color="auto" w:sz="2" w:space="0"/>
            </w:tcBorders>
            <w:vAlign w:val="center"/>
          </w:tcPr>
          <w:p w14:paraId="232566CA">
            <w:pPr>
              <w:spacing w:before="0" w:after="0" w:line="240" w:lineRule="exact"/>
              <w:jc w:val="left"/>
              <w:rPr>
                <w:rFonts w:ascii="宋体" w:hAnsi="宋体" w:eastAsia="宋体" w:cs="宋体"/>
                <w:sz w:val="18"/>
                <w:szCs w:val="18"/>
              </w:rPr>
            </w:pPr>
            <w:r>
              <w:rPr>
                <w:rFonts w:ascii="宋体" w:hAnsi="宋体" w:eastAsia="宋体" w:cs="宋体"/>
                <w:sz w:val="18"/>
                <w:szCs w:val="18"/>
              </w:rPr>
              <w:t>北京</w:t>
            </w:r>
          </w:p>
        </w:tc>
        <w:tc>
          <w:tcPr>
            <w:tcW w:w="900" w:type="dxa"/>
            <w:tcBorders>
              <w:top w:val="single" w:color="auto" w:sz="2" w:space="0"/>
              <w:left w:val="single" w:color="auto" w:sz="2" w:space="0"/>
              <w:bottom w:val="single" w:color="auto" w:sz="2" w:space="0"/>
              <w:right w:val="single" w:color="auto" w:sz="2" w:space="0"/>
            </w:tcBorders>
            <w:vAlign w:val="center"/>
          </w:tcPr>
          <w:p w14:paraId="0E8526CB">
            <w:pPr>
              <w:spacing w:before="0" w:after="0" w:line="240" w:lineRule="exact"/>
              <w:jc w:val="left"/>
              <w:rPr>
                <w:rFonts w:ascii="宋体" w:hAnsi="宋体" w:eastAsia="宋体" w:cs="宋体"/>
                <w:sz w:val="18"/>
                <w:szCs w:val="18"/>
              </w:rPr>
            </w:pPr>
            <w:r>
              <w:rPr>
                <w:rFonts w:ascii="宋体" w:hAnsi="宋体" w:eastAsia="宋体" w:cs="宋体"/>
                <w:sz w:val="18"/>
                <w:szCs w:val="18"/>
              </w:rPr>
              <w:t>北京</w:t>
            </w:r>
          </w:p>
        </w:tc>
        <w:tc>
          <w:tcPr>
            <w:tcW w:w="1588" w:type="dxa"/>
            <w:tcBorders>
              <w:top w:val="single" w:color="auto" w:sz="2" w:space="0"/>
              <w:left w:val="single" w:color="auto" w:sz="2" w:space="0"/>
              <w:bottom w:val="single" w:color="auto" w:sz="2" w:space="0"/>
              <w:right w:val="single" w:color="auto" w:sz="2" w:space="0"/>
            </w:tcBorders>
            <w:vAlign w:val="center"/>
          </w:tcPr>
          <w:p w14:paraId="118B41B2">
            <w:pPr>
              <w:spacing w:before="0" w:after="0" w:line="240" w:lineRule="exact"/>
              <w:jc w:val="left"/>
              <w:rPr>
                <w:rFonts w:ascii="宋体" w:hAnsi="宋体" w:eastAsia="宋体" w:cs="宋体"/>
                <w:sz w:val="18"/>
                <w:szCs w:val="18"/>
              </w:rPr>
            </w:pPr>
            <w:r>
              <w:rPr>
                <w:rFonts w:ascii="宋体" w:hAnsi="宋体" w:eastAsia="宋体" w:cs="宋体"/>
                <w:sz w:val="18"/>
                <w:szCs w:val="18"/>
              </w:rPr>
              <w:t>医学研究与实验发展</w:t>
            </w:r>
          </w:p>
        </w:tc>
        <w:tc>
          <w:tcPr>
            <w:tcW w:w="1189" w:type="dxa"/>
            <w:tcBorders>
              <w:top w:val="single" w:color="auto" w:sz="2" w:space="0"/>
              <w:left w:val="single" w:color="auto" w:sz="2" w:space="0"/>
              <w:bottom w:val="single" w:color="auto" w:sz="2" w:space="0"/>
              <w:right w:val="single" w:color="auto" w:sz="2" w:space="0"/>
            </w:tcBorders>
            <w:vAlign w:val="center"/>
          </w:tcPr>
          <w:p w14:paraId="788C88E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037" w:type="dxa"/>
            <w:tcBorders>
              <w:top w:val="single" w:color="auto" w:sz="2" w:space="0"/>
              <w:left w:val="single" w:color="auto" w:sz="2" w:space="0"/>
              <w:bottom w:val="single" w:color="auto" w:sz="2" w:space="0"/>
              <w:right w:val="single" w:color="auto" w:sz="2" w:space="0"/>
            </w:tcBorders>
            <w:vAlign w:val="center"/>
          </w:tcPr>
          <w:p w14:paraId="2CF466CB">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DC40C91">
            <w:pPr>
              <w:spacing w:before="0" w:after="0" w:line="240" w:lineRule="exact"/>
              <w:jc w:val="left"/>
              <w:rPr>
                <w:rFonts w:ascii="宋体" w:hAnsi="宋体" w:eastAsia="宋体" w:cs="宋体"/>
                <w:sz w:val="18"/>
                <w:szCs w:val="18"/>
              </w:rPr>
            </w:pPr>
            <w:r>
              <w:rPr>
                <w:rFonts w:ascii="宋体" w:hAnsi="宋体" w:eastAsia="宋体" w:cs="宋体"/>
                <w:sz w:val="18"/>
                <w:szCs w:val="18"/>
              </w:rPr>
              <w:t>股权收购</w:t>
            </w:r>
          </w:p>
        </w:tc>
      </w:tr>
      <w:tr w14:paraId="0FA5E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1229DFB">
            <w:pPr>
              <w:spacing w:before="0" w:after="0" w:line="240" w:lineRule="exact"/>
              <w:jc w:val="left"/>
              <w:rPr>
                <w:rFonts w:ascii="宋体" w:hAnsi="宋体" w:eastAsia="宋体" w:cs="宋体"/>
                <w:sz w:val="18"/>
                <w:szCs w:val="18"/>
              </w:rPr>
            </w:pPr>
            <w:r>
              <w:rPr>
                <w:rFonts w:ascii="宋体" w:hAnsi="宋体" w:eastAsia="宋体" w:cs="宋体"/>
                <w:sz w:val="18"/>
                <w:szCs w:val="18"/>
              </w:rPr>
              <w:t>冠昊再生型医用植入器械国家工程实验室有限公司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6C8D4F2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50,000,000.00</w:t>
            </w:r>
          </w:p>
        </w:tc>
        <w:tc>
          <w:tcPr>
            <w:tcW w:w="1045" w:type="dxa"/>
            <w:tcBorders>
              <w:top w:val="single" w:color="auto" w:sz="2" w:space="0"/>
              <w:left w:val="single" w:color="auto" w:sz="2" w:space="0"/>
              <w:bottom w:val="single" w:color="auto" w:sz="2" w:space="0"/>
              <w:right w:val="single" w:color="auto" w:sz="2" w:space="0"/>
            </w:tcBorders>
            <w:vAlign w:val="center"/>
          </w:tcPr>
          <w:p w14:paraId="74E22E48">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900" w:type="dxa"/>
            <w:tcBorders>
              <w:top w:val="single" w:color="auto" w:sz="2" w:space="0"/>
              <w:left w:val="single" w:color="auto" w:sz="2" w:space="0"/>
              <w:bottom w:val="single" w:color="auto" w:sz="2" w:space="0"/>
              <w:right w:val="single" w:color="auto" w:sz="2" w:space="0"/>
            </w:tcBorders>
            <w:vAlign w:val="center"/>
          </w:tcPr>
          <w:p w14:paraId="5B75B4D0">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1588" w:type="dxa"/>
            <w:tcBorders>
              <w:top w:val="single" w:color="auto" w:sz="2" w:space="0"/>
              <w:left w:val="single" w:color="auto" w:sz="2" w:space="0"/>
              <w:bottom w:val="single" w:color="auto" w:sz="2" w:space="0"/>
              <w:right w:val="single" w:color="auto" w:sz="2" w:space="0"/>
            </w:tcBorders>
            <w:vAlign w:val="center"/>
          </w:tcPr>
          <w:p w14:paraId="6C9D61A4">
            <w:pPr>
              <w:spacing w:before="0" w:after="0" w:line="240" w:lineRule="exact"/>
              <w:jc w:val="left"/>
              <w:rPr>
                <w:rFonts w:ascii="宋体" w:hAnsi="宋体" w:eastAsia="宋体" w:cs="宋体"/>
                <w:sz w:val="18"/>
                <w:szCs w:val="18"/>
              </w:rPr>
            </w:pPr>
            <w:r>
              <w:rPr>
                <w:rFonts w:ascii="宋体" w:hAnsi="宋体" w:eastAsia="宋体" w:cs="宋体"/>
                <w:sz w:val="18"/>
                <w:szCs w:val="18"/>
              </w:rPr>
              <w:t>研究和实验发展</w:t>
            </w:r>
          </w:p>
        </w:tc>
        <w:tc>
          <w:tcPr>
            <w:tcW w:w="1189" w:type="dxa"/>
            <w:tcBorders>
              <w:top w:val="single" w:color="auto" w:sz="2" w:space="0"/>
              <w:left w:val="single" w:color="auto" w:sz="2" w:space="0"/>
              <w:bottom w:val="single" w:color="auto" w:sz="2" w:space="0"/>
              <w:right w:val="single" w:color="auto" w:sz="2" w:space="0"/>
            </w:tcBorders>
            <w:vAlign w:val="center"/>
          </w:tcPr>
          <w:p w14:paraId="2FB40EC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037" w:type="dxa"/>
            <w:tcBorders>
              <w:top w:val="single" w:color="auto" w:sz="2" w:space="0"/>
              <w:left w:val="single" w:color="auto" w:sz="2" w:space="0"/>
              <w:bottom w:val="single" w:color="auto" w:sz="2" w:space="0"/>
              <w:right w:val="single" w:color="auto" w:sz="2" w:space="0"/>
            </w:tcBorders>
            <w:vAlign w:val="center"/>
          </w:tcPr>
          <w:p w14:paraId="56CD9D49">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7695E20">
            <w:pPr>
              <w:spacing w:before="0" w:after="0" w:line="240" w:lineRule="exact"/>
              <w:jc w:val="left"/>
              <w:rPr>
                <w:rFonts w:ascii="宋体" w:hAnsi="宋体" w:eastAsia="宋体" w:cs="宋体"/>
                <w:sz w:val="18"/>
                <w:szCs w:val="18"/>
              </w:rPr>
            </w:pPr>
            <w:r>
              <w:rPr>
                <w:rFonts w:ascii="宋体" w:hAnsi="宋体" w:eastAsia="宋体" w:cs="宋体"/>
                <w:sz w:val="18"/>
                <w:szCs w:val="18"/>
              </w:rPr>
              <w:t>尚未出资</w:t>
            </w:r>
          </w:p>
        </w:tc>
      </w:tr>
      <w:tr w14:paraId="2F05A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19C73E8">
            <w:pPr>
              <w:spacing w:before="0" w:after="0" w:line="240" w:lineRule="exact"/>
              <w:jc w:val="left"/>
              <w:rPr>
                <w:rFonts w:ascii="宋体" w:hAnsi="宋体" w:eastAsia="宋体" w:cs="宋体"/>
                <w:sz w:val="18"/>
                <w:szCs w:val="18"/>
              </w:rPr>
            </w:pPr>
            <w:r>
              <w:rPr>
                <w:rFonts w:ascii="宋体" w:hAnsi="宋体" w:eastAsia="宋体" w:cs="宋体"/>
                <w:sz w:val="18"/>
                <w:szCs w:val="18"/>
              </w:rPr>
              <w:t>珠海市祥乐医疗器械有限公司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23E4804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10,000,000.00</w:t>
            </w:r>
          </w:p>
        </w:tc>
        <w:tc>
          <w:tcPr>
            <w:tcW w:w="1045" w:type="dxa"/>
            <w:tcBorders>
              <w:top w:val="single" w:color="auto" w:sz="2" w:space="0"/>
              <w:left w:val="single" w:color="auto" w:sz="2" w:space="0"/>
              <w:bottom w:val="single" w:color="auto" w:sz="2" w:space="0"/>
              <w:right w:val="single" w:color="auto" w:sz="2" w:space="0"/>
            </w:tcBorders>
            <w:vAlign w:val="center"/>
          </w:tcPr>
          <w:p w14:paraId="269BC440">
            <w:pPr>
              <w:spacing w:before="0" w:after="0" w:line="240" w:lineRule="exact"/>
              <w:jc w:val="left"/>
              <w:rPr>
                <w:rFonts w:ascii="宋体" w:hAnsi="宋体" w:eastAsia="宋体" w:cs="宋体"/>
                <w:sz w:val="18"/>
                <w:szCs w:val="18"/>
              </w:rPr>
            </w:pPr>
            <w:r>
              <w:rPr>
                <w:rFonts w:ascii="宋体" w:hAnsi="宋体" w:eastAsia="宋体" w:cs="宋体"/>
                <w:sz w:val="18"/>
                <w:szCs w:val="18"/>
              </w:rPr>
              <w:t>珠海</w:t>
            </w:r>
          </w:p>
        </w:tc>
        <w:tc>
          <w:tcPr>
            <w:tcW w:w="900" w:type="dxa"/>
            <w:tcBorders>
              <w:top w:val="single" w:color="auto" w:sz="2" w:space="0"/>
              <w:left w:val="single" w:color="auto" w:sz="2" w:space="0"/>
              <w:bottom w:val="single" w:color="auto" w:sz="2" w:space="0"/>
              <w:right w:val="single" w:color="auto" w:sz="2" w:space="0"/>
            </w:tcBorders>
            <w:vAlign w:val="center"/>
          </w:tcPr>
          <w:p w14:paraId="5E26FD90">
            <w:pPr>
              <w:spacing w:before="0" w:after="0" w:line="240" w:lineRule="exact"/>
              <w:jc w:val="left"/>
              <w:rPr>
                <w:rFonts w:ascii="宋体" w:hAnsi="宋体" w:eastAsia="宋体" w:cs="宋体"/>
                <w:sz w:val="18"/>
                <w:szCs w:val="18"/>
              </w:rPr>
            </w:pPr>
            <w:r>
              <w:rPr>
                <w:rFonts w:ascii="宋体" w:hAnsi="宋体" w:eastAsia="宋体" w:cs="宋体"/>
                <w:sz w:val="18"/>
                <w:szCs w:val="18"/>
              </w:rPr>
              <w:t>珠海</w:t>
            </w:r>
          </w:p>
        </w:tc>
        <w:tc>
          <w:tcPr>
            <w:tcW w:w="1588" w:type="dxa"/>
            <w:tcBorders>
              <w:top w:val="single" w:color="auto" w:sz="2" w:space="0"/>
              <w:left w:val="single" w:color="auto" w:sz="2" w:space="0"/>
              <w:bottom w:val="single" w:color="auto" w:sz="2" w:space="0"/>
              <w:right w:val="single" w:color="auto" w:sz="2" w:space="0"/>
            </w:tcBorders>
            <w:vAlign w:val="center"/>
          </w:tcPr>
          <w:p w14:paraId="40B2D289">
            <w:pPr>
              <w:spacing w:before="0" w:after="0" w:line="240" w:lineRule="exact"/>
              <w:jc w:val="left"/>
              <w:rPr>
                <w:rFonts w:ascii="宋体" w:hAnsi="宋体" w:eastAsia="宋体" w:cs="宋体"/>
                <w:sz w:val="18"/>
                <w:szCs w:val="18"/>
              </w:rPr>
            </w:pPr>
            <w:r>
              <w:rPr>
                <w:rFonts w:ascii="宋体" w:hAnsi="宋体" w:eastAsia="宋体" w:cs="宋体"/>
                <w:sz w:val="18"/>
                <w:szCs w:val="18"/>
              </w:rPr>
              <w:t>医疗器械销售</w:t>
            </w:r>
          </w:p>
        </w:tc>
        <w:tc>
          <w:tcPr>
            <w:tcW w:w="1189" w:type="dxa"/>
            <w:tcBorders>
              <w:top w:val="single" w:color="auto" w:sz="2" w:space="0"/>
              <w:left w:val="single" w:color="auto" w:sz="2" w:space="0"/>
              <w:bottom w:val="single" w:color="auto" w:sz="2" w:space="0"/>
              <w:right w:val="single" w:color="auto" w:sz="2" w:space="0"/>
            </w:tcBorders>
            <w:vAlign w:val="center"/>
          </w:tcPr>
          <w:p w14:paraId="0D053C5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037" w:type="dxa"/>
            <w:tcBorders>
              <w:top w:val="single" w:color="auto" w:sz="2" w:space="0"/>
              <w:left w:val="single" w:color="auto" w:sz="2" w:space="0"/>
              <w:bottom w:val="single" w:color="auto" w:sz="2" w:space="0"/>
              <w:right w:val="single" w:color="auto" w:sz="2" w:space="0"/>
            </w:tcBorders>
            <w:vAlign w:val="center"/>
          </w:tcPr>
          <w:p w14:paraId="393FB660">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A1BFEE0">
            <w:pPr>
              <w:spacing w:before="0" w:after="0" w:line="240" w:lineRule="exact"/>
              <w:jc w:val="left"/>
              <w:rPr>
                <w:rFonts w:ascii="宋体" w:hAnsi="宋体" w:eastAsia="宋体" w:cs="宋体"/>
                <w:sz w:val="18"/>
                <w:szCs w:val="18"/>
              </w:rPr>
            </w:pPr>
            <w:r>
              <w:rPr>
                <w:rFonts w:ascii="宋体" w:hAnsi="宋体" w:eastAsia="宋体" w:cs="宋体"/>
                <w:sz w:val="18"/>
                <w:szCs w:val="18"/>
              </w:rPr>
              <w:t>股权收购</w:t>
            </w:r>
          </w:p>
        </w:tc>
      </w:tr>
      <w:tr w14:paraId="0A327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ABDB10B">
            <w:pPr>
              <w:spacing w:before="0" w:after="0" w:line="240" w:lineRule="exact"/>
              <w:jc w:val="left"/>
              <w:rPr>
                <w:rFonts w:ascii="宋体" w:hAnsi="宋体" w:eastAsia="宋体" w:cs="宋体"/>
                <w:sz w:val="18"/>
                <w:szCs w:val="18"/>
              </w:rPr>
            </w:pPr>
            <w:r>
              <w:rPr>
                <w:rFonts w:ascii="宋体" w:hAnsi="宋体" w:eastAsia="宋体" w:cs="宋体"/>
                <w:sz w:val="18"/>
                <w:szCs w:val="18"/>
              </w:rPr>
              <w:t>武汉北度生物科技有限公司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79404D2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10,380,693.00</w:t>
            </w:r>
          </w:p>
        </w:tc>
        <w:tc>
          <w:tcPr>
            <w:tcW w:w="1045" w:type="dxa"/>
            <w:tcBorders>
              <w:top w:val="single" w:color="auto" w:sz="2" w:space="0"/>
              <w:left w:val="single" w:color="auto" w:sz="2" w:space="0"/>
              <w:bottom w:val="single" w:color="auto" w:sz="2" w:space="0"/>
              <w:right w:val="single" w:color="auto" w:sz="2" w:space="0"/>
            </w:tcBorders>
            <w:vAlign w:val="center"/>
          </w:tcPr>
          <w:p w14:paraId="25EBEAAE">
            <w:pPr>
              <w:spacing w:before="0" w:after="0" w:line="240" w:lineRule="exact"/>
              <w:jc w:val="left"/>
              <w:rPr>
                <w:rFonts w:ascii="宋体" w:hAnsi="宋体" w:eastAsia="宋体" w:cs="宋体"/>
                <w:sz w:val="18"/>
                <w:szCs w:val="18"/>
              </w:rPr>
            </w:pPr>
            <w:r>
              <w:rPr>
                <w:rFonts w:ascii="宋体" w:hAnsi="宋体" w:eastAsia="宋体" w:cs="宋体"/>
                <w:sz w:val="18"/>
                <w:szCs w:val="18"/>
              </w:rPr>
              <w:t>武汉</w:t>
            </w:r>
          </w:p>
        </w:tc>
        <w:tc>
          <w:tcPr>
            <w:tcW w:w="900" w:type="dxa"/>
            <w:tcBorders>
              <w:top w:val="single" w:color="auto" w:sz="2" w:space="0"/>
              <w:left w:val="single" w:color="auto" w:sz="2" w:space="0"/>
              <w:bottom w:val="single" w:color="auto" w:sz="2" w:space="0"/>
              <w:right w:val="single" w:color="auto" w:sz="2" w:space="0"/>
            </w:tcBorders>
            <w:vAlign w:val="center"/>
          </w:tcPr>
          <w:p w14:paraId="60FB9B35">
            <w:pPr>
              <w:spacing w:before="0" w:after="0" w:line="240" w:lineRule="exact"/>
              <w:jc w:val="left"/>
              <w:rPr>
                <w:rFonts w:ascii="宋体" w:hAnsi="宋体" w:eastAsia="宋体" w:cs="宋体"/>
                <w:sz w:val="18"/>
                <w:szCs w:val="18"/>
              </w:rPr>
            </w:pPr>
            <w:r>
              <w:rPr>
                <w:rFonts w:ascii="宋体" w:hAnsi="宋体" w:eastAsia="宋体" w:cs="宋体"/>
                <w:sz w:val="18"/>
                <w:szCs w:val="18"/>
              </w:rPr>
              <w:t>武汉</w:t>
            </w:r>
          </w:p>
        </w:tc>
        <w:tc>
          <w:tcPr>
            <w:tcW w:w="1588" w:type="dxa"/>
            <w:tcBorders>
              <w:top w:val="single" w:color="auto" w:sz="2" w:space="0"/>
              <w:left w:val="single" w:color="auto" w:sz="2" w:space="0"/>
              <w:bottom w:val="single" w:color="auto" w:sz="2" w:space="0"/>
              <w:right w:val="single" w:color="auto" w:sz="2" w:space="0"/>
            </w:tcBorders>
            <w:vAlign w:val="center"/>
          </w:tcPr>
          <w:p w14:paraId="3C5DD7AE">
            <w:pPr>
              <w:spacing w:before="0" w:after="0" w:line="240" w:lineRule="exact"/>
              <w:jc w:val="left"/>
              <w:rPr>
                <w:rFonts w:ascii="宋体" w:hAnsi="宋体" w:eastAsia="宋体" w:cs="宋体"/>
                <w:sz w:val="18"/>
                <w:szCs w:val="18"/>
              </w:rPr>
            </w:pPr>
            <w:r>
              <w:rPr>
                <w:rFonts w:ascii="宋体" w:hAnsi="宋体" w:eastAsia="宋体" w:cs="宋体"/>
                <w:sz w:val="18"/>
                <w:szCs w:val="18"/>
              </w:rPr>
              <w:t>研发、技术服务与咨询</w:t>
            </w:r>
          </w:p>
        </w:tc>
        <w:tc>
          <w:tcPr>
            <w:tcW w:w="1189" w:type="dxa"/>
            <w:tcBorders>
              <w:top w:val="single" w:color="auto" w:sz="2" w:space="0"/>
              <w:left w:val="single" w:color="auto" w:sz="2" w:space="0"/>
              <w:bottom w:val="single" w:color="auto" w:sz="2" w:space="0"/>
              <w:right w:val="single" w:color="auto" w:sz="2" w:space="0"/>
            </w:tcBorders>
            <w:vAlign w:val="center"/>
          </w:tcPr>
          <w:p w14:paraId="14DC593B">
            <w:pPr>
              <w:spacing w:before="0" w:after="0" w:line="240" w:lineRule="exact"/>
              <w:jc w:val="right"/>
              <w:rPr>
                <w:rFonts w:hint="default" w:ascii="Times New Roman" w:hAnsi="Times New Roman" w:eastAsia="宋体" w:cs="Times New Roman"/>
                <w:sz w:val="18"/>
                <w:szCs w:val="18"/>
              </w:rPr>
            </w:pPr>
          </w:p>
        </w:tc>
        <w:tc>
          <w:tcPr>
            <w:tcW w:w="1037" w:type="dxa"/>
            <w:tcBorders>
              <w:top w:val="single" w:color="auto" w:sz="2" w:space="0"/>
              <w:left w:val="single" w:color="auto" w:sz="2" w:space="0"/>
              <w:bottom w:val="single" w:color="auto" w:sz="2" w:space="0"/>
              <w:right w:val="single" w:color="auto" w:sz="2" w:space="0"/>
            </w:tcBorders>
            <w:vAlign w:val="center"/>
          </w:tcPr>
          <w:p w14:paraId="6A3C0FF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4CE25A5B">
            <w:pPr>
              <w:spacing w:before="0" w:after="0" w:line="240" w:lineRule="exact"/>
              <w:jc w:val="left"/>
              <w:rPr>
                <w:rFonts w:ascii="宋体" w:hAnsi="宋体" w:eastAsia="宋体" w:cs="宋体"/>
                <w:sz w:val="18"/>
                <w:szCs w:val="18"/>
              </w:rPr>
            </w:pPr>
            <w:r>
              <w:rPr>
                <w:rFonts w:ascii="宋体" w:hAnsi="宋体" w:eastAsia="宋体" w:cs="宋体"/>
                <w:sz w:val="18"/>
                <w:szCs w:val="18"/>
              </w:rPr>
              <w:t>股权收购、增资扩股与业绩补偿</w:t>
            </w:r>
          </w:p>
        </w:tc>
      </w:tr>
      <w:tr w14:paraId="13B67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B054B7C">
            <w:pPr>
              <w:spacing w:before="0" w:after="0" w:line="240" w:lineRule="exact"/>
              <w:jc w:val="left"/>
              <w:rPr>
                <w:rFonts w:ascii="宋体" w:hAnsi="宋体" w:eastAsia="宋体" w:cs="宋体"/>
                <w:sz w:val="18"/>
                <w:szCs w:val="18"/>
              </w:rPr>
            </w:pPr>
            <w:r>
              <w:rPr>
                <w:rFonts w:ascii="宋体" w:hAnsi="宋体" w:eastAsia="宋体" w:cs="宋体"/>
                <w:sz w:val="18"/>
                <w:szCs w:val="18"/>
              </w:rPr>
              <w:t>广东昊赛科技企业孵化器有限公司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0A1B30A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10,000,000.00</w:t>
            </w:r>
          </w:p>
        </w:tc>
        <w:tc>
          <w:tcPr>
            <w:tcW w:w="1045" w:type="dxa"/>
            <w:tcBorders>
              <w:top w:val="single" w:color="auto" w:sz="2" w:space="0"/>
              <w:left w:val="single" w:color="auto" w:sz="2" w:space="0"/>
              <w:bottom w:val="single" w:color="auto" w:sz="2" w:space="0"/>
              <w:right w:val="single" w:color="auto" w:sz="2" w:space="0"/>
            </w:tcBorders>
            <w:vAlign w:val="center"/>
          </w:tcPr>
          <w:p w14:paraId="26E5DE45">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900" w:type="dxa"/>
            <w:tcBorders>
              <w:top w:val="single" w:color="auto" w:sz="2" w:space="0"/>
              <w:left w:val="single" w:color="auto" w:sz="2" w:space="0"/>
              <w:bottom w:val="single" w:color="auto" w:sz="2" w:space="0"/>
              <w:right w:val="single" w:color="auto" w:sz="2" w:space="0"/>
            </w:tcBorders>
            <w:vAlign w:val="center"/>
          </w:tcPr>
          <w:p w14:paraId="28693848">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1588" w:type="dxa"/>
            <w:tcBorders>
              <w:top w:val="single" w:color="auto" w:sz="2" w:space="0"/>
              <w:left w:val="single" w:color="auto" w:sz="2" w:space="0"/>
              <w:bottom w:val="single" w:color="auto" w:sz="2" w:space="0"/>
              <w:right w:val="single" w:color="auto" w:sz="2" w:space="0"/>
            </w:tcBorders>
            <w:vAlign w:val="center"/>
          </w:tcPr>
          <w:p w14:paraId="4ACEA88B">
            <w:pPr>
              <w:spacing w:before="0" w:after="0" w:line="240" w:lineRule="exact"/>
              <w:jc w:val="left"/>
              <w:rPr>
                <w:rFonts w:ascii="宋体" w:hAnsi="宋体" w:eastAsia="宋体" w:cs="宋体"/>
                <w:sz w:val="18"/>
                <w:szCs w:val="18"/>
              </w:rPr>
            </w:pPr>
            <w:r>
              <w:rPr>
                <w:rFonts w:ascii="宋体" w:hAnsi="宋体" w:eastAsia="宋体" w:cs="宋体"/>
                <w:sz w:val="18"/>
                <w:szCs w:val="18"/>
              </w:rPr>
              <w:t>生物技术推广与开发服务</w:t>
            </w:r>
          </w:p>
        </w:tc>
        <w:tc>
          <w:tcPr>
            <w:tcW w:w="1189" w:type="dxa"/>
            <w:tcBorders>
              <w:top w:val="single" w:color="auto" w:sz="2" w:space="0"/>
              <w:left w:val="single" w:color="auto" w:sz="2" w:space="0"/>
              <w:bottom w:val="single" w:color="auto" w:sz="2" w:space="0"/>
              <w:right w:val="single" w:color="auto" w:sz="2" w:space="0"/>
            </w:tcBorders>
            <w:vAlign w:val="center"/>
          </w:tcPr>
          <w:p w14:paraId="5A7AD03C">
            <w:pPr>
              <w:spacing w:before="0" w:after="0" w:line="240" w:lineRule="exact"/>
              <w:jc w:val="right"/>
              <w:rPr>
                <w:rFonts w:hint="default" w:ascii="Times New Roman" w:hAnsi="Times New Roman" w:eastAsia="宋体" w:cs="Times New Roman"/>
                <w:sz w:val="18"/>
                <w:szCs w:val="18"/>
              </w:rPr>
            </w:pPr>
          </w:p>
        </w:tc>
        <w:tc>
          <w:tcPr>
            <w:tcW w:w="1037" w:type="dxa"/>
            <w:tcBorders>
              <w:top w:val="single" w:color="auto" w:sz="2" w:space="0"/>
              <w:left w:val="single" w:color="auto" w:sz="2" w:space="0"/>
              <w:bottom w:val="single" w:color="auto" w:sz="2" w:space="0"/>
              <w:right w:val="single" w:color="auto" w:sz="2" w:space="0"/>
            </w:tcBorders>
            <w:vAlign w:val="center"/>
          </w:tcPr>
          <w:p w14:paraId="4329D23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0F09637A">
            <w:pPr>
              <w:spacing w:before="0" w:after="0" w:line="240" w:lineRule="exact"/>
              <w:jc w:val="left"/>
              <w:rPr>
                <w:rFonts w:ascii="宋体" w:hAnsi="宋体" w:eastAsia="宋体" w:cs="宋体"/>
                <w:sz w:val="18"/>
                <w:szCs w:val="18"/>
              </w:rPr>
            </w:pPr>
            <w:r>
              <w:rPr>
                <w:rFonts w:ascii="宋体" w:hAnsi="宋体" w:eastAsia="宋体" w:cs="宋体"/>
                <w:sz w:val="18"/>
                <w:szCs w:val="18"/>
              </w:rPr>
              <w:t>货币出资、未完全出资</w:t>
            </w:r>
          </w:p>
        </w:tc>
      </w:tr>
      <w:tr w14:paraId="26175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07BC5EA">
            <w:pPr>
              <w:spacing w:before="0" w:after="0" w:line="240" w:lineRule="exact"/>
              <w:jc w:val="left"/>
              <w:rPr>
                <w:rFonts w:ascii="宋体" w:hAnsi="宋体" w:eastAsia="宋体" w:cs="宋体"/>
                <w:sz w:val="18"/>
                <w:szCs w:val="18"/>
              </w:rPr>
            </w:pPr>
            <w:r>
              <w:rPr>
                <w:rFonts w:ascii="宋体" w:hAnsi="宋体" w:eastAsia="宋体" w:cs="宋体"/>
                <w:sz w:val="18"/>
                <w:szCs w:val="18"/>
              </w:rPr>
              <w:t>祥乐医药（香港）有限公司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2224CBA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0.81</w:t>
            </w:r>
          </w:p>
        </w:tc>
        <w:tc>
          <w:tcPr>
            <w:tcW w:w="1045" w:type="dxa"/>
            <w:tcBorders>
              <w:top w:val="single" w:color="auto" w:sz="2" w:space="0"/>
              <w:left w:val="single" w:color="auto" w:sz="2" w:space="0"/>
              <w:bottom w:val="single" w:color="auto" w:sz="2" w:space="0"/>
              <w:right w:val="single" w:color="auto" w:sz="2" w:space="0"/>
            </w:tcBorders>
            <w:vAlign w:val="center"/>
          </w:tcPr>
          <w:p w14:paraId="2AA38A15">
            <w:pPr>
              <w:spacing w:before="0" w:after="0" w:line="240" w:lineRule="exact"/>
              <w:jc w:val="left"/>
              <w:rPr>
                <w:rFonts w:ascii="宋体" w:hAnsi="宋体" w:eastAsia="宋体" w:cs="宋体"/>
                <w:sz w:val="18"/>
                <w:szCs w:val="18"/>
              </w:rPr>
            </w:pPr>
            <w:r>
              <w:rPr>
                <w:rFonts w:ascii="宋体" w:hAnsi="宋体" w:eastAsia="宋体" w:cs="宋体"/>
                <w:sz w:val="18"/>
                <w:szCs w:val="18"/>
              </w:rPr>
              <w:t>香港</w:t>
            </w:r>
          </w:p>
        </w:tc>
        <w:tc>
          <w:tcPr>
            <w:tcW w:w="900" w:type="dxa"/>
            <w:tcBorders>
              <w:top w:val="single" w:color="auto" w:sz="2" w:space="0"/>
              <w:left w:val="single" w:color="auto" w:sz="2" w:space="0"/>
              <w:bottom w:val="single" w:color="auto" w:sz="2" w:space="0"/>
              <w:right w:val="single" w:color="auto" w:sz="2" w:space="0"/>
            </w:tcBorders>
            <w:vAlign w:val="center"/>
          </w:tcPr>
          <w:p w14:paraId="721915ED">
            <w:pPr>
              <w:spacing w:before="0" w:after="0" w:line="240" w:lineRule="exact"/>
              <w:jc w:val="left"/>
              <w:rPr>
                <w:rFonts w:ascii="宋体" w:hAnsi="宋体" w:eastAsia="宋体" w:cs="宋体"/>
                <w:sz w:val="18"/>
                <w:szCs w:val="18"/>
              </w:rPr>
            </w:pPr>
            <w:r>
              <w:rPr>
                <w:rFonts w:ascii="宋体" w:hAnsi="宋体" w:eastAsia="宋体" w:cs="宋体"/>
                <w:sz w:val="18"/>
                <w:szCs w:val="18"/>
              </w:rPr>
              <w:t>香港</w:t>
            </w:r>
          </w:p>
        </w:tc>
        <w:tc>
          <w:tcPr>
            <w:tcW w:w="1588" w:type="dxa"/>
            <w:tcBorders>
              <w:top w:val="single" w:color="auto" w:sz="2" w:space="0"/>
              <w:left w:val="single" w:color="auto" w:sz="2" w:space="0"/>
              <w:bottom w:val="single" w:color="auto" w:sz="2" w:space="0"/>
              <w:right w:val="single" w:color="auto" w:sz="2" w:space="0"/>
            </w:tcBorders>
            <w:vAlign w:val="center"/>
          </w:tcPr>
          <w:p w14:paraId="63620396">
            <w:pPr>
              <w:spacing w:before="0" w:after="0" w:line="240" w:lineRule="exact"/>
              <w:jc w:val="left"/>
              <w:rPr>
                <w:rFonts w:ascii="宋体" w:hAnsi="宋体" w:eastAsia="宋体" w:cs="宋体"/>
                <w:sz w:val="18"/>
                <w:szCs w:val="18"/>
              </w:rPr>
            </w:pPr>
            <w:r>
              <w:rPr>
                <w:rFonts w:ascii="宋体" w:hAnsi="宋体" w:eastAsia="宋体" w:cs="宋体"/>
                <w:sz w:val="18"/>
                <w:szCs w:val="18"/>
              </w:rPr>
              <w:t>医疗器械销售</w:t>
            </w:r>
          </w:p>
        </w:tc>
        <w:tc>
          <w:tcPr>
            <w:tcW w:w="1189" w:type="dxa"/>
            <w:tcBorders>
              <w:top w:val="single" w:color="auto" w:sz="2" w:space="0"/>
              <w:left w:val="single" w:color="auto" w:sz="2" w:space="0"/>
              <w:bottom w:val="single" w:color="auto" w:sz="2" w:space="0"/>
              <w:right w:val="single" w:color="auto" w:sz="2" w:space="0"/>
            </w:tcBorders>
            <w:vAlign w:val="center"/>
          </w:tcPr>
          <w:p w14:paraId="284A7077">
            <w:pPr>
              <w:spacing w:before="0" w:after="0" w:line="240" w:lineRule="exact"/>
              <w:jc w:val="right"/>
              <w:rPr>
                <w:rFonts w:hint="default" w:ascii="Times New Roman" w:hAnsi="Times New Roman" w:eastAsia="宋体" w:cs="Times New Roman"/>
                <w:sz w:val="18"/>
                <w:szCs w:val="18"/>
              </w:rPr>
            </w:pPr>
          </w:p>
        </w:tc>
        <w:tc>
          <w:tcPr>
            <w:tcW w:w="1037" w:type="dxa"/>
            <w:tcBorders>
              <w:top w:val="single" w:color="auto" w:sz="2" w:space="0"/>
              <w:left w:val="single" w:color="auto" w:sz="2" w:space="0"/>
              <w:bottom w:val="single" w:color="auto" w:sz="2" w:space="0"/>
              <w:right w:val="single" w:color="auto" w:sz="2" w:space="0"/>
            </w:tcBorders>
            <w:vAlign w:val="center"/>
          </w:tcPr>
          <w:p w14:paraId="108125C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5E2A19CC">
            <w:pPr>
              <w:spacing w:before="0" w:after="0" w:line="240" w:lineRule="exact"/>
              <w:jc w:val="left"/>
              <w:rPr>
                <w:rFonts w:ascii="宋体" w:hAnsi="宋体" w:eastAsia="宋体" w:cs="宋体"/>
                <w:sz w:val="18"/>
                <w:szCs w:val="18"/>
              </w:rPr>
            </w:pPr>
            <w:r>
              <w:rPr>
                <w:rFonts w:ascii="宋体" w:hAnsi="宋体" w:eastAsia="宋体" w:cs="宋体"/>
                <w:sz w:val="18"/>
                <w:szCs w:val="18"/>
              </w:rPr>
              <w:t>股权收购</w:t>
            </w:r>
          </w:p>
        </w:tc>
      </w:tr>
      <w:tr w14:paraId="20A86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00BDB9C">
            <w:pPr>
              <w:spacing w:before="0" w:after="0" w:line="240" w:lineRule="exact"/>
              <w:jc w:val="left"/>
              <w:rPr>
                <w:rFonts w:ascii="宋体" w:hAnsi="宋体" w:eastAsia="宋体" w:cs="宋体"/>
                <w:sz w:val="18"/>
                <w:szCs w:val="18"/>
              </w:rPr>
            </w:pPr>
            <w:r>
              <w:rPr>
                <w:rFonts w:ascii="宋体" w:hAnsi="宋体" w:eastAsia="宋体" w:cs="宋体"/>
                <w:sz w:val="18"/>
                <w:szCs w:val="18"/>
              </w:rPr>
              <w:t>耀昌国际贸易有限公司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0DFD175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0.79</w:t>
            </w:r>
          </w:p>
        </w:tc>
        <w:tc>
          <w:tcPr>
            <w:tcW w:w="1045" w:type="dxa"/>
            <w:tcBorders>
              <w:top w:val="single" w:color="auto" w:sz="2" w:space="0"/>
              <w:left w:val="single" w:color="auto" w:sz="2" w:space="0"/>
              <w:bottom w:val="single" w:color="auto" w:sz="2" w:space="0"/>
              <w:right w:val="single" w:color="auto" w:sz="2" w:space="0"/>
            </w:tcBorders>
            <w:vAlign w:val="center"/>
          </w:tcPr>
          <w:p w14:paraId="3204CBCE">
            <w:pPr>
              <w:spacing w:before="0" w:after="0" w:line="240" w:lineRule="exact"/>
              <w:jc w:val="left"/>
              <w:rPr>
                <w:rFonts w:ascii="宋体" w:hAnsi="宋体" w:eastAsia="宋体" w:cs="宋体"/>
                <w:sz w:val="18"/>
                <w:szCs w:val="18"/>
              </w:rPr>
            </w:pPr>
            <w:r>
              <w:rPr>
                <w:rFonts w:ascii="宋体" w:hAnsi="宋体" w:eastAsia="宋体" w:cs="宋体"/>
                <w:sz w:val="18"/>
                <w:szCs w:val="18"/>
              </w:rPr>
              <w:t>香港</w:t>
            </w:r>
          </w:p>
        </w:tc>
        <w:tc>
          <w:tcPr>
            <w:tcW w:w="900" w:type="dxa"/>
            <w:tcBorders>
              <w:top w:val="single" w:color="auto" w:sz="2" w:space="0"/>
              <w:left w:val="single" w:color="auto" w:sz="2" w:space="0"/>
              <w:bottom w:val="single" w:color="auto" w:sz="2" w:space="0"/>
              <w:right w:val="single" w:color="auto" w:sz="2" w:space="0"/>
            </w:tcBorders>
            <w:vAlign w:val="center"/>
          </w:tcPr>
          <w:p w14:paraId="3FBB96EF">
            <w:pPr>
              <w:spacing w:before="0" w:after="0" w:line="240" w:lineRule="exact"/>
              <w:jc w:val="left"/>
              <w:rPr>
                <w:rFonts w:ascii="宋体" w:hAnsi="宋体" w:eastAsia="宋体" w:cs="宋体"/>
                <w:sz w:val="18"/>
                <w:szCs w:val="18"/>
              </w:rPr>
            </w:pPr>
            <w:r>
              <w:rPr>
                <w:rFonts w:ascii="宋体" w:hAnsi="宋体" w:eastAsia="宋体" w:cs="宋体"/>
                <w:sz w:val="18"/>
                <w:szCs w:val="18"/>
              </w:rPr>
              <w:t>香港</w:t>
            </w:r>
          </w:p>
        </w:tc>
        <w:tc>
          <w:tcPr>
            <w:tcW w:w="1588" w:type="dxa"/>
            <w:tcBorders>
              <w:top w:val="single" w:color="auto" w:sz="2" w:space="0"/>
              <w:left w:val="single" w:color="auto" w:sz="2" w:space="0"/>
              <w:bottom w:val="single" w:color="auto" w:sz="2" w:space="0"/>
              <w:right w:val="single" w:color="auto" w:sz="2" w:space="0"/>
            </w:tcBorders>
            <w:vAlign w:val="center"/>
          </w:tcPr>
          <w:p w14:paraId="29C11F60">
            <w:pPr>
              <w:spacing w:before="0" w:after="0" w:line="240" w:lineRule="exact"/>
              <w:jc w:val="left"/>
              <w:rPr>
                <w:rFonts w:ascii="宋体" w:hAnsi="宋体" w:eastAsia="宋体" w:cs="宋体"/>
                <w:sz w:val="18"/>
                <w:szCs w:val="18"/>
              </w:rPr>
            </w:pPr>
            <w:r>
              <w:rPr>
                <w:rFonts w:ascii="宋体" w:hAnsi="宋体" w:eastAsia="宋体" w:cs="宋体"/>
                <w:sz w:val="18"/>
                <w:szCs w:val="18"/>
              </w:rPr>
              <w:t>医疗器械销售</w:t>
            </w:r>
          </w:p>
        </w:tc>
        <w:tc>
          <w:tcPr>
            <w:tcW w:w="1189" w:type="dxa"/>
            <w:tcBorders>
              <w:top w:val="single" w:color="auto" w:sz="2" w:space="0"/>
              <w:left w:val="single" w:color="auto" w:sz="2" w:space="0"/>
              <w:bottom w:val="single" w:color="auto" w:sz="2" w:space="0"/>
              <w:right w:val="single" w:color="auto" w:sz="2" w:space="0"/>
            </w:tcBorders>
            <w:vAlign w:val="center"/>
          </w:tcPr>
          <w:p w14:paraId="6A275123">
            <w:pPr>
              <w:spacing w:before="0" w:after="0" w:line="240" w:lineRule="exact"/>
              <w:jc w:val="right"/>
              <w:rPr>
                <w:rFonts w:hint="default" w:ascii="Times New Roman" w:hAnsi="Times New Roman" w:eastAsia="宋体" w:cs="Times New Roman"/>
                <w:sz w:val="18"/>
                <w:szCs w:val="18"/>
              </w:rPr>
            </w:pPr>
          </w:p>
        </w:tc>
        <w:tc>
          <w:tcPr>
            <w:tcW w:w="1037" w:type="dxa"/>
            <w:tcBorders>
              <w:top w:val="single" w:color="auto" w:sz="2" w:space="0"/>
              <w:left w:val="single" w:color="auto" w:sz="2" w:space="0"/>
              <w:bottom w:val="single" w:color="auto" w:sz="2" w:space="0"/>
              <w:right w:val="single" w:color="auto" w:sz="2" w:space="0"/>
            </w:tcBorders>
            <w:vAlign w:val="center"/>
          </w:tcPr>
          <w:p w14:paraId="0A175E8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333BE562">
            <w:pPr>
              <w:spacing w:before="0" w:after="0" w:line="240" w:lineRule="exact"/>
              <w:jc w:val="left"/>
              <w:rPr>
                <w:rFonts w:ascii="宋体" w:hAnsi="宋体" w:eastAsia="宋体" w:cs="宋体"/>
                <w:sz w:val="18"/>
                <w:szCs w:val="18"/>
              </w:rPr>
            </w:pPr>
            <w:r>
              <w:rPr>
                <w:rFonts w:ascii="宋体" w:hAnsi="宋体" w:eastAsia="宋体" w:cs="宋体"/>
                <w:sz w:val="18"/>
                <w:szCs w:val="18"/>
              </w:rPr>
              <w:t>股权收购</w:t>
            </w:r>
          </w:p>
        </w:tc>
      </w:tr>
      <w:tr w14:paraId="681F0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257369E">
            <w:pPr>
              <w:spacing w:before="0" w:after="0" w:line="240" w:lineRule="exact"/>
              <w:jc w:val="left"/>
              <w:rPr>
                <w:rFonts w:ascii="宋体" w:hAnsi="宋体" w:eastAsia="宋体" w:cs="宋体"/>
                <w:sz w:val="18"/>
                <w:szCs w:val="18"/>
              </w:rPr>
            </w:pPr>
            <w:r>
              <w:rPr>
                <w:rFonts w:ascii="宋体" w:hAnsi="宋体" w:eastAsia="宋体" w:cs="宋体"/>
                <w:sz w:val="18"/>
                <w:szCs w:val="18"/>
              </w:rPr>
              <w:t>广东中昊药业有限公司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66E7A89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50,000,000.00</w:t>
            </w:r>
          </w:p>
        </w:tc>
        <w:tc>
          <w:tcPr>
            <w:tcW w:w="1045" w:type="dxa"/>
            <w:tcBorders>
              <w:top w:val="single" w:color="auto" w:sz="2" w:space="0"/>
              <w:left w:val="single" w:color="auto" w:sz="2" w:space="0"/>
              <w:bottom w:val="single" w:color="auto" w:sz="2" w:space="0"/>
              <w:right w:val="single" w:color="auto" w:sz="2" w:space="0"/>
            </w:tcBorders>
            <w:vAlign w:val="center"/>
          </w:tcPr>
          <w:p w14:paraId="21A5A38D">
            <w:pPr>
              <w:spacing w:before="0" w:after="0" w:line="240" w:lineRule="exact"/>
              <w:jc w:val="left"/>
              <w:rPr>
                <w:rFonts w:ascii="宋体" w:hAnsi="宋体" w:eastAsia="宋体" w:cs="宋体"/>
                <w:sz w:val="18"/>
                <w:szCs w:val="18"/>
              </w:rPr>
            </w:pPr>
            <w:r>
              <w:rPr>
                <w:rFonts w:ascii="宋体" w:hAnsi="宋体" w:eastAsia="宋体" w:cs="宋体"/>
                <w:sz w:val="18"/>
                <w:szCs w:val="18"/>
              </w:rPr>
              <w:t>中山</w:t>
            </w:r>
          </w:p>
        </w:tc>
        <w:tc>
          <w:tcPr>
            <w:tcW w:w="900" w:type="dxa"/>
            <w:tcBorders>
              <w:top w:val="single" w:color="auto" w:sz="2" w:space="0"/>
              <w:left w:val="single" w:color="auto" w:sz="2" w:space="0"/>
              <w:bottom w:val="single" w:color="auto" w:sz="2" w:space="0"/>
              <w:right w:val="single" w:color="auto" w:sz="2" w:space="0"/>
            </w:tcBorders>
            <w:vAlign w:val="center"/>
          </w:tcPr>
          <w:p w14:paraId="76C18DB2">
            <w:pPr>
              <w:spacing w:before="0" w:after="0" w:line="240" w:lineRule="exact"/>
              <w:jc w:val="left"/>
              <w:rPr>
                <w:rFonts w:ascii="宋体" w:hAnsi="宋体" w:eastAsia="宋体" w:cs="宋体"/>
                <w:sz w:val="18"/>
                <w:szCs w:val="18"/>
              </w:rPr>
            </w:pPr>
            <w:r>
              <w:rPr>
                <w:rFonts w:ascii="宋体" w:hAnsi="宋体" w:eastAsia="宋体" w:cs="宋体"/>
                <w:sz w:val="18"/>
                <w:szCs w:val="18"/>
              </w:rPr>
              <w:t>中山</w:t>
            </w:r>
          </w:p>
        </w:tc>
        <w:tc>
          <w:tcPr>
            <w:tcW w:w="1588" w:type="dxa"/>
            <w:tcBorders>
              <w:top w:val="single" w:color="auto" w:sz="2" w:space="0"/>
              <w:left w:val="single" w:color="auto" w:sz="2" w:space="0"/>
              <w:bottom w:val="single" w:color="auto" w:sz="2" w:space="0"/>
              <w:right w:val="single" w:color="auto" w:sz="2" w:space="0"/>
            </w:tcBorders>
            <w:vAlign w:val="center"/>
          </w:tcPr>
          <w:p w14:paraId="4CCF3A8F">
            <w:pPr>
              <w:spacing w:before="0" w:after="0" w:line="240" w:lineRule="exact"/>
              <w:jc w:val="left"/>
              <w:rPr>
                <w:rFonts w:ascii="宋体" w:hAnsi="宋体" w:eastAsia="宋体" w:cs="宋体"/>
                <w:sz w:val="18"/>
                <w:szCs w:val="18"/>
              </w:rPr>
            </w:pPr>
            <w:r>
              <w:rPr>
                <w:rFonts w:ascii="宋体" w:hAnsi="宋体" w:eastAsia="宋体" w:cs="宋体"/>
                <w:sz w:val="18"/>
                <w:szCs w:val="18"/>
              </w:rPr>
              <w:t>药膏生产</w:t>
            </w:r>
          </w:p>
        </w:tc>
        <w:tc>
          <w:tcPr>
            <w:tcW w:w="1189" w:type="dxa"/>
            <w:tcBorders>
              <w:top w:val="single" w:color="auto" w:sz="2" w:space="0"/>
              <w:left w:val="single" w:color="auto" w:sz="2" w:space="0"/>
              <w:bottom w:val="single" w:color="auto" w:sz="2" w:space="0"/>
              <w:right w:val="single" w:color="auto" w:sz="2" w:space="0"/>
            </w:tcBorders>
            <w:vAlign w:val="center"/>
          </w:tcPr>
          <w:p w14:paraId="599868A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53.03%</w:t>
            </w:r>
          </w:p>
        </w:tc>
        <w:tc>
          <w:tcPr>
            <w:tcW w:w="1037" w:type="dxa"/>
            <w:tcBorders>
              <w:top w:val="single" w:color="auto" w:sz="2" w:space="0"/>
              <w:left w:val="single" w:color="auto" w:sz="2" w:space="0"/>
              <w:bottom w:val="single" w:color="auto" w:sz="2" w:space="0"/>
              <w:right w:val="single" w:color="auto" w:sz="2" w:space="0"/>
            </w:tcBorders>
            <w:vAlign w:val="center"/>
          </w:tcPr>
          <w:p w14:paraId="186993E6">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85B1993">
            <w:pPr>
              <w:spacing w:before="0" w:after="0" w:line="240" w:lineRule="exact"/>
              <w:jc w:val="left"/>
              <w:rPr>
                <w:rFonts w:ascii="宋体" w:hAnsi="宋体" w:eastAsia="宋体" w:cs="宋体"/>
                <w:sz w:val="18"/>
                <w:szCs w:val="18"/>
              </w:rPr>
            </w:pPr>
            <w:r>
              <w:rPr>
                <w:rFonts w:ascii="宋体" w:hAnsi="宋体" w:eastAsia="宋体" w:cs="宋体"/>
                <w:sz w:val="18"/>
                <w:szCs w:val="18"/>
              </w:rPr>
              <w:t>股权收购</w:t>
            </w:r>
          </w:p>
        </w:tc>
      </w:tr>
      <w:tr w14:paraId="792E2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CB00077">
            <w:pPr>
              <w:spacing w:before="0" w:after="0" w:line="240" w:lineRule="exact"/>
              <w:jc w:val="left"/>
              <w:rPr>
                <w:rFonts w:ascii="宋体" w:hAnsi="宋体" w:eastAsia="宋体" w:cs="宋体"/>
                <w:sz w:val="18"/>
                <w:szCs w:val="18"/>
              </w:rPr>
            </w:pPr>
            <w:r>
              <w:rPr>
                <w:rFonts w:ascii="宋体" w:hAnsi="宋体" w:eastAsia="宋体" w:cs="宋体"/>
                <w:sz w:val="18"/>
                <w:szCs w:val="18"/>
              </w:rPr>
              <w:t>北京文丰天济医药科技有限公司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78A60B6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37,600,000.00</w:t>
            </w:r>
          </w:p>
        </w:tc>
        <w:tc>
          <w:tcPr>
            <w:tcW w:w="1045" w:type="dxa"/>
            <w:tcBorders>
              <w:top w:val="single" w:color="auto" w:sz="2" w:space="0"/>
              <w:left w:val="single" w:color="auto" w:sz="2" w:space="0"/>
              <w:bottom w:val="single" w:color="auto" w:sz="2" w:space="0"/>
              <w:right w:val="single" w:color="auto" w:sz="2" w:space="0"/>
            </w:tcBorders>
            <w:vAlign w:val="center"/>
          </w:tcPr>
          <w:p w14:paraId="4A06C500">
            <w:pPr>
              <w:spacing w:before="0" w:after="0" w:line="240" w:lineRule="exact"/>
              <w:jc w:val="left"/>
              <w:rPr>
                <w:rFonts w:ascii="宋体" w:hAnsi="宋体" w:eastAsia="宋体" w:cs="宋体"/>
                <w:sz w:val="18"/>
                <w:szCs w:val="18"/>
              </w:rPr>
            </w:pPr>
            <w:r>
              <w:rPr>
                <w:rFonts w:ascii="宋体" w:hAnsi="宋体" w:eastAsia="宋体" w:cs="宋体"/>
                <w:sz w:val="18"/>
                <w:szCs w:val="18"/>
              </w:rPr>
              <w:t>北京</w:t>
            </w:r>
          </w:p>
        </w:tc>
        <w:tc>
          <w:tcPr>
            <w:tcW w:w="900" w:type="dxa"/>
            <w:tcBorders>
              <w:top w:val="single" w:color="auto" w:sz="2" w:space="0"/>
              <w:left w:val="single" w:color="auto" w:sz="2" w:space="0"/>
              <w:bottom w:val="single" w:color="auto" w:sz="2" w:space="0"/>
              <w:right w:val="single" w:color="auto" w:sz="2" w:space="0"/>
            </w:tcBorders>
            <w:vAlign w:val="center"/>
          </w:tcPr>
          <w:p w14:paraId="1B16252E">
            <w:pPr>
              <w:spacing w:before="0" w:after="0" w:line="240" w:lineRule="exact"/>
              <w:jc w:val="left"/>
              <w:rPr>
                <w:rFonts w:ascii="宋体" w:hAnsi="宋体" w:eastAsia="宋体" w:cs="宋体"/>
                <w:sz w:val="18"/>
                <w:szCs w:val="18"/>
              </w:rPr>
            </w:pPr>
            <w:r>
              <w:rPr>
                <w:rFonts w:ascii="宋体" w:hAnsi="宋体" w:eastAsia="宋体" w:cs="宋体"/>
                <w:sz w:val="18"/>
                <w:szCs w:val="18"/>
              </w:rPr>
              <w:t>北京</w:t>
            </w:r>
          </w:p>
        </w:tc>
        <w:tc>
          <w:tcPr>
            <w:tcW w:w="1588" w:type="dxa"/>
            <w:tcBorders>
              <w:top w:val="single" w:color="auto" w:sz="2" w:space="0"/>
              <w:left w:val="single" w:color="auto" w:sz="2" w:space="0"/>
              <w:bottom w:val="single" w:color="auto" w:sz="2" w:space="0"/>
              <w:right w:val="single" w:color="auto" w:sz="2" w:space="0"/>
            </w:tcBorders>
            <w:vAlign w:val="center"/>
          </w:tcPr>
          <w:p w14:paraId="1F196007">
            <w:pPr>
              <w:spacing w:before="0" w:after="0" w:line="240" w:lineRule="exact"/>
              <w:jc w:val="left"/>
              <w:rPr>
                <w:rFonts w:ascii="宋体" w:hAnsi="宋体" w:eastAsia="宋体" w:cs="宋体"/>
                <w:sz w:val="18"/>
                <w:szCs w:val="18"/>
              </w:rPr>
            </w:pPr>
            <w:r>
              <w:rPr>
                <w:rFonts w:ascii="宋体" w:hAnsi="宋体" w:eastAsia="宋体" w:cs="宋体"/>
                <w:sz w:val="18"/>
                <w:szCs w:val="18"/>
              </w:rPr>
              <w:t>药品研发</w:t>
            </w:r>
          </w:p>
        </w:tc>
        <w:tc>
          <w:tcPr>
            <w:tcW w:w="1189" w:type="dxa"/>
            <w:tcBorders>
              <w:top w:val="single" w:color="auto" w:sz="2" w:space="0"/>
              <w:left w:val="single" w:color="auto" w:sz="2" w:space="0"/>
              <w:bottom w:val="single" w:color="auto" w:sz="2" w:space="0"/>
              <w:right w:val="single" w:color="auto" w:sz="2" w:space="0"/>
            </w:tcBorders>
            <w:vAlign w:val="center"/>
          </w:tcPr>
          <w:p w14:paraId="7D4770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53.03%</w:t>
            </w:r>
          </w:p>
        </w:tc>
        <w:tc>
          <w:tcPr>
            <w:tcW w:w="1037" w:type="dxa"/>
            <w:tcBorders>
              <w:top w:val="single" w:color="auto" w:sz="2" w:space="0"/>
              <w:left w:val="single" w:color="auto" w:sz="2" w:space="0"/>
              <w:bottom w:val="single" w:color="auto" w:sz="2" w:space="0"/>
              <w:right w:val="single" w:color="auto" w:sz="2" w:space="0"/>
            </w:tcBorders>
            <w:vAlign w:val="center"/>
          </w:tcPr>
          <w:p w14:paraId="358A5D39">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B8627EF">
            <w:pPr>
              <w:spacing w:before="0" w:after="0" w:line="240" w:lineRule="exact"/>
              <w:jc w:val="left"/>
              <w:rPr>
                <w:rFonts w:ascii="宋体" w:hAnsi="宋体" w:eastAsia="宋体" w:cs="宋体"/>
                <w:sz w:val="18"/>
                <w:szCs w:val="18"/>
              </w:rPr>
            </w:pPr>
            <w:r>
              <w:rPr>
                <w:rFonts w:ascii="宋体" w:hAnsi="宋体" w:eastAsia="宋体" w:cs="宋体"/>
                <w:sz w:val="18"/>
                <w:szCs w:val="18"/>
              </w:rPr>
              <w:t>股权收购</w:t>
            </w:r>
          </w:p>
        </w:tc>
      </w:tr>
      <w:tr w14:paraId="053A6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7BAA86B">
            <w:pPr>
              <w:spacing w:before="0" w:after="0" w:line="240" w:lineRule="exact"/>
              <w:jc w:val="left"/>
              <w:rPr>
                <w:rFonts w:ascii="宋体" w:hAnsi="宋体" w:eastAsia="宋体" w:cs="宋体"/>
                <w:sz w:val="18"/>
                <w:szCs w:val="18"/>
              </w:rPr>
            </w:pPr>
            <w:r>
              <w:rPr>
                <w:rFonts w:ascii="宋体" w:hAnsi="宋体" w:eastAsia="宋体" w:cs="宋体"/>
                <w:sz w:val="18"/>
                <w:szCs w:val="18"/>
              </w:rPr>
              <w:t>北昊干细胞与再生医学研究院有限公司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2A7E676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35,328,000.00</w:t>
            </w:r>
          </w:p>
        </w:tc>
        <w:tc>
          <w:tcPr>
            <w:tcW w:w="1045" w:type="dxa"/>
            <w:tcBorders>
              <w:top w:val="single" w:color="auto" w:sz="2" w:space="0"/>
              <w:left w:val="single" w:color="auto" w:sz="2" w:space="0"/>
              <w:bottom w:val="single" w:color="auto" w:sz="2" w:space="0"/>
              <w:right w:val="single" w:color="auto" w:sz="2" w:space="0"/>
            </w:tcBorders>
            <w:vAlign w:val="center"/>
          </w:tcPr>
          <w:p w14:paraId="57BE4B27">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900" w:type="dxa"/>
            <w:tcBorders>
              <w:top w:val="single" w:color="auto" w:sz="2" w:space="0"/>
              <w:left w:val="single" w:color="auto" w:sz="2" w:space="0"/>
              <w:bottom w:val="single" w:color="auto" w:sz="2" w:space="0"/>
              <w:right w:val="single" w:color="auto" w:sz="2" w:space="0"/>
            </w:tcBorders>
            <w:vAlign w:val="center"/>
          </w:tcPr>
          <w:p w14:paraId="79FEAACD">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1588" w:type="dxa"/>
            <w:tcBorders>
              <w:top w:val="single" w:color="auto" w:sz="2" w:space="0"/>
              <w:left w:val="single" w:color="auto" w:sz="2" w:space="0"/>
              <w:bottom w:val="single" w:color="auto" w:sz="2" w:space="0"/>
              <w:right w:val="single" w:color="auto" w:sz="2" w:space="0"/>
            </w:tcBorders>
            <w:vAlign w:val="center"/>
          </w:tcPr>
          <w:p w14:paraId="6BECA994">
            <w:pPr>
              <w:spacing w:before="0" w:after="0" w:line="240" w:lineRule="exact"/>
              <w:jc w:val="left"/>
              <w:rPr>
                <w:rFonts w:ascii="宋体" w:hAnsi="宋体" w:eastAsia="宋体" w:cs="宋体"/>
                <w:sz w:val="18"/>
                <w:szCs w:val="18"/>
              </w:rPr>
            </w:pPr>
            <w:r>
              <w:rPr>
                <w:rFonts w:ascii="宋体" w:hAnsi="宋体" w:eastAsia="宋体" w:cs="宋体"/>
                <w:sz w:val="18"/>
                <w:szCs w:val="18"/>
              </w:rPr>
              <w:t>研究与实验发展</w:t>
            </w:r>
          </w:p>
        </w:tc>
        <w:tc>
          <w:tcPr>
            <w:tcW w:w="1189" w:type="dxa"/>
            <w:tcBorders>
              <w:top w:val="single" w:color="auto" w:sz="2" w:space="0"/>
              <w:left w:val="single" w:color="auto" w:sz="2" w:space="0"/>
              <w:bottom w:val="single" w:color="auto" w:sz="2" w:space="0"/>
              <w:right w:val="single" w:color="auto" w:sz="2" w:space="0"/>
            </w:tcBorders>
            <w:vAlign w:val="center"/>
          </w:tcPr>
          <w:p w14:paraId="15FB5A1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037" w:type="dxa"/>
            <w:tcBorders>
              <w:top w:val="single" w:color="auto" w:sz="2" w:space="0"/>
              <w:left w:val="single" w:color="auto" w:sz="2" w:space="0"/>
              <w:bottom w:val="single" w:color="auto" w:sz="2" w:space="0"/>
              <w:right w:val="single" w:color="auto" w:sz="2" w:space="0"/>
            </w:tcBorders>
            <w:vAlign w:val="center"/>
          </w:tcPr>
          <w:p w14:paraId="39B56345">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A63C086">
            <w:pPr>
              <w:spacing w:before="0" w:after="0" w:line="240" w:lineRule="exact"/>
              <w:jc w:val="left"/>
              <w:rPr>
                <w:rFonts w:ascii="宋体" w:hAnsi="宋体" w:eastAsia="宋体" w:cs="宋体"/>
                <w:sz w:val="18"/>
                <w:szCs w:val="18"/>
              </w:rPr>
            </w:pPr>
            <w:r>
              <w:rPr>
                <w:rFonts w:ascii="宋体" w:hAnsi="宋体" w:eastAsia="宋体" w:cs="宋体"/>
                <w:sz w:val="18"/>
                <w:szCs w:val="18"/>
              </w:rPr>
              <w:t>货币出资、股权收购</w:t>
            </w:r>
          </w:p>
        </w:tc>
      </w:tr>
      <w:tr w14:paraId="4BA7A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83CBC49">
            <w:pPr>
              <w:spacing w:before="0" w:after="0" w:line="240" w:lineRule="exact"/>
              <w:jc w:val="left"/>
              <w:rPr>
                <w:rFonts w:ascii="宋体" w:hAnsi="宋体" w:eastAsia="宋体" w:cs="宋体"/>
                <w:sz w:val="18"/>
                <w:szCs w:val="18"/>
              </w:rPr>
            </w:pPr>
            <w:r>
              <w:rPr>
                <w:rFonts w:ascii="宋体" w:hAnsi="宋体" w:eastAsia="宋体" w:cs="宋体"/>
                <w:sz w:val="18"/>
                <w:szCs w:val="18"/>
              </w:rPr>
              <w:t>广州百尼夫生物科技有限公司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6CB4959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15,000,000.00</w:t>
            </w:r>
          </w:p>
        </w:tc>
        <w:tc>
          <w:tcPr>
            <w:tcW w:w="1045" w:type="dxa"/>
            <w:tcBorders>
              <w:top w:val="single" w:color="auto" w:sz="2" w:space="0"/>
              <w:left w:val="single" w:color="auto" w:sz="2" w:space="0"/>
              <w:bottom w:val="single" w:color="auto" w:sz="2" w:space="0"/>
              <w:right w:val="single" w:color="auto" w:sz="2" w:space="0"/>
            </w:tcBorders>
            <w:vAlign w:val="center"/>
          </w:tcPr>
          <w:p w14:paraId="5CBE5E5D">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900" w:type="dxa"/>
            <w:tcBorders>
              <w:top w:val="single" w:color="auto" w:sz="2" w:space="0"/>
              <w:left w:val="single" w:color="auto" w:sz="2" w:space="0"/>
              <w:bottom w:val="single" w:color="auto" w:sz="2" w:space="0"/>
              <w:right w:val="single" w:color="auto" w:sz="2" w:space="0"/>
            </w:tcBorders>
            <w:vAlign w:val="center"/>
          </w:tcPr>
          <w:p w14:paraId="41A3AF98">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1588" w:type="dxa"/>
            <w:tcBorders>
              <w:top w:val="single" w:color="auto" w:sz="2" w:space="0"/>
              <w:left w:val="single" w:color="auto" w:sz="2" w:space="0"/>
              <w:bottom w:val="single" w:color="auto" w:sz="2" w:space="0"/>
              <w:right w:val="single" w:color="auto" w:sz="2" w:space="0"/>
            </w:tcBorders>
            <w:vAlign w:val="center"/>
          </w:tcPr>
          <w:p w14:paraId="7BF20793">
            <w:pPr>
              <w:spacing w:before="0" w:after="0" w:line="240" w:lineRule="exact"/>
              <w:jc w:val="left"/>
              <w:rPr>
                <w:rFonts w:ascii="宋体" w:hAnsi="宋体" w:eastAsia="宋体" w:cs="宋体"/>
                <w:sz w:val="18"/>
                <w:szCs w:val="18"/>
              </w:rPr>
            </w:pPr>
            <w:r>
              <w:rPr>
                <w:rFonts w:ascii="宋体" w:hAnsi="宋体" w:eastAsia="宋体" w:cs="宋体"/>
                <w:sz w:val="18"/>
                <w:szCs w:val="18"/>
              </w:rPr>
              <w:t>科技推广和运用</w:t>
            </w:r>
          </w:p>
        </w:tc>
        <w:tc>
          <w:tcPr>
            <w:tcW w:w="1189" w:type="dxa"/>
            <w:tcBorders>
              <w:top w:val="single" w:color="auto" w:sz="2" w:space="0"/>
              <w:left w:val="single" w:color="auto" w:sz="2" w:space="0"/>
              <w:bottom w:val="single" w:color="auto" w:sz="2" w:space="0"/>
              <w:right w:val="single" w:color="auto" w:sz="2" w:space="0"/>
            </w:tcBorders>
            <w:vAlign w:val="center"/>
          </w:tcPr>
          <w:p w14:paraId="054595B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1037" w:type="dxa"/>
            <w:tcBorders>
              <w:top w:val="single" w:color="auto" w:sz="2" w:space="0"/>
              <w:left w:val="single" w:color="auto" w:sz="2" w:space="0"/>
              <w:bottom w:val="single" w:color="auto" w:sz="2" w:space="0"/>
              <w:right w:val="single" w:color="auto" w:sz="2" w:space="0"/>
            </w:tcBorders>
            <w:vAlign w:val="center"/>
          </w:tcPr>
          <w:p w14:paraId="43F9303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421B889A">
            <w:pPr>
              <w:spacing w:before="0" w:after="0" w:line="240" w:lineRule="exact"/>
              <w:jc w:val="left"/>
              <w:rPr>
                <w:rFonts w:ascii="宋体" w:hAnsi="宋体" w:eastAsia="宋体" w:cs="宋体"/>
                <w:sz w:val="18"/>
                <w:szCs w:val="18"/>
              </w:rPr>
            </w:pPr>
            <w:r>
              <w:rPr>
                <w:rFonts w:ascii="宋体" w:hAnsi="宋体" w:eastAsia="宋体" w:cs="宋体"/>
                <w:sz w:val="18"/>
                <w:szCs w:val="18"/>
              </w:rPr>
              <w:t>股权收购</w:t>
            </w:r>
          </w:p>
        </w:tc>
      </w:tr>
      <w:tr w14:paraId="19C0F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304BBC2">
            <w:pPr>
              <w:spacing w:before="0" w:after="0" w:line="240" w:lineRule="exact"/>
              <w:jc w:val="left"/>
              <w:rPr>
                <w:rFonts w:ascii="宋体" w:hAnsi="宋体" w:eastAsia="宋体" w:cs="宋体"/>
                <w:sz w:val="18"/>
                <w:szCs w:val="18"/>
              </w:rPr>
            </w:pPr>
            <w:r>
              <w:rPr>
                <w:rFonts w:ascii="宋体" w:hAnsi="宋体" w:eastAsia="宋体" w:cs="宋体"/>
                <w:sz w:val="18"/>
                <w:szCs w:val="18"/>
              </w:rPr>
              <w:t>北京军科正昊生物科技有限公司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3E65709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70,000,000.00</w:t>
            </w:r>
          </w:p>
        </w:tc>
        <w:tc>
          <w:tcPr>
            <w:tcW w:w="1045" w:type="dxa"/>
            <w:tcBorders>
              <w:top w:val="single" w:color="auto" w:sz="2" w:space="0"/>
              <w:left w:val="single" w:color="auto" w:sz="2" w:space="0"/>
              <w:bottom w:val="single" w:color="auto" w:sz="2" w:space="0"/>
              <w:right w:val="single" w:color="auto" w:sz="2" w:space="0"/>
            </w:tcBorders>
            <w:vAlign w:val="center"/>
          </w:tcPr>
          <w:p w14:paraId="6E22A289">
            <w:pPr>
              <w:spacing w:before="0" w:after="0" w:line="240" w:lineRule="exact"/>
              <w:jc w:val="left"/>
              <w:rPr>
                <w:rFonts w:ascii="宋体" w:hAnsi="宋体" w:eastAsia="宋体" w:cs="宋体"/>
                <w:sz w:val="18"/>
                <w:szCs w:val="18"/>
              </w:rPr>
            </w:pPr>
            <w:r>
              <w:rPr>
                <w:rFonts w:ascii="宋体" w:hAnsi="宋体" w:eastAsia="宋体" w:cs="宋体"/>
                <w:sz w:val="18"/>
                <w:szCs w:val="18"/>
              </w:rPr>
              <w:t>北京</w:t>
            </w:r>
          </w:p>
        </w:tc>
        <w:tc>
          <w:tcPr>
            <w:tcW w:w="900" w:type="dxa"/>
            <w:tcBorders>
              <w:top w:val="single" w:color="auto" w:sz="2" w:space="0"/>
              <w:left w:val="single" w:color="auto" w:sz="2" w:space="0"/>
              <w:bottom w:val="single" w:color="auto" w:sz="2" w:space="0"/>
              <w:right w:val="single" w:color="auto" w:sz="2" w:space="0"/>
            </w:tcBorders>
            <w:vAlign w:val="center"/>
          </w:tcPr>
          <w:p w14:paraId="21A50D13">
            <w:pPr>
              <w:spacing w:before="0" w:after="0" w:line="240" w:lineRule="exact"/>
              <w:jc w:val="left"/>
              <w:rPr>
                <w:rFonts w:ascii="宋体" w:hAnsi="宋体" w:eastAsia="宋体" w:cs="宋体"/>
                <w:sz w:val="18"/>
                <w:szCs w:val="18"/>
              </w:rPr>
            </w:pPr>
            <w:r>
              <w:rPr>
                <w:rFonts w:ascii="宋体" w:hAnsi="宋体" w:eastAsia="宋体" w:cs="宋体"/>
                <w:sz w:val="18"/>
                <w:szCs w:val="18"/>
              </w:rPr>
              <w:t>北京</w:t>
            </w:r>
          </w:p>
        </w:tc>
        <w:tc>
          <w:tcPr>
            <w:tcW w:w="1588" w:type="dxa"/>
            <w:tcBorders>
              <w:top w:val="single" w:color="auto" w:sz="2" w:space="0"/>
              <w:left w:val="single" w:color="auto" w:sz="2" w:space="0"/>
              <w:bottom w:val="single" w:color="auto" w:sz="2" w:space="0"/>
              <w:right w:val="single" w:color="auto" w:sz="2" w:space="0"/>
            </w:tcBorders>
            <w:vAlign w:val="center"/>
          </w:tcPr>
          <w:p w14:paraId="667FBA0A">
            <w:pPr>
              <w:spacing w:before="0" w:after="0" w:line="240" w:lineRule="exact"/>
              <w:jc w:val="left"/>
              <w:rPr>
                <w:rFonts w:ascii="宋体" w:hAnsi="宋体" w:eastAsia="宋体" w:cs="宋体"/>
                <w:sz w:val="18"/>
                <w:szCs w:val="18"/>
              </w:rPr>
            </w:pPr>
            <w:r>
              <w:rPr>
                <w:rFonts w:ascii="宋体" w:hAnsi="宋体" w:eastAsia="宋体" w:cs="宋体"/>
                <w:sz w:val="18"/>
                <w:szCs w:val="18"/>
              </w:rPr>
              <w:t>研发及销售商品</w:t>
            </w:r>
          </w:p>
        </w:tc>
        <w:tc>
          <w:tcPr>
            <w:tcW w:w="1189" w:type="dxa"/>
            <w:tcBorders>
              <w:top w:val="single" w:color="auto" w:sz="2" w:space="0"/>
              <w:left w:val="single" w:color="auto" w:sz="2" w:space="0"/>
              <w:bottom w:val="single" w:color="auto" w:sz="2" w:space="0"/>
              <w:right w:val="single" w:color="auto" w:sz="2" w:space="0"/>
            </w:tcBorders>
            <w:vAlign w:val="center"/>
          </w:tcPr>
          <w:p w14:paraId="5ECB8131">
            <w:pPr>
              <w:spacing w:before="0" w:after="0" w:line="240" w:lineRule="exact"/>
              <w:jc w:val="right"/>
              <w:rPr>
                <w:rFonts w:hint="default" w:ascii="Times New Roman" w:hAnsi="Times New Roman" w:eastAsia="宋体" w:cs="Times New Roman"/>
                <w:sz w:val="18"/>
                <w:szCs w:val="18"/>
              </w:rPr>
            </w:pPr>
          </w:p>
        </w:tc>
        <w:tc>
          <w:tcPr>
            <w:tcW w:w="1037" w:type="dxa"/>
            <w:tcBorders>
              <w:top w:val="single" w:color="auto" w:sz="2" w:space="0"/>
              <w:left w:val="single" w:color="auto" w:sz="2" w:space="0"/>
              <w:bottom w:val="single" w:color="auto" w:sz="2" w:space="0"/>
              <w:right w:val="single" w:color="auto" w:sz="2" w:space="0"/>
            </w:tcBorders>
            <w:vAlign w:val="center"/>
          </w:tcPr>
          <w:p w14:paraId="484E9D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65.00%</w:t>
            </w:r>
          </w:p>
        </w:tc>
        <w:tc>
          <w:tcPr>
            <w:tcW w:w="1205" w:type="dxa"/>
            <w:tcBorders>
              <w:top w:val="single" w:color="auto" w:sz="2" w:space="0"/>
              <w:left w:val="single" w:color="auto" w:sz="2" w:space="0"/>
              <w:bottom w:val="single" w:color="auto" w:sz="2" w:space="0"/>
              <w:right w:val="single" w:color="auto" w:sz="2" w:space="0"/>
            </w:tcBorders>
            <w:vAlign w:val="center"/>
          </w:tcPr>
          <w:p w14:paraId="141E9C50">
            <w:pPr>
              <w:spacing w:before="0" w:after="0" w:line="240" w:lineRule="exact"/>
              <w:jc w:val="left"/>
              <w:rPr>
                <w:rFonts w:ascii="宋体" w:hAnsi="宋体" w:eastAsia="宋体" w:cs="宋体"/>
                <w:sz w:val="18"/>
                <w:szCs w:val="18"/>
              </w:rPr>
            </w:pPr>
            <w:r>
              <w:rPr>
                <w:rFonts w:ascii="宋体" w:hAnsi="宋体" w:eastAsia="宋体" w:cs="宋体"/>
                <w:sz w:val="18"/>
                <w:szCs w:val="18"/>
              </w:rPr>
              <w:t>股权收购</w:t>
            </w:r>
          </w:p>
        </w:tc>
      </w:tr>
      <w:tr w14:paraId="24CEB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D534471">
            <w:pPr>
              <w:spacing w:before="0" w:after="0" w:line="240" w:lineRule="exact"/>
              <w:jc w:val="left"/>
              <w:rPr>
                <w:rFonts w:ascii="宋体" w:hAnsi="宋体" w:eastAsia="宋体" w:cs="宋体"/>
                <w:sz w:val="18"/>
                <w:szCs w:val="18"/>
              </w:rPr>
            </w:pPr>
            <w:r>
              <w:rPr>
                <w:rFonts w:ascii="宋体" w:hAnsi="宋体" w:eastAsia="宋体" w:cs="宋体"/>
                <w:sz w:val="18"/>
                <w:szCs w:val="18"/>
              </w:rPr>
              <w:t>广东天昊药业有限公司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7C4EBFD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160,000,000.00</w:t>
            </w:r>
          </w:p>
        </w:tc>
        <w:tc>
          <w:tcPr>
            <w:tcW w:w="1045" w:type="dxa"/>
            <w:tcBorders>
              <w:top w:val="single" w:color="auto" w:sz="2" w:space="0"/>
              <w:left w:val="single" w:color="auto" w:sz="2" w:space="0"/>
              <w:bottom w:val="single" w:color="auto" w:sz="2" w:space="0"/>
              <w:right w:val="single" w:color="auto" w:sz="2" w:space="0"/>
            </w:tcBorders>
            <w:vAlign w:val="center"/>
          </w:tcPr>
          <w:p w14:paraId="7C18C4AF">
            <w:pPr>
              <w:spacing w:before="0" w:after="0" w:line="240" w:lineRule="exact"/>
              <w:jc w:val="left"/>
              <w:rPr>
                <w:rFonts w:ascii="宋体" w:hAnsi="宋体" w:eastAsia="宋体" w:cs="宋体"/>
                <w:sz w:val="18"/>
                <w:szCs w:val="18"/>
              </w:rPr>
            </w:pPr>
            <w:r>
              <w:rPr>
                <w:rFonts w:ascii="宋体" w:hAnsi="宋体" w:eastAsia="宋体" w:cs="宋体"/>
                <w:sz w:val="18"/>
                <w:szCs w:val="18"/>
              </w:rPr>
              <w:t>中山</w:t>
            </w:r>
          </w:p>
        </w:tc>
        <w:tc>
          <w:tcPr>
            <w:tcW w:w="900" w:type="dxa"/>
            <w:tcBorders>
              <w:top w:val="single" w:color="auto" w:sz="2" w:space="0"/>
              <w:left w:val="single" w:color="auto" w:sz="2" w:space="0"/>
              <w:bottom w:val="single" w:color="auto" w:sz="2" w:space="0"/>
              <w:right w:val="single" w:color="auto" w:sz="2" w:space="0"/>
            </w:tcBorders>
            <w:vAlign w:val="center"/>
          </w:tcPr>
          <w:p w14:paraId="4917998F">
            <w:pPr>
              <w:spacing w:before="0" w:after="0" w:line="240" w:lineRule="exact"/>
              <w:jc w:val="left"/>
              <w:rPr>
                <w:rFonts w:ascii="宋体" w:hAnsi="宋体" w:eastAsia="宋体" w:cs="宋体"/>
                <w:sz w:val="18"/>
                <w:szCs w:val="18"/>
              </w:rPr>
            </w:pPr>
            <w:r>
              <w:rPr>
                <w:rFonts w:ascii="宋体" w:hAnsi="宋体" w:eastAsia="宋体" w:cs="宋体"/>
                <w:sz w:val="18"/>
                <w:szCs w:val="18"/>
              </w:rPr>
              <w:t>中山</w:t>
            </w:r>
          </w:p>
        </w:tc>
        <w:tc>
          <w:tcPr>
            <w:tcW w:w="1588" w:type="dxa"/>
            <w:tcBorders>
              <w:top w:val="single" w:color="auto" w:sz="2" w:space="0"/>
              <w:left w:val="single" w:color="auto" w:sz="2" w:space="0"/>
              <w:bottom w:val="single" w:color="auto" w:sz="2" w:space="0"/>
              <w:right w:val="single" w:color="auto" w:sz="2" w:space="0"/>
            </w:tcBorders>
            <w:vAlign w:val="center"/>
          </w:tcPr>
          <w:p w14:paraId="49615327">
            <w:pPr>
              <w:spacing w:before="0" w:after="0" w:line="240" w:lineRule="exact"/>
              <w:jc w:val="left"/>
              <w:rPr>
                <w:rFonts w:ascii="宋体" w:hAnsi="宋体" w:eastAsia="宋体" w:cs="宋体"/>
                <w:sz w:val="18"/>
                <w:szCs w:val="18"/>
              </w:rPr>
            </w:pPr>
            <w:r>
              <w:rPr>
                <w:rFonts w:ascii="宋体" w:hAnsi="宋体" w:eastAsia="宋体" w:cs="宋体"/>
                <w:sz w:val="18"/>
                <w:szCs w:val="18"/>
              </w:rPr>
              <w:t>药品生产与销售</w:t>
            </w:r>
          </w:p>
        </w:tc>
        <w:tc>
          <w:tcPr>
            <w:tcW w:w="1189" w:type="dxa"/>
            <w:tcBorders>
              <w:top w:val="single" w:color="auto" w:sz="2" w:space="0"/>
              <w:left w:val="single" w:color="auto" w:sz="2" w:space="0"/>
              <w:bottom w:val="single" w:color="auto" w:sz="2" w:space="0"/>
              <w:right w:val="single" w:color="auto" w:sz="2" w:space="0"/>
            </w:tcBorders>
            <w:vAlign w:val="center"/>
          </w:tcPr>
          <w:p w14:paraId="502221D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037" w:type="dxa"/>
            <w:tcBorders>
              <w:top w:val="single" w:color="auto" w:sz="2" w:space="0"/>
              <w:left w:val="single" w:color="auto" w:sz="2" w:space="0"/>
              <w:bottom w:val="single" w:color="auto" w:sz="2" w:space="0"/>
              <w:right w:val="single" w:color="auto" w:sz="2" w:space="0"/>
            </w:tcBorders>
            <w:vAlign w:val="center"/>
          </w:tcPr>
          <w:p w14:paraId="4B02FA67">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37A669C">
            <w:pPr>
              <w:spacing w:before="0" w:after="0" w:line="240" w:lineRule="exact"/>
              <w:jc w:val="left"/>
              <w:rPr>
                <w:rFonts w:ascii="宋体" w:hAnsi="宋体" w:eastAsia="宋体" w:cs="宋体"/>
                <w:sz w:val="18"/>
                <w:szCs w:val="18"/>
              </w:rPr>
            </w:pPr>
            <w:r>
              <w:rPr>
                <w:rFonts w:ascii="宋体" w:hAnsi="宋体" w:eastAsia="宋体" w:cs="宋体"/>
                <w:sz w:val="18"/>
                <w:szCs w:val="18"/>
              </w:rPr>
              <w:t>货币出资、未完全出资</w:t>
            </w:r>
          </w:p>
        </w:tc>
      </w:tr>
      <w:tr w14:paraId="71D0F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237F53B">
            <w:pPr>
              <w:spacing w:before="0" w:after="0" w:line="240" w:lineRule="exact"/>
              <w:jc w:val="left"/>
              <w:rPr>
                <w:rFonts w:ascii="宋体" w:hAnsi="宋体" w:eastAsia="宋体" w:cs="宋体"/>
                <w:sz w:val="18"/>
                <w:szCs w:val="18"/>
              </w:rPr>
            </w:pPr>
            <w:r>
              <w:rPr>
                <w:rFonts w:ascii="宋体" w:hAnsi="宋体" w:eastAsia="宋体" w:cs="宋体"/>
                <w:sz w:val="18"/>
                <w:szCs w:val="18"/>
              </w:rPr>
              <w:t>中山市天昊医疗器械有限公司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0C35683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10,000,000.00</w:t>
            </w:r>
          </w:p>
        </w:tc>
        <w:tc>
          <w:tcPr>
            <w:tcW w:w="1045" w:type="dxa"/>
            <w:tcBorders>
              <w:top w:val="single" w:color="auto" w:sz="2" w:space="0"/>
              <w:left w:val="single" w:color="auto" w:sz="2" w:space="0"/>
              <w:bottom w:val="single" w:color="auto" w:sz="2" w:space="0"/>
              <w:right w:val="single" w:color="auto" w:sz="2" w:space="0"/>
            </w:tcBorders>
            <w:vAlign w:val="center"/>
          </w:tcPr>
          <w:p w14:paraId="6842B76A">
            <w:pPr>
              <w:spacing w:before="0" w:after="0" w:line="240" w:lineRule="exact"/>
              <w:jc w:val="left"/>
              <w:rPr>
                <w:rFonts w:ascii="宋体" w:hAnsi="宋体" w:eastAsia="宋体" w:cs="宋体"/>
                <w:sz w:val="18"/>
                <w:szCs w:val="18"/>
              </w:rPr>
            </w:pPr>
            <w:r>
              <w:rPr>
                <w:rFonts w:ascii="宋体" w:hAnsi="宋体" w:eastAsia="宋体" w:cs="宋体"/>
                <w:sz w:val="18"/>
                <w:szCs w:val="18"/>
              </w:rPr>
              <w:t>中山</w:t>
            </w:r>
          </w:p>
        </w:tc>
        <w:tc>
          <w:tcPr>
            <w:tcW w:w="900" w:type="dxa"/>
            <w:tcBorders>
              <w:top w:val="single" w:color="auto" w:sz="2" w:space="0"/>
              <w:left w:val="single" w:color="auto" w:sz="2" w:space="0"/>
              <w:bottom w:val="single" w:color="auto" w:sz="2" w:space="0"/>
              <w:right w:val="single" w:color="auto" w:sz="2" w:space="0"/>
            </w:tcBorders>
            <w:vAlign w:val="center"/>
          </w:tcPr>
          <w:p w14:paraId="7361D3C1">
            <w:pPr>
              <w:spacing w:before="0" w:after="0" w:line="240" w:lineRule="exact"/>
              <w:jc w:val="left"/>
              <w:rPr>
                <w:rFonts w:ascii="宋体" w:hAnsi="宋体" w:eastAsia="宋体" w:cs="宋体"/>
                <w:sz w:val="18"/>
                <w:szCs w:val="18"/>
              </w:rPr>
            </w:pPr>
            <w:r>
              <w:rPr>
                <w:rFonts w:ascii="宋体" w:hAnsi="宋体" w:eastAsia="宋体" w:cs="宋体"/>
                <w:sz w:val="18"/>
                <w:szCs w:val="18"/>
              </w:rPr>
              <w:t>中山</w:t>
            </w:r>
          </w:p>
        </w:tc>
        <w:tc>
          <w:tcPr>
            <w:tcW w:w="1588" w:type="dxa"/>
            <w:tcBorders>
              <w:top w:val="single" w:color="auto" w:sz="2" w:space="0"/>
              <w:left w:val="single" w:color="auto" w:sz="2" w:space="0"/>
              <w:bottom w:val="single" w:color="auto" w:sz="2" w:space="0"/>
              <w:right w:val="single" w:color="auto" w:sz="2" w:space="0"/>
            </w:tcBorders>
            <w:vAlign w:val="center"/>
          </w:tcPr>
          <w:p w14:paraId="634A99E3">
            <w:pPr>
              <w:spacing w:before="0" w:after="0" w:line="240" w:lineRule="exact"/>
              <w:jc w:val="left"/>
              <w:rPr>
                <w:rFonts w:ascii="宋体" w:hAnsi="宋体" w:eastAsia="宋体" w:cs="宋体"/>
                <w:sz w:val="18"/>
                <w:szCs w:val="18"/>
              </w:rPr>
            </w:pPr>
            <w:r>
              <w:rPr>
                <w:rFonts w:ascii="宋体" w:hAnsi="宋体" w:eastAsia="宋体" w:cs="宋体"/>
                <w:sz w:val="18"/>
                <w:szCs w:val="18"/>
              </w:rPr>
              <w:t>医疗器械销售</w:t>
            </w:r>
          </w:p>
        </w:tc>
        <w:tc>
          <w:tcPr>
            <w:tcW w:w="1189" w:type="dxa"/>
            <w:tcBorders>
              <w:top w:val="single" w:color="auto" w:sz="2" w:space="0"/>
              <w:left w:val="single" w:color="auto" w:sz="2" w:space="0"/>
              <w:bottom w:val="single" w:color="auto" w:sz="2" w:space="0"/>
              <w:right w:val="single" w:color="auto" w:sz="2" w:space="0"/>
            </w:tcBorders>
            <w:vAlign w:val="center"/>
          </w:tcPr>
          <w:p w14:paraId="6EF7F54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037" w:type="dxa"/>
            <w:tcBorders>
              <w:top w:val="single" w:color="auto" w:sz="2" w:space="0"/>
              <w:left w:val="single" w:color="auto" w:sz="2" w:space="0"/>
              <w:bottom w:val="single" w:color="auto" w:sz="2" w:space="0"/>
              <w:right w:val="single" w:color="auto" w:sz="2" w:space="0"/>
            </w:tcBorders>
            <w:vAlign w:val="center"/>
          </w:tcPr>
          <w:p w14:paraId="5FA00701">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D017924">
            <w:pPr>
              <w:spacing w:before="0" w:after="0" w:line="240" w:lineRule="exact"/>
              <w:jc w:val="left"/>
              <w:rPr>
                <w:rFonts w:ascii="宋体" w:hAnsi="宋体" w:eastAsia="宋体" w:cs="宋体"/>
                <w:sz w:val="18"/>
                <w:szCs w:val="18"/>
              </w:rPr>
            </w:pPr>
            <w:r>
              <w:rPr>
                <w:rFonts w:ascii="宋体" w:hAnsi="宋体" w:eastAsia="宋体" w:cs="宋体"/>
                <w:sz w:val="18"/>
                <w:szCs w:val="18"/>
              </w:rPr>
              <w:t>尚未出资</w:t>
            </w:r>
          </w:p>
        </w:tc>
      </w:tr>
      <w:tr w14:paraId="2268A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0E25718">
            <w:pPr>
              <w:spacing w:before="0" w:after="0" w:line="240" w:lineRule="exact"/>
              <w:jc w:val="left"/>
              <w:rPr>
                <w:rFonts w:ascii="宋体" w:hAnsi="宋体" w:eastAsia="宋体" w:cs="宋体"/>
                <w:sz w:val="18"/>
                <w:szCs w:val="18"/>
              </w:rPr>
            </w:pPr>
            <w:r>
              <w:rPr>
                <w:rFonts w:ascii="宋体" w:hAnsi="宋体" w:eastAsia="宋体" w:cs="宋体"/>
                <w:sz w:val="18"/>
                <w:szCs w:val="18"/>
              </w:rPr>
              <w:t>广州祥乐生物科技有限公司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0786E52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1,000,000.00</w:t>
            </w:r>
          </w:p>
        </w:tc>
        <w:tc>
          <w:tcPr>
            <w:tcW w:w="1045" w:type="dxa"/>
            <w:tcBorders>
              <w:top w:val="single" w:color="auto" w:sz="2" w:space="0"/>
              <w:left w:val="single" w:color="auto" w:sz="2" w:space="0"/>
              <w:bottom w:val="single" w:color="auto" w:sz="2" w:space="0"/>
              <w:right w:val="single" w:color="auto" w:sz="2" w:space="0"/>
            </w:tcBorders>
            <w:vAlign w:val="center"/>
          </w:tcPr>
          <w:p w14:paraId="0320C54E">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900" w:type="dxa"/>
            <w:tcBorders>
              <w:top w:val="single" w:color="auto" w:sz="2" w:space="0"/>
              <w:left w:val="single" w:color="auto" w:sz="2" w:space="0"/>
              <w:bottom w:val="single" w:color="auto" w:sz="2" w:space="0"/>
              <w:right w:val="single" w:color="auto" w:sz="2" w:space="0"/>
            </w:tcBorders>
            <w:vAlign w:val="center"/>
          </w:tcPr>
          <w:p w14:paraId="542B8178">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1588" w:type="dxa"/>
            <w:tcBorders>
              <w:top w:val="single" w:color="auto" w:sz="2" w:space="0"/>
              <w:left w:val="single" w:color="auto" w:sz="2" w:space="0"/>
              <w:bottom w:val="single" w:color="auto" w:sz="2" w:space="0"/>
              <w:right w:val="single" w:color="auto" w:sz="2" w:space="0"/>
            </w:tcBorders>
            <w:vAlign w:val="center"/>
          </w:tcPr>
          <w:p w14:paraId="3AA9A23F">
            <w:pPr>
              <w:spacing w:before="0" w:after="0" w:line="240" w:lineRule="exact"/>
              <w:jc w:val="left"/>
              <w:rPr>
                <w:rFonts w:ascii="宋体" w:hAnsi="宋体" w:eastAsia="宋体" w:cs="宋体"/>
                <w:sz w:val="18"/>
                <w:szCs w:val="18"/>
              </w:rPr>
            </w:pPr>
            <w:r>
              <w:rPr>
                <w:rFonts w:ascii="宋体" w:hAnsi="宋体" w:eastAsia="宋体" w:cs="宋体"/>
                <w:sz w:val="18"/>
                <w:szCs w:val="18"/>
              </w:rPr>
              <w:t>研究和试验发展</w:t>
            </w:r>
          </w:p>
        </w:tc>
        <w:tc>
          <w:tcPr>
            <w:tcW w:w="1189" w:type="dxa"/>
            <w:tcBorders>
              <w:top w:val="single" w:color="auto" w:sz="2" w:space="0"/>
              <w:left w:val="single" w:color="auto" w:sz="2" w:space="0"/>
              <w:bottom w:val="single" w:color="auto" w:sz="2" w:space="0"/>
              <w:right w:val="single" w:color="auto" w:sz="2" w:space="0"/>
            </w:tcBorders>
            <w:vAlign w:val="center"/>
          </w:tcPr>
          <w:p w14:paraId="3A59D3D4">
            <w:pPr>
              <w:spacing w:before="0" w:after="0" w:line="240" w:lineRule="exact"/>
              <w:jc w:val="right"/>
              <w:rPr>
                <w:rFonts w:hint="default" w:ascii="Times New Roman" w:hAnsi="Times New Roman" w:eastAsia="宋体" w:cs="Times New Roman"/>
                <w:sz w:val="18"/>
                <w:szCs w:val="18"/>
              </w:rPr>
            </w:pPr>
          </w:p>
        </w:tc>
        <w:tc>
          <w:tcPr>
            <w:tcW w:w="1037" w:type="dxa"/>
            <w:tcBorders>
              <w:top w:val="single" w:color="auto" w:sz="2" w:space="0"/>
              <w:left w:val="single" w:color="auto" w:sz="2" w:space="0"/>
              <w:bottom w:val="single" w:color="auto" w:sz="2" w:space="0"/>
              <w:right w:val="single" w:color="auto" w:sz="2" w:space="0"/>
            </w:tcBorders>
            <w:vAlign w:val="center"/>
          </w:tcPr>
          <w:p w14:paraId="48FEF96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387A1306">
            <w:pPr>
              <w:spacing w:before="0" w:after="0" w:line="240" w:lineRule="exact"/>
              <w:jc w:val="left"/>
              <w:rPr>
                <w:rFonts w:ascii="宋体" w:hAnsi="宋体" w:eastAsia="宋体" w:cs="宋体"/>
                <w:sz w:val="18"/>
                <w:szCs w:val="18"/>
              </w:rPr>
            </w:pPr>
            <w:r>
              <w:rPr>
                <w:rFonts w:ascii="宋体" w:hAnsi="宋体" w:eastAsia="宋体" w:cs="宋体"/>
                <w:sz w:val="18"/>
                <w:szCs w:val="18"/>
              </w:rPr>
              <w:t>尚未出资</w:t>
            </w:r>
          </w:p>
        </w:tc>
      </w:tr>
      <w:tr w14:paraId="6D399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7368A5E">
            <w:pPr>
              <w:spacing w:before="0" w:after="0" w:line="240" w:lineRule="exact"/>
              <w:jc w:val="left"/>
              <w:rPr>
                <w:rFonts w:ascii="宋体" w:hAnsi="宋体" w:eastAsia="宋体" w:cs="宋体"/>
                <w:sz w:val="18"/>
                <w:szCs w:val="18"/>
              </w:rPr>
            </w:pPr>
            <w:r>
              <w:rPr>
                <w:rFonts w:ascii="宋体" w:hAnsi="宋体" w:eastAsia="宋体" w:cs="宋体"/>
                <w:sz w:val="18"/>
                <w:szCs w:val="18"/>
              </w:rPr>
              <w:t>广州天佑北昊生物科技有限公司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5B8EB81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5,000,000.00</w:t>
            </w:r>
          </w:p>
        </w:tc>
        <w:tc>
          <w:tcPr>
            <w:tcW w:w="1045" w:type="dxa"/>
            <w:tcBorders>
              <w:top w:val="single" w:color="auto" w:sz="2" w:space="0"/>
              <w:left w:val="single" w:color="auto" w:sz="2" w:space="0"/>
              <w:bottom w:val="single" w:color="auto" w:sz="2" w:space="0"/>
              <w:right w:val="single" w:color="auto" w:sz="2" w:space="0"/>
            </w:tcBorders>
            <w:vAlign w:val="center"/>
          </w:tcPr>
          <w:p w14:paraId="2323245C">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900" w:type="dxa"/>
            <w:tcBorders>
              <w:top w:val="single" w:color="auto" w:sz="2" w:space="0"/>
              <w:left w:val="single" w:color="auto" w:sz="2" w:space="0"/>
              <w:bottom w:val="single" w:color="auto" w:sz="2" w:space="0"/>
              <w:right w:val="single" w:color="auto" w:sz="2" w:space="0"/>
            </w:tcBorders>
            <w:vAlign w:val="center"/>
          </w:tcPr>
          <w:p w14:paraId="559CF2ED">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1588" w:type="dxa"/>
            <w:tcBorders>
              <w:top w:val="single" w:color="auto" w:sz="2" w:space="0"/>
              <w:left w:val="single" w:color="auto" w:sz="2" w:space="0"/>
              <w:bottom w:val="single" w:color="auto" w:sz="2" w:space="0"/>
              <w:right w:val="single" w:color="auto" w:sz="2" w:space="0"/>
            </w:tcBorders>
            <w:vAlign w:val="center"/>
          </w:tcPr>
          <w:p w14:paraId="69698F3D">
            <w:pPr>
              <w:spacing w:before="0" w:after="0" w:line="240" w:lineRule="exact"/>
              <w:jc w:val="left"/>
              <w:rPr>
                <w:rFonts w:ascii="宋体" w:hAnsi="宋体" w:eastAsia="宋体" w:cs="宋体"/>
                <w:sz w:val="18"/>
                <w:szCs w:val="18"/>
              </w:rPr>
            </w:pPr>
            <w:r>
              <w:rPr>
                <w:rFonts w:ascii="宋体" w:hAnsi="宋体" w:eastAsia="宋体" w:cs="宋体"/>
                <w:sz w:val="18"/>
                <w:szCs w:val="18"/>
              </w:rPr>
              <w:t>技术开发、技术服务、技术咨询</w:t>
            </w:r>
          </w:p>
        </w:tc>
        <w:tc>
          <w:tcPr>
            <w:tcW w:w="1189" w:type="dxa"/>
            <w:tcBorders>
              <w:top w:val="single" w:color="auto" w:sz="2" w:space="0"/>
              <w:left w:val="single" w:color="auto" w:sz="2" w:space="0"/>
              <w:bottom w:val="single" w:color="auto" w:sz="2" w:space="0"/>
              <w:right w:val="single" w:color="auto" w:sz="2" w:space="0"/>
            </w:tcBorders>
            <w:vAlign w:val="center"/>
          </w:tcPr>
          <w:p w14:paraId="6EE47EAC">
            <w:pPr>
              <w:spacing w:before="0" w:after="0" w:line="240" w:lineRule="exact"/>
              <w:jc w:val="right"/>
              <w:rPr>
                <w:rFonts w:hint="default" w:ascii="Times New Roman" w:hAnsi="Times New Roman" w:eastAsia="宋体" w:cs="Times New Roman"/>
                <w:sz w:val="18"/>
                <w:szCs w:val="18"/>
              </w:rPr>
            </w:pPr>
          </w:p>
        </w:tc>
        <w:tc>
          <w:tcPr>
            <w:tcW w:w="1037" w:type="dxa"/>
            <w:tcBorders>
              <w:top w:val="single" w:color="auto" w:sz="2" w:space="0"/>
              <w:left w:val="single" w:color="auto" w:sz="2" w:space="0"/>
              <w:bottom w:val="single" w:color="auto" w:sz="2" w:space="0"/>
              <w:right w:val="single" w:color="auto" w:sz="2" w:space="0"/>
            </w:tcBorders>
            <w:vAlign w:val="center"/>
          </w:tcPr>
          <w:p w14:paraId="25C8586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80.00%</w:t>
            </w:r>
          </w:p>
        </w:tc>
        <w:tc>
          <w:tcPr>
            <w:tcW w:w="1205" w:type="dxa"/>
            <w:tcBorders>
              <w:top w:val="single" w:color="auto" w:sz="2" w:space="0"/>
              <w:left w:val="single" w:color="auto" w:sz="2" w:space="0"/>
              <w:bottom w:val="single" w:color="auto" w:sz="2" w:space="0"/>
              <w:right w:val="single" w:color="auto" w:sz="2" w:space="0"/>
            </w:tcBorders>
            <w:vAlign w:val="center"/>
          </w:tcPr>
          <w:p w14:paraId="4D39D4BC">
            <w:pPr>
              <w:spacing w:before="0" w:after="0" w:line="240" w:lineRule="exact"/>
              <w:jc w:val="left"/>
              <w:rPr>
                <w:rFonts w:ascii="宋体" w:hAnsi="宋体" w:eastAsia="宋体" w:cs="宋体"/>
                <w:sz w:val="18"/>
                <w:szCs w:val="18"/>
              </w:rPr>
            </w:pPr>
            <w:r>
              <w:rPr>
                <w:rFonts w:ascii="宋体" w:hAnsi="宋体" w:eastAsia="宋体" w:cs="宋体"/>
                <w:sz w:val="18"/>
                <w:szCs w:val="18"/>
              </w:rPr>
              <w:t>货币出资、股权收购</w:t>
            </w:r>
          </w:p>
        </w:tc>
      </w:tr>
      <w:tr w14:paraId="4EAA4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1748C79">
            <w:pPr>
              <w:spacing w:before="0" w:after="0" w:line="240" w:lineRule="exact"/>
              <w:jc w:val="left"/>
              <w:rPr>
                <w:rFonts w:ascii="宋体" w:hAnsi="宋体" w:eastAsia="宋体" w:cs="宋体"/>
                <w:sz w:val="18"/>
                <w:szCs w:val="18"/>
              </w:rPr>
            </w:pPr>
            <w:r>
              <w:rPr>
                <w:rFonts w:ascii="宋体" w:hAnsi="宋体" w:eastAsia="宋体" w:cs="宋体"/>
                <w:sz w:val="18"/>
                <w:szCs w:val="18"/>
              </w:rPr>
              <w:t>广州聚明生物科技有限公司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7E73A7B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1,995,000.00</w:t>
            </w:r>
          </w:p>
        </w:tc>
        <w:tc>
          <w:tcPr>
            <w:tcW w:w="1045" w:type="dxa"/>
            <w:tcBorders>
              <w:top w:val="single" w:color="auto" w:sz="2" w:space="0"/>
              <w:left w:val="single" w:color="auto" w:sz="2" w:space="0"/>
              <w:bottom w:val="single" w:color="auto" w:sz="2" w:space="0"/>
              <w:right w:val="single" w:color="auto" w:sz="2" w:space="0"/>
            </w:tcBorders>
            <w:vAlign w:val="center"/>
          </w:tcPr>
          <w:p w14:paraId="2884F06E">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900" w:type="dxa"/>
            <w:tcBorders>
              <w:top w:val="single" w:color="auto" w:sz="2" w:space="0"/>
              <w:left w:val="single" w:color="auto" w:sz="2" w:space="0"/>
              <w:bottom w:val="single" w:color="auto" w:sz="2" w:space="0"/>
              <w:right w:val="single" w:color="auto" w:sz="2" w:space="0"/>
            </w:tcBorders>
            <w:vAlign w:val="center"/>
          </w:tcPr>
          <w:p w14:paraId="58EFD0E4">
            <w:pPr>
              <w:spacing w:before="0" w:after="0" w:line="240" w:lineRule="exact"/>
              <w:jc w:val="left"/>
              <w:rPr>
                <w:rFonts w:ascii="宋体" w:hAnsi="宋体" w:eastAsia="宋体" w:cs="宋体"/>
                <w:sz w:val="18"/>
                <w:szCs w:val="18"/>
              </w:rPr>
            </w:pPr>
            <w:r>
              <w:rPr>
                <w:rFonts w:ascii="宋体" w:hAnsi="宋体" w:eastAsia="宋体" w:cs="宋体"/>
                <w:sz w:val="18"/>
                <w:szCs w:val="18"/>
              </w:rPr>
              <w:t>广州</w:t>
            </w:r>
          </w:p>
        </w:tc>
        <w:tc>
          <w:tcPr>
            <w:tcW w:w="1588" w:type="dxa"/>
            <w:tcBorders>
              <w:top w:val="single" w:color="auto" w:sz="2" w:space="0"/>
              <w:left w:val="single" w:color="auto" w:sz="2" w:space="0"/>
              <w:bottom w:val="single" w:color="auto" w:sz="2" w:space="0"/>
              <w:right w:val="single" w:color="auto" w:sz="2" w:space="0"/>
            </w:tcBorders>
            <w:vAlign w:val="center"/>
          </w:tcPr>
          <w:p w14:paraId="112210F6">
            <w:pPr>
              <w:spacing w:before="0" w:after="0" w:line="240" w:lineRule="exact"/>
              <w:jc w:val="left"/>
              <w:rPr>
                <w:rFonts w:ascii="宋体" w:hAnsi="宋体" w:eastAsia="宋体" w:cs="宋体"/>
                <w:sz w:val="18"/>
                <w:szCs w:val="18"/>
              </w:rPr>
            </w:pPr>
            <w:r>
              <w:rPr>
                <w:rFonts w:ascii="宋体" w:hAnsi="宋体" w:eastAsia="宋体" w:cs="宋体"/>
                <w:sz w:val="18"/>
                <w:szCs w:val="18"/>
              </w:rPr>
              <w:t>科技推广和应用服务业</w:t>
            </w:r>
          </w:p>
        </w:tc>
        <w:tc>
          <w:tcPr>
            <w:tcW w:w="1189" w:type="dxa"/>
            <w:tcBorders>
              <w:top w:val="single" w:color="auto" w:sz="2" w:space="0"/>
              <w:left w:val="single" w:color="auto" w:sz="2" w:space="0"/>
              <w:bottom w:val="single" w:color="auto" w:sz="2" w:space="0"/>
              <w:right w:val="single" w:color="auto" w:sz="2" w:space="0"/>
            </w:tcBorders>
            <w:vAlign w:val="center"/>
          </w:tcPr>
          <w:p w14:paraId="543DD336">
            <w:pPr>
              <w:spacing w:before="0" w:after="0" w:line="240" w:lineRule="exact"/>
              <w:jc w:val="right"/>
              <w:rPr>
                <w:rFonts w:hint="default" w:ascii="Times New Roman" w:hAnsi="Times New Roman" w:eastAsia="宋体" w:cs="Times New Roman"/>
                <w:sz w:val="18"/>
                <w:szCs w:val="18"/>
              </w:rPr>
            </w:pPr>
          </w:p>
        </w:tc>
        <w:tc>
          <w:tcPr>
            <w:tcW w:w="1037" w:type="dxa"/>
            <w:tcBorders>
              <w:top w:val="single" w:color="auto" w:sz="2" w:space="0"/>
              <w:left w:val="single" w:color="auto" w:sz="2" w:space="0"/>
              <w:bottom w:val="single" w:color="auto" w:sz="2" w:space="0"/>
              <w:right w:val="single" w:color="auto" w:sz="2" w:space="0"/>
            </w:tcBorders>
            <w:vAlign w:val="center"/>
          </w:tcPr>
          <w:p w14:paraId="767386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83.46%</w:t>
            </w:r>
          </w:p>
        </w:tc>
        <w:tc>
          <w:tcPr>
            <w:tcW w:w="1205" w:type="dxa"/>
            <w:tcBorders>
              <w:top w:val="single" w:color="auto" w:sz="2" w:space="0"/>
              <w:left w:val="single" w:color="auto" w:sz="2" w:space="0"/>
              <w:bottom w:val="single" w:color="auto" w:sz="2" w:space="0"/>
              <w:right w:val="single" w:color="auto" w:sz="2" w:space="0"/>
            </w:tcBorders>
            <w:vAlign w:val="center"/>
          </w:tcPr>
          <w:p w14:paraId="79943D74">
            <w:pPr>
              <w:spacing w:before="0" w:after="0" w:line="240" w:lineRule="exact"/>
              <w:jc w:val="left"/>
              <w:rPr>
                <w:rFonts w:ascii="宋体" w:hAnsi="宋体" w:eastAsia="宋体" w:cs="宋体"/>
                <w:sz w:val="18"/>
                <w:szCs w:val="18"/>
              </w:rPr>
            </w:pPr>
            <w:r>
              <w:rPr>
                <w:rFonts w:ascii="宋体" w:hAnsi="宋体" w:eastAsia="宋体" w:cs="宋体"/>
                <w:sz w:val="18"/>
                <w:szCs w:val="18"/>
              </w:rPr>
              <w:t>货币出资、股权收购</w:t>
            </w:r>
          </w:p>
        </w:tc>
      </w:tr>
      <w:tr w14:paraId="592EA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744DA8F">
            <w:pPr>
              <w:spacing w:before="0" w:after="0" w:line="240" w:lineRule="exact"/>
              <w:jc w:val="left"/>
              <w:rPr>
                <w:rFonts w:ascii="宋体" w:hAnsi="宋体" w:eastAsia="宋体" w:cs="宋体"/>
                <w:sz w:val="18"/>
                <w:szCs w:val="18"/>
              </w:rPr>
            </w:pPr>
            <w:r>
              <w:rPr>
                <w:rFonts w:ascii="宋体" w:hAnsi="宋体" w:eastAsia="宋体" w:cs="宋体"/>
                <w:sz w:val="18"/>
                <w:szCs w:val="18"/>
              </w:rPr>
              <w:t>广东冠昊华南细胞库有限公司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0546AFF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5,000,000.00</w:t>
            </w:r>
          </w:p>
        </w:tc>
        <w:tc>
          <w:tcPr>
            <w:tcW w:w="1045" w:type="dxa"/>
            <w:tcBorders>
              <w:top w:val="single" w:color="auto" w:sz="2" w:space="0"/>
              <w:left w:val="single" w:color="auto" w:sz="2" w:space="0"/>
              <w:bottom w:val="single" w:color="auto" w:sz="2" w:space="0"/>
              <w:right w:val="single" w:color="auto" w:sz="2" w:space="0"/>
            </w:tcBorders>
            <w:vAlign w:val="center"/>
          </w:tcPr>
          <w:p w14:paraId="2DC871D6">
            <w:pPr>
              <w:spacing w:before="0" w:after="0" w:line="240" w:lineRule="exact"/>
              <w:jc w:val="left"/>
              <w:rPr>
                <w:rFonts w:ascii="宋体" w:hAnsi="宋体" w:eastAsia="宋体" w:cs="宋体"/>
                <w:sz w:val="18"/>
                <w:szCs w:val="18"/>
              </w:rPr>
            </w:pPr>
            <w:r>
              <w:rPr>
                <w:rFonts w:ascii="宋体" w:hAnsi="宋体" w:eastAsia="宋体" w:cs="宋体"/>
                <w:sz w:val="18"/>
                <w:szCs w:val="18"/>
              </w:rPr>
              <w:t>中山</w:t>
            </w:r>
          </w:p>
        </w:tc>
        <w:tc>
          <w:tcPr>
            <w:tcW w:w="900" w:type="dxa"/>
            <w:tcBorders>
              <w:top w:val="single" w:color="auto" w:sz="2" w:space="0"/>
              <w:left w:val="single" w:color="auto" w:sz="2" w:space="0"/>
              <w:bottom w:val="single" w:color="auto" w:sz="2" w:space="0"/>
              <w:right w:val="single" w:color="auto" w:sz="2" w:space="0"/>
            </w:tcBorders>
            <w:vAlign w:val="center"/>
          </w:tcPr>
          <w:p w14:paraId="5A513F99">
            <w:pPr>
              <w:spacing w:before="0" w:after="0" w:line="240" w:lineRule="exact"/>
              <w:jc w:val="left"/>
              <w:rPr>
                <w:rFonts w:ascii="宋体" w:hAnsi="宋体" w:eastAsia="宋体" w:cs="宋体"/>
                <w:sz w:val="18"/>
                <w:szCs w:val="18"/>
              </w:rPr>
            </w:pPr>
            <w:r>
              <w:rPr>
                <w:rFonts w:ascii="宋体" w:hAnsi="宋体" w:eastAsia="宋体" w:cs="宋体"/>
                <w:sz w:val="18"/>
                <w:szCs w:val="18"/>
              </w:rPr>
              <w:t>中山</w:t>
            </w:r>
          </w:p>
        </w:tc>
        <w:tc>
          <w:tcPr>
            <w:tcW w:w="1588" w:type="dxa"/>
            <w:tcBorders>
              <w:top w:val="single" w:color="auto" w:sz="2" w:space="0"/>
              <w:left w:val="single" w:color="auto" w:sz="2" w:space="0"/>
              <w:bottom w:val="single" w:color="auto" w:sz="2" w:space="0"/>
              <w:right w:val="single" w:color="auto" w:sz="2" w:space="0"/>
            </w:tcBorders>
            <w:vAlign w:val="center"/>
          </w:tcPr>
          <w:p w14:paraId="7BE8214B">
            <w:pPr>
              <w:spacing w:before="0" w:after="0" w:line="240" w:lineRule="exact"/>
              <w:jc w:val="left"/>
              <w:rPr>
                <w:rFonts w:ascii="宋体" w:hAnsi="宋体" w:eastAsia="宋体" w:cs="宋体"/>
                <w:sz w:val="18"/>
                <w:szCs w:val="18"/>
              </w:rPr>
            </w:pPr>
            <w:r>
              <w:rPr>
                <w:rFonts w:ascii="宋体" w:hAnsi="宋体" w:eastAsia="宋体" w:cs="宋体"/>
                <w:sz w:val="18"/>
                <w:szCs w:val="18"/>
              </w:rPr>
              <w:t>研究和试验发展</w:t>
            </w:r>
          </w:p>
        </w:tc>
        <w:tc>
          <w:tcPr>
            <w:tcW w:w="1189" w:type="dxa"/>
            <w:tcBorders>
              <w:top w:val="single" w:color="auto" w:sz="2" w:space="0"/>
              <w:left w:val="single" w:color="auto" w:sz="2" w:space="0"/>
              <w:bottom w:val="single" w:color="auto" w:sz="2" w:space="0"/>
              <w:right w:val="single" w:color="auto" w:sz="2" w:space="0"/>
            </w:tcBorders>
            <w:vAlign w:val="center"/>
          </w:tcPr>
          <w:p w14:paraId="085CCBA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037" w:type="dxa"/>
            <w:tcBorders>
              <w:top w:val="single" w:color="auto" w:sz="2" w:space="0"/>
              <w:left w:val="single" w:color="auto" w:sz="2" w:space="0"/>
              <w:bottom w:val="single" w:color="auto" w:sz="2" w:space="0"/>
              <w:right w:val="single" w:color="auto" w:sz="2" w:space="0"/>
            </w:tcBorders>
            <w:vAlign w:val="center"/>
          </w:tcPr>
          <w:p w14:paraId="232AEEEC">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C158E3F">
            <w:pPr>
              <w:spacing w:before="0" w:after="0" w:line="240" w:lineRule="exact"/>
              <w:jc w:val="left"/>
              <w:rPr>
                <w:rFonts w:ascii="宋体" w:hAnsi="宋体" w:eastAsia="宋体" w:cs="宋体"/>
                <w:sz w:val="18"/>
                <w:szCs w:val="18"/>
              </w:rPr>
            </w:pPr>
            <w:r>
              <w:rPr>
                <w:rFonts w:ascii="宋体" w:hAnsi="宋体" w:eastAsia="宋体" w:cs="宋体"/>
                <w:sz w:val="18"/>
                <w:szCs w:val="18"/>
              </w:rPr>
              <w:t>货币出资、尚未出资</w:t>
            </w:r>
          </w:p>
        </w:tc>
      </w:tr>
      <w:tr w14:paraId="190DE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A28C020">
            <w:pPr>
              <w:spacing w:before="0" w:after="0" w:line="240" w:lineRule="exact"/>
              <w:jc w:val="left"/>
              <w:rPr>
                <w:rFonts w:ascii="宋体" w:hAnsi="宋体" w:eastAsia="宋体" w:cs="宋体"/>
                <w:sz w:val="18"/>
                <w:szCs w:val="18"/>
              </w:rPr>
            </w:pPr>
            <w:r>
              <w:rPr>
                <w:rFonts w:ascii="宋体" w:hAnsi="宋体" w:eastAsia="宋体" w:cs="宋体"/>
                <w:sz w:val="18"/>
                <w:szCs w:val="18"/>
              </w:rPr>
              <w:t>中山天昊科技园有限公司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1BC4A8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1,000,000.00</w:t>
            </w:r>
          </w:p>
        </w:tc>
        <w:tc>
          <w:tcPr>
            <w:tcW w:w="1045" w:type="dxa"/>
            <w:tcBorders>
              <w:top w:val="single" w:color="auto" w:sz="2" w:space="0"/>
              <w:left w:val="single" w:color="auto" w:sz="2" w:space="0"/>
              <w:bottom w:val="single" w:color="auto" w:sz="2" w:space="0"/>
              <w:right w:val="single" w:color="auto" w:sz="2" w:space="0"/>
            </w:tcBorders>
            <w:vAlign w:val="center"/>
          </w:tcPr>
          <w:p w14:paraId="78485888">
            <w:pPr>
              <w:spacing w:before="0" w:after="0" w:line="240" w:lineRule="exact"/>
              <w:jc w:val="left"/>
              <w:rPr>
                <w:rFonts w:ascii="宋体" w:hAnsi="宋体" w:eastAsia="宋体" w:cs="宋体"/>
                <w:sz w:val="18"/>
                <w:szCs w:val="18"/>
              </w:rPr>
            </w:pPr>
            <w:r>
              <w:rPr>
                <w:rFonts w:ascii="宋体" w:hAnsi="宋体" w:eastAsia="宋体" w:cs="宋体"/>
                <w:sz w:val="18"/>
                <w:szCs w:val="18"/>
              </w:rPr>
              <w:t>中山</w:t>
            </w:r>
          </w:p>
        </w:tc>
        <w:tc>
          <w:tcPr>
            <w:tcW w:w="900" w:type="dxa"/>
            <w:tcBorders>
              <w:top w:val="single" w:color="auto" w:sz="2" w:space="0"/>
              <w:left w:val="single" w:color="auto" w:sz="2" w:space="0"/>
              <w:bottom w:val="single" w:color="auto" w:sz="2" w:space="0"/>
              <w:right w:val="single" w:color="auto" w:sz="2" w:space="0"/>
            </w:tcBorders>
            <w:vAlign w:val="center"/>
          </w:tcPr>
          <w:p w14:paraId="6FA2FB69">
            <w:pPr>
              <w:spacing w:before="0" w:after="0" w:line="240" w:lineRule="exact"/>
              <w:jc w:val="left"/>
              <w:rPr>
                <w:rFonts w:ascii="宋体" w:hAnsi="宋体" w:eastAsia="宋体" w:cs="宋体"/>
                <w:sz w:val="18"/>
                <w:szCs w:val="18"/>
              </w:rPr>
            </w:pPr>
            <w:r>
              <w:rPr>
                <w:rFonts w:ascii="宋体" w:hAnsi="宋体" w:eastAsia="宋体" w:cs="宋体"/>
                <w:sz w:val="18"/>
                <w:szCs w:val="18"/>
              </w:rPr>
              <w:t>中山</w:t>
            </w:r>
          </w:p>
        </w:tc>
        <w:tc>
          <w:tcPr>
            <w:tcW w:w="1588" w:type="dxa"/>
            <w:tcBorders>
              <w:top w:val="single" w:color="auto" w:sz="2" w:space="0"/>
              <w:left w:val="single" w:color="auto" w:sz="2" w:space="0"/>
              <w:bottom w:val="single" w:color="auto" w:sz="2" w:space="0"/>
              <w:right w:val="single" w:color="auto" w:sz="2" w:space="0"/>
            </w:tcBorders>
            <w:vAlign w:val="center"/>
          </w:tcPr>
          <w:p w14:paraId="0CBDF52F">
            <w:pPr>
              <w:spacing w:before="0" w:after="0" w:line="240" w:lineRule="exact"/>
              <w:jc w:val="left"/>
              <w:rPr>
                <w:rFonts w:ascii="宋体" w:hAnsi="宋体" w:eastAsia="宋体" w:cs="宋体"/>
                <w:sz w:val="18"/>
                <w:szCs w:val="18"/>
              </w:rPr>
            </w:pPr>
            <w:r>
              <w:rPr>
                <w:rFonts w:ascii="宋体" w:hAnsi="宋体" w:eastAsia="宋体" w:cs="宋体"/>
                <w:sz w:val="18"/>
                <w:szCs w:val="18"/>
              </w:rPr>
              <w:t>科技推广和应用服务业</w:t>
            </w:r>
          </w:p>
        </w:tc>
        <w:tc>
          <w:tcPr>
            <w:tcW w:w="1189" w:type="dxa"/>
            <w:tcBorders>
              <w:top w:val="single" w:color="auto" w:sz="2" w:space="0"/>
              <w:left w:val="single" w:color="auto" w:sz="2" w:space="0"/>
              <w:bottom w:val="single" w:color="auto" w:sz="2" w:space="0"/>
              <w:right w:val="single" w:color="auto" w:sz="2" w:space="0"/>
            </w:tcBorders>
            <w:vAlign w:val="center"/>
          </w:tcPr>
          <w:p w14:paraId="083796B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037" w:type="dxa"/>
            <w:tcBorders>
              <w:top w:val="single" w:color="auto" w:sz="2" w:space="0"/>
              <w:left w:val="single" w:color="auto" w:sz="2" w:space="0"/>
              <w:bottom w:val="single" w:color="auto" w:sz="2" w:space="0"/>
              <w:right w:val="single" w:color="auto" w:sz="2" w:space="0"/>
            </w:tcBorders>
            <w:vAlign w:val="center"/>
          </w:tcPr>
          <w:p w14:paraId="1D7182D8">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99C8607">
            <w:pPr>
              <w:spacing w:before="0" w:after="0" w:line="240" w:lineRule="exact"/>
              <w:jc w:val="left"/>
              <w:rPr>
                <w:rFonts w:ascii="宋体" w:hAnsi="宋体" w:eastAsia="宋体" w:cs="宋体"/>
                <w:sz w:val="18"/>
                <w:szCs w:val="18"/>
              </w:rPr>
            </w:pPr>
            <w:r>
              <w:rPr>
                <w:rFonts w:ascii="宋体" w:hAnsi="宋体" w:eastAsia="宋体" w:cs="宋体"/>
                <w:sz w:val="18"/>
                <w:szCs w:val="18"/>
              </w:rPr>
              <w:t>货币出资、尚未出资</w:t>
            </w:r>
          </w:p>
        </w:tc>
      </w:tr>
      <w:tr w14:paraId="243A8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C3D7F7E">
            <w:pPr>
              <w:spacing w:before="0" w:after="0" w:line="240" w:lineRule="exact"/>
              <w:jc w:val="left"/>
              <w:rPr>
                <w:rFonts w:ascii="宋体" w:hAnsi="宋体" w:eastAsia="宋体" w:cs="宋体"/>
                <w:sz w:val="18"/>
                <w:szCs w:val="18"/>
              </w:rPr>
            </w:pPr>
            <w:r>
              <w:rPr>
                <w:rFonts w:ascii="宋体" w:hAnsi="宋体" w:eastAsia="宋体" w:cs="宋体"/>
                <w:sz w:val="18"/>
                <w:szCs w:val="18"/>
              </w:rPr>
              <w:t>北京天佑启元生物科技有限公司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5D86705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400,000.00</w:t>
            </w:r>
          </w:p>
        </w:tc>
        <w:tc>
          <w:tcPr>
            <w:tcW w:w="1045" w:type="dxa"/>
            <w:tcBorders>
              <w:top w:val="single" w:color="auto" w:sz="2" w:space="0"/>
              <w:left w:val="single" w:color="auto" w:sz="2" w:space="0"/>
              <w:bottom w:val="single" w:color="auto" w:sz="2" w:space="0"/>
              <w:right w:val="single" w:color="auto" w:sz="2" w:space="0"/>
            </w:tcBorders>
            <w:vAlign w:val="center"/>
          </w:tcPr>
          <w:p w14:paraId="284E438D">
            <w:pPr>
              <w:spacing w:before="0" w:after="0" w:line="240" w:lineRule="exact"/>
              <w:jc w:val="left"/>
              <w:rPr>
                <w:rFonts w:ascii="宋体" w:hAnsi="宋体" w:eastAsia="宋体" w:cs="宋体"/>
                <w:sz w:val="18"/>
                <w:szCs w:val="18"/>
              </w:rPr>
            </w:pPr>
            <w:r>
              <w:rPr>
                <w:rFonts w:ascii="宋体" w:hAnsi="宋体" w:eastAsia="宋体" w:cs="宋体"/>
                <w:sz w:val="18"/>
                <w:szCs w:val="18"/>
              </w:rPr>
              <w:t>北京</w:t>
            </w:r>
          </w:p>
        </w:tc>
        <w:tc>
          <w:tcPr>
            <w:tcW w:w="900" w:type="dxa"/>
            <w:tcBorders>
              <w:top w:val="single" w:color="auto" w:sz="2" w:space="0"/>
              <w:left w:val="single" w:color="auto" w:sz="2" w:space="0"/>
              <w:bottom w:val="single" w:color="auto" w:sz="2" w:space="0"/>
              <w:right w:val="single" w:color="auto" w:sz="2" w:space="0"/>
            </w:tcBorders>
            <w:vAlign w:val="center"/>
          </w:tcPr>
          <w:p w14:paraId="14516D72">
            <w:pPr>
              <w:spacing w:before="0" w:after="0" w:line="240" w:lineRule="exact"/>
              <w:jc w:val="left"/>
              <w:rPr>
                <w:rFonts w:ascii="宋体" w:hAnsi="宋体" w:eastAsia="宋体" w:cs="宋体"/>
                <w:sz w:val="18"/>
                <w:szCs w:val="18"/>
              </w:rPr>
            </w:pPr>
            <w:r>
              <w:rPr>
                <w:rFonts w:ascii="宋体" w:hAnsi="宋体" w:eastAsia="宋体" w:cs="宋体"/>
                <w:sz w:val="18"/>
                <w:szCs w:val="18"/>
              </w:rPr>
              <w:t>北京</w:t>
            </w:r>
          </w:p>
        </w:tc>
        <w:tc>
          <w:tcPr>
            <w:tcW w:w="1588" w:type="dxa"/>
            <w:tcBorders>
              <w:top w:val="single" w:color="auto" w:sz="2" w:space="0"/>
              <w:left w:val="single" w:color="auto" w:sz="2" w:space="0"/>
              <w:bottom w:val="single" w:color="auto" w:sz="2" w:space="0"/>
              <w:right w:val="single" w:color="auto" w:sz="2" w:space="0"/>
            </w:tcBorders>
            <w:vAlign w:val="center"/>
          </w:tcPr>
          <w:p w14:paraId="791D90EE">
            <w:pPr>
              <w:spacing w:before="0" w:after="0" w:line="240" w:lineRule="exact"/>
              <w:jc w:val="left"/>
              <w:rPr>
                <w:rFonts w:ascii="宋体" w:hAnsi="宋体" w:eastAsia="宋体" w:cs="宋体"/>
                <w:sz w:val="18"/>
                <w:szCs w:val="18"/>
              </w:rPr>
            </w:pPr>
            <w:r>
              <w:rPr>
                <w:rFonts w:ascii="宋体" w:hAnsi="宋体" w:eastAsia="宋体" w:cs="宋体"/>
                <w:sz w:val="18"/>
                <w:szCs w:val="18"/>
              </w:rPr>
              <w:t>科技推广和运用</w:t>
            </w:r>
          </w:p>
        </w:tc>
        <w:tc>
          <w:tcPr>
            <w:tcW w:w="1189" w:type="dxa"/>
            <w:tcBorders>
              <w:top w:val="single" w:color="auto" w:sz="2" w:space="0"/>
              <w:left w:val="single" w:color="auto" w:sz="2" w:space="0"/>
              <w:bottom w:val="single" w:color="auto" w:sz="2" w:space="0"/>
              <w:right w:val="single" w:color="auto" w:sz="2" w:space="0"/>
            </w:tcBorders>
            <w:vAlign w:val="center"/>
          </w:tcPr>
          <w:p w14:paraId="1F6B074E">
            <w:pPr>
              <w:spacing w:before="0" w:after="0" w:line="240" w:lineRule="exact"/>
              <w:jc w:val="right"/>
              <w:rPr>
                <w:rFonts w:hint="default" w:ascii="Times New Roman" w:hAnsi="Times New Roman" w:eastAsia="宋体" w:cs="Times New Roman"/>
                <w:sz w:val="18"/>
                <w:szCs w:val="18"/>
              </w:rPr>
            </w:pPr>
          </w:p>
        </w:tc>
        <w:tc>
          <w:tcPr>
            <w:tcW w:w="1037" w:type="dxa"/>
            <w:tcBorders>
              <w:top w:val="single" w:color="auto" w:sz="2" w:space="0"/>
              <w:left w:val="single" w:color="auto" w:sz="2" w:space="0"/>
              <w:bottom w:val="single" w:color="auto" w:sz="2" w:space="0"/>
              <w:right w:val="single" w:color="auto" w:sz="2" w:space="0"/>
            </w:tcBorders>
            <w:vAlign w:val="center"/>
          </w:tcPr>
          <w:p w14:paraId="04352ED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26BD4448">
            <w:pPr>
              <w:spacing w:before="0" w:after="0" w:line="240" w:lineRule="exact"/>
              <w:jc w:val="left"/>
              <w:rPr>
                <w:rFonts w:ascii="宋体" w:hAnsi="宋体" w:eastAsia="宋体" w:cs="宋体"/>
                <w:sz w:val="18"/>
                <w:szCs w:val="18"/>
              </w:rPr>
            </w:pPr>
            <w:r>
              <w:rPr>
                <w:rFonts w:ascii="宋体" w:hAnsi="宋体" w:eastAsia="宋体" w:cs="宋体"/>
                <w:sz w:val="18"/>
                <w:szCs w:val="18"/>
              </w:rPr>
              <w:t>尚未出资</w:t>
            </w:r>
          </w:p>
        </w:tc>
      </w:tr>
      <w:tr w14:paraId="23AE6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6CEBCA6">
            <w:pPr>
              <w:spacing w:before="0" w:after="0" w:line="240" w:lineRule="exact"/>
              <w:jc w:val="left"/>
              <w:rPr>
                <w:rFonts w:ascii="宋体" w:hAnsi="宋体" w:eastAsia="宋体" w:cs="宋体"/>
                <w:sz w:val="18"/>
                <w:szCs w:val="18"/>
              </w:rPr>
            </w:pPr>
            <w:r>
              <w:rPr>
                <w:rFonts w:ascii="宋体" w:hAnsi="宋体" w:eastAsia="宋体" w:cs="宋体"/>
                <w:sz w:val="18"/>
                <w:szCs w:val="18"/>
              </w:rPr>
              <w:t>北京宏冠再生医学科技有限公司</w:t>
            </w:r>
          </w:p>
        </w:tc>
        <w:tc>
          <w:tcPr>
            <w:tcW w:w="1471" w:type="dxa"/>
            <w:tcBorders>
              <w:top w:val="single" w:color="auto" w:sz="2" w:space="0"/>
              <w:left w:val="single" w:color="auto" w:sz="2" w:space="0"/>
              <w:bottom w:val="single" w:color="auto" w:sz="2" w:space="0"/>
              <w:right w:val="single" w:color="auto" w:sz="2" w:space="0"/>
            </w:tcBorders>
            <w:vAlign w:val="center"/>
          </w:tcPr>
          <w:p w14:paraId="13E3754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30,000,000.00</w:t>
            </w:r>
          </w:p>
        </w:tc>
        <w:tc>
          <w:tcPr>
            <w:tcW w:w="1045" w:type="dxa"/>
            <w:tcBorders>
              <w:top w:val="single" w:color="auto" w:sz="2" w:space="0"/>
              <w:left w:val="single" w:color="auto" w:sz="2" w:space="0"/>
              <w:bottom w:val="single" w:color="auto" w:sz="2" w:space="0"/>
              <w:right w:val="single" w:color="auto" w:sz="2" w:space="0"/>
            </w:tcBorders>
            <w:vAlign w:val="center"/>
          </w:tcPr>
          <w:p w14:paraId="1BE74F62">
            <w:pPr>
              <w:spacing w:before="0" w:after="0" w:line="240" w:lineRule="exact"/>
              <w:jc w:val="left"/>
              <w:rPr>
                <w:rFonts w:ascii="宋体" w:hAnsi="宋体" w:eastAsia="宋体" w:cs="宋体"/>
                <w:sz w:val="18"/>
                <w:szCs w:val="18"/>
              </w:rPr>
            </w:pPr>
            <w:r>
              <w:rPr>
                <w:rFonts w:ascii="宋体" w:hAnsi="宋体" w:eastAsia="宋体" w:cs="宋体"/>
                <w:sz w:val="18"/>
                <w:szCs w:val="18"/>
              </w:rPr>
              <w:t>北京</w:t>
            </w:r>
          </w:p>
        </w:tc>
        <w:tc>
          <w:tcPr>
            <w:tcW w:w="900" w:type="dxa"/>
            <w:tcBorders>
              <w:top w:val="single" w:color="auto" w:sz="2" w:space="0"/>
              <w:left w:val="single" w:color="auto" w:sz="2" w:space="0"/>
              <w:bottom w:val="single" w:color="auto" w:sz="2" w:space="0"/>
              <w:right w:val="single" w:color="auto" w:sz="2" w:space="0"/>
            </w:tcBorders>
            <w:vAlign w:val="center"/>
          </w:tcPr>
          <w:p w14:paraId="04044CD7">
            <w:pPr>
              <w:spacing w:before="0" w:after="0" w:line="240" w:lineRule="exact"/>
              <w:jc w:val="left"/>
              <w:rPr>
                <w:rFonts w:ascii="宋体" w:hAnsi="宋体" w:eastAsia="宋体" w:cs="宋体"/>
                <w:sz w:val="18"/>
                <w:szCs w:val="18"/>
              </w:rPr>
            </w:pPr>
            <w:r>
              <w:rPr>
                <w:rFonts w:ascii="宋体" w:hAnsi="宋体" w:eastAsia="宋体" w:cs="宋体"/>
                <w:sz w:val="18"/>
                <w:szCs w:val="18"/>
              </w:rPr>
              <w:t>北京</w:t>
            </w:r>
          </w:p>
        </w:tc>
        <w:tc>
          <w:tcPr>
            <w:tcW w:w="1588" w:type="dxa"/>
            <w:tcBorders>
              <w:top w:val="single" w:color="auto" w:sz="2" w:space="0"/>
              <w:left w:val="single" w:color="auto" w:sz="2" w:space="0"/>
              <w:bottom w:val="single" w:color="auto" w:sz="2" w:space="0"/>
              <w:right w:val="single" w:color="auto" w:sz="2" w:space="0"/>
            </w:tcBorders>
            <w:vAlign w:val="center"/>
          </w:tcPr>
          <w:p w14:paraId="2AA0E61C">
            <w:pPr>
              <w:spacing w:before="0" w:after="0" w:line="240" w:lineRule="exact"/>
              <w:jc w:val="left"/>
              <w:rPr>
                <w:rFonts w:ascii="宋体" w:hAnsi="宋体" w:eastAsia="宋体" w:cs="宋体"/>
                <w:sz w:val="18"/>
                <w:szCs w:val="18"/>
              </w:rPr>
            </w:pPr>
            <w:r>
              <w:rPr>
                <w:rFonts w:ascii="宋体" w:hAnsi="宋体" w:eastAsia="宋体" w:cs="宋体"/>
                <w:sz w:val="18"/>
                <w:szCs w:val="18"/>
              </w:rPr>
              <w:t> 科技推广和应用服务业</w:t>
            </w:r>
          </w:p>
        </w:tc>
        <w:tc>
          <w:tcPr>
            <w:tcW w:w="1189" w:type="dxa"/>
            <w:tcBorders>
              <w:top w:val="single" w:color="auto" w:sz="2" w:space="0"/>
              <w:left w:val="single" w:color="auto" w:sz="2" w:space="0"/>
              <w:bottom w:val="single" w:color="auto" w:sz="2" w:space="0"/>
              <w:right w:val="single" w:color="auto" w:sz="2" w:space="0"/>
            </w:tcBorders>
            <w:vAlign w:val="center"/>
          </w:tcPr>
          <w:p w14:paraId="2675B8D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w:t>
            </w:r>
          </w:p>
        </w:tc>
        <w:tc>
          <w:tcPr>
            <w:tcW w:w="1037" w:type="dxa"/>
            <w:tcBorders>
              <w:top w:val="single" w:color="auto" w:sz="2" w:space="0"/>
              <w:left w:val="single" w:color="auto" w:sz="2" w:space="0"/>
              <w:bottom w:val="single" w:color="auto" w:sz="2" w:space="0"/>
              <w:right w:val="single" w:color="auto" w:sz="2" w:space="0"/>
            </w:tcBorders>
            <w:vAlign w:val="center"/>
          </w:tcPr>
          <w:p w14:paraId="0E8A8A7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w:t>
            </w:r>
          </w:p>
        </w:tc>
        <w:tc>
          <w:tcPr>
            <w:tcW w:w="1205" w:type="dxa"/>
            <w:tcBorders>
              <w:top w:val="single" w:color="auto" w:sz="2" w:space="0"/>
              <w:left w:val="single" w:color="auto" w:sz="2" w:space="0"/>
              <w:bottom w:val="single" w:color="auto" w:sz="2" w:space="0"/>
              <w:right w:val="single" w:color="auto" w:sz="2" w:space="0"/>
            </w:tcBorders>
            <w:vAlign w:val="center"/>
          </w:tcPr>
          <w:p w14:paraId="5D33A851">
            <w:pPr>
              <w:spacing w:before="0" w:after="0" w:line="240" w:lineRule="exact"/>
              <w:jc w:val="left"/>
              <w:rPr>
                <w:rFonts w:ascii="宋体" w:hAnsi="宋体" w:eastAsia="宋体" w:cs="宋体"/>
                <w:sz w:val="18"/>
                <w:szCs w:val="18"/>
              </w:rPr>
            </w:pPr>
            <w:r>
              <w:rPr>
                <w:rFonts w:ascii="宋体" w:hAnsi="宋体" w:eastAsia="宋体" w:cs="宋体"/>
                <w:sz w:val="18"/>
                <w:szCs w:val="18"/>
              </w:rPr>
              <w:t>货币出资、股权收购</w:t>
            </w:r>
          </w:p>
        </w:tc>
      </w:tr>
    </w:tbl>
    <w:p w14:paraId="2089FA2E">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p w14:paraId="365096E2">
      <w:pPr>
        <w:spacing w:before="100" w:after="100" w:line="240" w:lineRule="exact"/>
        <w:jc w:val="left"/>
        <w:rPr>
          <w:rFonts w:hint="eastAsia" w:ascii="宋体" w:hAnsi="宋体" w:eastAsia="宋体" w:cs="宋体"/>
          <w:sz w:val="18"/>
          <w:szCs w:val="18"/>
          <w:lang w:val="en-US" w:eastAsia="zh-CN"/>
        </w:rPr>
      </w:pPr>
      <w:r>
        <w:rPr>
          <w:rFonts w:ascii="宋体" w:hAnsi="宋体" w:eastAsia="宋体" w:cs="宋体"/>
          <w:sz w:val="18"/>
          <w:szCs w:val="18"/>
        </w:rPr>
        <w:t>在子公司的持股比例不同于表决权比例的说明：</w:t>
      </w:r>
      <w:r>
        <w:rPr>
          <w:rFonts w:hint="eastAsia" w:ascii="宋体" w:hAnsi="宋体" w:cs="宋体"/>
          <w:sz w:val="18"/>
          <w:szCs w:val="18"/>
          <w:lang w:val="en-US" w:eastAsia="zh-CN"/>
        </w:rPr>
        <w:t>无</w:t>
      </w:r>
    </w:p>
    <w:p w14:paraId="25AC7884">
      <w:pPr>
        <w:spacing w:before="100" w:after="100" w:line="240" w:lineRule="exact"/>
        <w:jc w:val="left"/>
        <w:rPr>
          <w:rFonts w:ascii="宋体" w:hAnsi="宋体" w:eastAsia="宋体" w:cs="宋体"/>
          <w:sz w:val="18"/>
          <w:szCs w:val="18"/>
        </w:rPr>
      </w:pPr>
      <w:r>
        <w:rPr>
          <w:rFonts w:ascii="宋体" w:hAnsi="宋体" w:eastAsia="宋体" w:cs="宋体"/>
          <w:sz w:val="18"/>
          <w:szCs w:val="18"/>
        </w:rPr>
        <w:t>持有半数或以下表决权但仍控制被投资单位、以及持有半数以上表决权但不控制被投资单位的依据：</w:t>
      </w:r>
      <w:r>
        <w:rPr>
          <w:rFonts w:hint="eastAsia" w:ascii="宋体" w:hAnsi="宋体" w:cs="宋体"/>
          <w:sz w:val="18"/>
          <w:szCs w:val="18"/>
          <w:lang w:val="en-US" w:eastAsia="zh-CN"/>
        </w:rPr>
        <w:t>无</w:t>
      </w:r>
    </w:p>
    <w:p w14:paraId="55343A71">
      <w:pPr>
        <w:spacing w:before="100" w:after="100" w:line="240" w:lineRule="exact"/>
        <w:jc w:val="left"/>
        <w:rPr>
          <w:rFonts w:ascii="宋体" w:hAnsi="宋体" w:eastAsia="宋体" w:cs="宋体"/>
          <w:sz w:val="18"/>
          <w:szCs w:val="18"/>
        </w:rPr>
      </w:pPr>
      <w:r>
        <w:rPr>
          <w:rFonts w:ascii="宋体" w:hAnsi="宋体" w:eastAsia="宋体" w:cs="宋体"/>
          <w:sz w:val="18"/>
          <w:szCs w:val="18"/>
        </w:rPr>
        <w:t>对于纳入合并范围的重要的结构化主体，控制的依据：</w:t>
      </w:r>
      <w:r>
        <w:rPr>
          <w:rFonts w:hint="eastAsia" w:ascii="宋体" w:hAnsi="宋体" w:cs="宋体"/>
          <w:sz w:val="18"/>
          <w:szCs w:val="18"/>
          <w:lang w:val="en-US" w:eastAsia="zh-CN"/>
        </w:rPr>
        <w:t>无</w:t>
      </w:r>
    </w:p>
    <w:p w14:paraId="0D474575">
      <w:pPr>
        <w:spacing w:before="100" w:after="100" w:line="240" w:lineRule="exact"/>
        <w:jc w:val="left"/>
        <w:rPr>
          <w:rFonts w:ascii="宋体" w:hAnsi="宋体" w:eastAsia="宋体" w:cs="宋体"/>
          <w:sz w:val="18"/>
          <w:szCs w:val="18"/>
        </w:rPr>
      </w:pPr>
      <w:r>
        <w:rPr>
          <w:rFonts w:ascii="宋体" w:hAnsi="宋体" w:eastAsia="宋体" w:cs="宋体"/>
          <w:sz w:val="18"/>
          <w:szCs w:val="18"/>
        </w:rPr>
        <w:t>确定公司是代理人还是委托人的依据：</w:t>
      </w:r>
      <w:r>
        <w:rPr>
          <w:rFonts w:hint="eastAsia" w:ascii="宋体" w:hAnsi="宋体" w:cs="宋体"/>
          <w:sz w:val="18"/>
          <w:szCs w:val="18"/>
          <w:lang w:val="en-US" w:eastAsia="zh-CN"/>
        </w:rPr>
        <w:t>无</w:t>
      </w:r>
    </w:p>
    <w:p w14:paraId="78A44D95">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r>
        <w:rPr>
          <w:rFonts w:hint="eastAsia" w:ascii="宋体" w:hAnsi="宋体" w:cs="宋体"/>
          <w:sz w:val="18"/>
          <w:szCs w:val="18"/>
          <w:lang w:val="en-US" w:eastAsia="zh-CN"/>
        </w:rPr>
        <w:t>无</w:t>
      </w:r>
    </w:p>
    <w:p w14:paraId="64057F85">
      <w:pPr>
        <w:keepNext/>
        <w:keepLines/>
        <w:spacing w:before="300" w:after="300" w:line="280" w:lineRule="exact"/>
        <w:jc w:val="left"/>
        <w:outlineLvl w:val="3"/>
        <w:rPr>
          <w:rFonts w:ascii="宋体" w:hAnsi="宋体" w:eastAsia="宋体" w:cs="宋体"/>
          <w:b/>
          <w:bCs/>
          <w:sz w:val="18"/>
          <w:szCs w:val="18"/>
        </w:rPr>
      </w:pPr>
      <w:bookmarkStart w:id="399" w:name="_Toc989206"/>
      <w:r>
        <w:rPr>
          <w:rFonts w:ascii="宋体" w:hAnsi="宋体" w:eastAsia="宋体" w:cs="宋体"/>
          <w:b/>
          <w:bCs/>
          <w:sz w:val="18"/>
          <w:szCs w:val="18"/>
        </w:rPr>
        <w:t>（</w:t>
      </w:r>
      <w:r>
        <w:rPr>
          <w:rFonts w:hint="default" w:ascii="Times New Roman" w:hAnsi="Times New Roman" w:eastAsia="宋体" w:cs="Times New Roman"/>
          <w:b/>
          <w:bCs/>
          <w:sz w:val="18"/>
          <w:szCs w:val="18"/>
        </w:rPr>
        <w:t>2</w:t>
      </w:r>
      <w:r>
        <w:rPr>
          <w:rFonts w:ascii="宋体" w:hAnsi="宋体" w:eastAsia="宋体" w:cs="宋体"/>
          <w:b/>
          <w:bCs/>
          <w:sz w:val="18"/>
          <w:szCs w:val="18"/>
        </w:rPr>
        <w:t>） 重要的非全资子公司</w:t>
      </w:r>
      <w:bookmarkEnd w:id="399"/>
    </w:p>
    <w:p w14:paraId="46A6A17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3C07C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52FCE15">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EF69788">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8915599">
            <w:pPr>
              <w:spacing w:before="40" w:after="40" w:line="240" w:lineRule="exact"/>
              <w:jc w:val="center"/>
              <w:rPr>
                <w:rFonts w:ascii="宋体" w:hAnsi="宋体" w:eastAsia="宋体" w:cs="宋体"/>
                <w:sz w:val="18"/>
                <w:szCs w:val="18"/>
              </w:rPr>
            </w:pPr>
            <w:r>
              <w:rPr>
                <w:rFonts w:ascii="宋体" w:hAnsi="宋体" w:eastAsia="宋体" w:cs="宋体"/>
                <w:sz w:val="18"/>
                <w:szCs w:val="18"/>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8A4770C">
            <w:pPr>
              <w:spacing w:before="40" w:after="40" w:line="240" w:lineRule="exact"/>
              <w:jc w:val="center"/>
              <w:rPr>
                <w:rFonts w:ascii="宋体" w:hAnsi="宋体" w:eastAsia="宋体" w:cs="宋体"/>
                <w:sz w:val="18"/>
                <w:szCs w:val="18"/>
              </w:rPr>
            </w:pPr>
            <w:r>
              <w:rPr>
                <w:rFonts w:ascii="宋体" w:hAnsi="宋体" w:eastAsia="宋体" w:cs="宋体"/>
                <w:sz w:val="18"/>
                <w:szCs w:val="18"/>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53CF960">
            <w:pPr>
              <w:spacing w:before="40" w:after="40" w:line="240" w:lineRule="exact"/>
              <w:jc w:val="center"/>
              <w:rPr>
                <w:rFonts w:ascii="宋体" w:hAnsi="宋体" w:eastAsia="宋体" w:cs="宋体"/>
                <w:sz w:val="18"/>
                <w:szCs w:val="18"/>
              </w:rPr>
            </w:pPr>
            <w:r>
              <w:rPr>
                <w:rFonts w:ascii="宋体" w:hAnsi="宋体" w:eastAsia="宋体" w:cs="宋体"/>
                <w:sz w:val="18"/>
                <w:szCs w:val="18"/>
              </w:rPr>
              <w:t>期末少数股东权益余额</w:t>
            </w:r>
          </w:p>
        </w:tc>
      </w:tr>
      <w:tr w14:paraId="328F1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1599BFC9">
            <w:pPr>
              <w:spacing w:before="0" w:after="0" w:line="240" w:lineRule="exact"/>
              <w:jc w:val="left"/>
              <w:rPr>
                <w:rFonts w:ascii="宋体" w:hAnsi="宋体" w:eastAsia="宋体" w:cs="宋体"/>
                <w:sz w:val="18"/>
                <w:szCs w:val="18"/>
              </w:rPr>
            </w:pPr>
            <w:r>
              <w:rPr>
                <w:rFonts w:ascii="宋体" w:hAnsi="宋体" w:eastAsia="宋体" w:cs="宋体"/>
                <w:sz w:val="18"/>
                <w:szCs w:val="18"/>
              </w:rPr>
              <w:t>广东中昊药业有限公司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07DFEBF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46.97%</w:t>
            </w:r>
          </w:p>
        </w:tc>
        <w:tc>
          <w:tcPr>
            <w:tcW w:w="1928" w:type="dxa"/>
            <w:tcBorders>
              <w:top w:val="single" w:color="auto" w:sz="2" w:space="0"/>
              <w:left w:val="single" w:color="auto" w:sz="2" w:space="0"/>
              <w:bottom w:val="single" w:color="auto" w:sz="2" w:space="0"/>
              <w:right w:val="single" w:color="auto" w:sz="2" w:space="0"/>
            </w:tcBorders>
            <w:vAlign w:val="center"/>
          </w:tcPr>
          <w:p w14:paraId="4EBEBE9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-1,231,714.91</w:t>
            </w:r>
          </w:p>
        </w:tc>
        <w:tc>
          <w:tcPr>
            <w:tcW w:w="1928" w:type="dxa"/>
            <w:tcBorders>
              <w:top w:val="single" w:color="auto" w:sz="2" w:space="0"/>
              <w:left w:val="single" w:color="auto" w:sz="2" w:space="0"/>
              <w:bottom w:val="single" w:color="auto" w:sz="2" w:space="0"/>
              <w:right w:val="single" w:color="auto" w:sz="2" w:space="0"/>
            </w:tcBorders>
            <w:vAlign w:val="center"/>
          </w:tcPr>
          <w:p w14:paraId="1DE323B4">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65CF34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-33,601,064.45</w:t>
            </w:r>
          </w:p>
        </w:tc>
      </w:tr>
      <w:tr w14:paraId="5704C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1EE495D">
            <w:pPr>
              <w:spacing w:before="0" w:after="0" w:line="240" w:lineRule="exact"/>
              <w:jc w:val="left"/>
              <w:rPr>
                <w:rFonts w:ascii="宋体" w:hAnsi="宋体" w:eastAsia="宋体" w:cs="宋体"/>
                <w:sz w:val="18"/>
                <w:szCs w:val="18"/>
              </w:rPr>
            </w:pPr>
            <w:r>
              <w:rPr>
                <w:rFonts w:ascii="宋体" w:hAnsi="宋体" w:eastAsia="宋体" w:cs="宋体"/>
                <w:sz w:val="18"/>
                <w:szCs w:val="18"/>
              </w:rPr>
              <w:t>北京文丰天济医药科技有限公司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14CD1E9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46.97%</w:t>
            </w:r>
          </w:p>
        </w:tc>
        <w:tc>
          <w:tcPr>
            <w:tcW w:w="1928" w:type="dxa"/>
            <w:tcBorders>
              <w:top w:val="single" w:color="auto" w:sz="2" w:space="0"/>
              <w:left w:val="single" w:color="auto" w:sz="2" w:space="0"/>
              <w:bottom w:val="single" w:color="auto" w:sz="2" w:space="0"/>
              <w:right w:val="single" w:color="auto" w:sz="2" w:space="0"/>
            </w:tcBorders>
            <w:vAlign w:val="center"/>
          </w:tcPr>
          <w:p w14:paraId="67719A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-2,422,694.95</w:t>
            </w:r>
          </w:p>
        </w:tc>
        <w:tc>
          <w:tcPr>
            <w:tcW w:w="1928" w:type="dxa"/>
            <w:tcBorders>
              <w:top w:val="single" w:color="auto" w:sz="2" w:space="0"/>
              <w:left w:val="single" w:color="auto" w:sz="2" w:space="0"/>
              <w:bottom w:val="single" w:color="auto" w:sz="2" w:space="0"/>
              <w:right w:val="single" w:color="auto" w:sz="2" w:space="0"/>
            </w:tcBorders>
            <w:vAlign w:val="center"/>
          </w:tcPr>
          <w:p w14:paraId="45D5CB52">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5310E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-34,245,065.99</w:t>
            </w:r>
          </w:p>
        </w:tc>
      </w:tr>
      <w:tr w14:paraId="566A5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E9BCFB8">
            <w:pPr>
              <w:spacing w:before="0" w:after="0" w:line="240" w:lineRule="exact"/>
              <w:jc w:val="left"/>
              <w:rPr>
                <w:rFonts w:ascii="宋体" w:hAnsi="宋体" w:eastAsia="宋体" w:cs="宋体"/>
                <w:sz w:val="18"/>
                <w:szCs w:val="18"/>
              </w:rPr>
            </w:pPr>
            <w:r>
              <w:rPr>
                <w:rFonts w:ascii="宋体" w:hAnsi="宋体" w:eastAsia="宋体" w:cs="宋体"/>
                <w:sz w:val="18"/>
                <w:szCs w:val="18"/>
              </w:rPr>
              <w:t>北京天佑启元生物科技有限公司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7BC675D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49.00%</w:t>
            </w:r>
          </w:p>
        </w:tc>
        <w:tc>
          <w:tcPr>
            <w:tcW w:w="1928" w:type="dxa"/>
            <w:tcBorders>
              <w:top w:val="single" w:color="auto" w:sz="2" w:space="0"/>
              <w:left w:val="single" w:color="auto" w:sz="2" w:space="0"/>
              <w:bottom w:val="single" w:color="auto" w:sz="2" w:space="0"/>
              <w:right w:val="single" w:color="auto" w:sz="2" w:space="0"/>
            </w:tcBorders>
            <w:vAlign w:val="center"/>
          </w:tcPr>
          <w:p w14:paraId="0F62CDF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-5,003,879.71</w:t>
            </w:r>
          </w:p>
        </w:tc>
        <w:tc>
          <w:tcPr>
            <w:tcW w:w="1928" w:type="dxa"/>
            <w:tcBorders>
              <w:top w:val="single" w:color="auto" w:sz="2" w:space="0"/>
              <w:left w:val="single" w:color="auto" w:sz="2" w:space="0"/>
              <w:bottom w:val="single" w:color="auto" w:sz="2" w:space="0"/>
              <w:right w:val="single" w:color="auto" w:sz="2" w:space="0"/>
            </w:tcBorders>
            <w:vAlign w:val="center"/>
          </w:tcPr>
          <w:p w14:paraId="1EE1490C">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1B3DD4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-5,003,879.71</w:t>
            </w:r>
          </w:p>
        </w:tc>
      </w:tr>
      <w:tr w14:paraId="1F047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8ABB735">
            <w:pPr>
              <w:spacing w:before="0" w:after="0" w:line="240" w:lineRule="exact"/>
              <w:jc w:val="left"/>
              <w:rPr>
                <w:rFonts w:ascii="宋体" w:hAnsi="宋体" w:eastAsia="宋体" w:cs="宋体"/>
                <w:sz w:val="18"/>
                <w:szCs w:val="18"/>
              </w:rPr>
            </w:pPr>
            <w:r>
              <w:rPr>
                <w:rFonts w:ascii="宋体" w:hAnsi="宋体" w:eastAsia="宋体" w:cs="宋体"/>
                <w:sz w:val="18"/>
                <w:szCs w:val="18"/>
              </w:rPr>
              <w:t>广州聚明生物科技有限公司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6B9BB1E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16.54%</w:t>
            </w:r>
          </w:p>
        </w:tc>
        <w:tc>
          <w:tcPr>
            <w:tcW w:w="1928" w:type="dxa"/>
            <w:tcBorders>
              <w:top w:val="single" w:color="auto" w:sz="2" w:space="0"/>
              <w:left w:val="single" w:color="auto" w:sz="2" w:space="0"/>
              <w:bottom w:val="single" w:color="auto" w:sz="2" w:space="0"/>
              <w:right w:val="single" w:color="auto" w:sz="2" w:space="0"/>
            </w:tcBorders>
            <w:vAlign w:val="center"/>
          </w:tcPr>
          <w:p w14:paraId="08B5651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-619,675.94</w:t>
            </w:r>
          </w:p>
        </w:tc>
        <w:tc>
          <w:tcPr>
            <w:tcW w:w="1928" w:type="dxa"/>
            <w:tcBorders>
              <w:top w:val="single" w:color="auto" w:sz="2" w:space="0"/>
              <w:left w:val="single" w:color="auto" w:sz="2" w:space="0"/>
              <w:bottom w:val="single" w:color="auto" w:sz="2" w:space="0"/>
              <w:right w:val="single" w:color="auto" w:sz="2" w:space="0"/>
            </w:tcBorders>
            <w:vAlign w:val="center"/>
          </w:tcPr>
          <w:p w14:paraId="41EEAFAD">
            <w:pPr>
              <w:spacing w:before="0" w:after="0" w:line="240" w:lineRule="exact"/>
              <w:jc w:val="right"/>
              <w:rPr>
                <w:rFonts w:hint="default"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17A2C8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970,063.77</w:t>
            </w:r>
          </w:p>
        </w:tc>
      </w:tr>
    </w:tbl>
    <w:p w14:paraId="178BBD2C">
      <w:pPr>
        <w:spacing w:before="100" w:after="100" w:line="240" w:lineRule="exact"/>
        <w:jc w:val="left"/>
        <w:rPr>
          <w:rFonts w:ascii="宋体" w:hAnsi="宋体" w:eastAsia="宋体" w:cs="宋体"/>
          <w:sz w:val="18"/>
          <w:szCs w:val="18"/>
        </w:rPr>
      </w:pPr>
      <w:r>
        <w:rPr>
          <w:rFonts w:ascii="宋体" w:hAnsi="宋体" w:eastAsia="宋体" w:cs="宋体"/>
          <w:sz w:val="18"/>
          <w:szCs w:val="18"/>
        </w:rPr>
        <w:t>子公司少数股东的持股比例不同于表决权比例的说明：</w:t>
      </w:r>
    </w:p>
    <w:p w14:paraId="5D00F6B8">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7242BFC1">
      <w:pPr>
        <w:keepNext/>
        <w:keepLines/>
        <w:spacing w:before="300" w:after="300" w:line="280" w:lineRule="exact"/>
        <w:jc w:val="left"/>
        <w:outlineLvl w:val="3"/>
        <w:rPr>
          <w:rFonts w:ascii="宋体" w:hAnsi="宋体" w:eastAsia="宋体" w:cs="宋体"/>
          <w:b/>
          <w:bCs/>
          <w:sz w:val="18"/>
          <w:szCs w:val="18"/>
        </w:rPr>
      </w:pPr>
      <w:bookmarkStart w:id="400" w:name="_Toc989207"/>
      <w:r>
        <w:rPr>
          <w:rFonts w:ascii="宋体" w:hAnsi="宋体" w:eastAsia="宋体" w:cs="宋体"/>
          <w:b/>
          <w:bCs/>
          <w:sz w:val="18"/>
          <w:szCs w:val="18"/>
        </w:rPr>
        <w:t>（</w:t>
      </w:r>
      <w:r>
        <w:rPr>
          <w:rFonts w:hint="default" w:ascii="Times New Roman" w:hAnsi="Times New Roman" w:eastAsia="宋体" w:cs="Times New Roman"/>
          <w:b/>
          <w:bCs/>
          <w:sz w:val="18"/>
          <w:szCs w:val="18"/>
        </w:rPr>
        <w:t>3</w:t>
      </w:r>
      <w:r>
        <w:rPr>
          <w:rFonts w:ascii="宋体" w:hAnsi="宋体" w:eastAsia="宋体" w:cs="宋体"/>
          <w:b/>
          <w:bCs/>
          <w:sz w:val="18"/>
          <w:szCs w:val="18"/>
        </w:rPr>
        <w:t>） 重要非全资子公司的主要财务信息</w:t>
      </w:r>
      <w:bookmarkEnd w:id="400"/>
    </w:p>
    <w:p w14:paraId="0C4CA14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14:paraId="4E52B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1152674">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09D3F8F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14DDDC9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B848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1A9C6F1"/>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42055F2">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018C674">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BFF72D3">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DF8EBD4">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A16BECD">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7B9FAFE">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7EBF210">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EDB8373">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988289D">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B3EE261">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3B46F49">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B0B45CB">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r>
      <w:tr w14:paraId="22730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523172B">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广东中昊药业有限公司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315F16C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62,858,119.93</w:t>
            </w:r>
          </w:p>
        </w:tc>
        <w:tc>
          <w:tcPr>
            <w:tcW w:w="741" w:type="dxa"/>
            <w:tcBorders>
              <w:top w:val="single" w:color="auto" w:sz="2" w:space="0"/>
              <w:left w:val="single" w:color="auto" w:sz="2" w:space="0"/>
              <w:bottom w:val="single" w:color="auto" w:sz="2" w:space="0"/>
              <w:right w:val="single" w:color="auto" w:sz="2" w:space="0"/>
            </w:tcBorders>
            <w:vAlign w:val="center"/>
          </w:tcPr>
          <w:p w14:paraId="513AC52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25,149,851.72</w:t>
            </w:r>
          </w:p>
        </w:tc>
        <w:tc>
          <w:tcPr>
            <w:tcW w:w="741" w:type="dxa"/>
            <w:tcBorders>
              <w:top w:val="single" w:color="auto" w:sz="2" w:space="0"/>
              <w:left w:val="single" w:color="auto" w:sz="2" w:space="0"/>
              <w:bottom w:val="single" w:color="auto" w:sz="2" w:space="0"/>
              <w:right w:val="single" w:color="auto" w:sz="2" w:space="0"/>
            </w:tcBorders>
            <w:vAlign w:val="center"/>
          </w:tcPr>
          <w:p w14:paraId="05266A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88,007,971.65</w:t>
            </w:r>
          </w:p>
        </w:tc>
        <w:tc>
          <w:tcPr>
            <w:tcW w:w="741" w:type="dxa"/>
            <w:tcBorders>
              <w:top w:val="single" w:color="auto" w:sz="2" w:space="0"/>
              <w:left w:val="single" w:color="auto" w:sz="2" w:space="0"/>
              <w:bottom w:val="single" w:color="auto" w:sz="2" w:space="0"/>
              <w:right w:val="single" w:color="auto" w:sz="2" w:space="0"/>
            </w:tcBorders>
            <w:vAlign w:val="center"/>
          </w:tcPr>
          <w:p w14:paraId="2856B7A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159,424,164.50</w:t>
            </w:r>
          </w:p>
        </w:tc>
        <w:tc>
          <w:tcPr>
            <w:tcW w:w="741" w:type="dxa"/>
            <w:tcBorders>
              <w:top w:val="single" w:color="auto" w:sz="2" w:space="0"/>
              <w:left w:val="single" w:color="auto" w:sz="2" w:space="0"/>
              <w:bottom w:val="single" w:color="auto" w:sz="2" w:space="0"/>
              <w:right w:val="single" w:color="auto" w:sz="2" w:space="0"/>
            </w:tcBorders>
            <w:vAlign w:val="center"/>
          </w:tcPr>
          <w:p w14:paraId="66F65D9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114,394.99</w:t>
            </w:r>
          </w:p>
        </w:tc>
        <w:tc>
          <w:tcPr>
            <w:tcW w:w="741" w:type="dxa"/>
            <w:tcBorders>
              <w:top w:val="single" w:color="auto" w:sz="2" w:space="0"/>
              <w:left w:val="single" w:color="auto" w:sz="2" w:space="0"/>
              <w:bottom w:val="single" w:color="auto" w:sz="2" w:space="0"/>
              <w:right w:val="single" w:color="auto" w:sz="2" w:space="0"/>
            </w:tcBorders>
            <w:vAlign w:val="center"/>
          </w:tcPr>
          <w:p w14:paraId="70D9BA9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159,538,559.49</w:t>
            </w:r>
          </w:p>
        </w:tc>
        <w:tc>
          <w:tcPr>
            <w:tcW w:w="741" w:type="dxa"/>
            <w:tcBorders>
              <w:top w:val="single" w:color="auto" w:sz="2" w:space="0"/>
              <w:left w:val="single" w:color="auto" w:sz="2" w:space="0"/>
              <w:bottom w:val="single" w:color="auto" w:sz="2" w:space="0"/>
              <w:right w:val="single" w:color="auto" w:sz="2" w:space="0"/>
            </w:tcBorders>
            <w:vAlign w:val="center"/>
          </w:tcPr>
          <w:p w14:paraId="5FFF92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57,553,255.58</w:t>
            </w:r>
          </w:p>
        </w:tc>
        <w:tc>
          <w:tcPr>
            <w:tcW w:w="741" w:type="dxa"/>
            <w:tcBorders>
              <w:top w:val="single" w:color="auto" w:sz="2" w:space="0"/>
              <w:left w:val="single" w:color="auto" w:sz="2" w:space="0"/>
              <w:bottom w:val="single" w:color="auto" w:sz="2" w:space="0"/>
              <w:right w:val="single" w:color="auto" w:sz="2" w:space="0"/>
            </w:tcBorders>
            <w:vAlign w:val="center"/>
          </w:tcPr>
          <w:p w14:paraId="1A250A7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29,364,005.21</w:t>
            </w:r>
          </w:p>
        </w:tc>
        <w:tc>
          <w:tcPr>
            <w:tcW w:w="741" w:type="dxa"/>
            <w:tcBorders>
              <w:top w:val="single" w:color="auto" w:sz="2" w:space="0"/>
              <w:left w:val="single" w:color="auto" w:sz="2" w:space="0"/>
              <w:bottom w:val="single" w:color="auto" w:sz="2" w:space="0"/>
              <w:right w:val="single" w:color="auto" w:sz="2" w:space="0"/>
            </w:tcBorders>
            <w:vAlign w:val="center"/>
          </w:tcPr>
          <w:p w14:paraId="13EABF3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86,917,260.79</w:t>
            </w:r>
          </w:p>
        </w:tc>
        <w:tc>
          <w:tcPr>
            <w:tcW w:w="741" w:type="dxa"/>
            <w:tcBorders>
              <w:top w:val="single" w:color="auto" w:sz="2" w:space="0"/>
              <w:left w:val="single" w:color="auto" w:sz="2" w:space="0"/>
              <w:bottom w:val="single" w:color="auto" w:sz="2" w:space="0"/>
              <w:right w:val="single" w:color="auto" w:sz="2" w:space="0"/>
            </w:tcBorders>
            <w:vAlign w:val="center"/>
          </w:tcPr>
          <w:p w14:paraId="70200D0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160,633,747.63</w:t>
            </w:r>
          </w:p>
        </w:tc>
        <w:tc>
          <w:tcPr>
            <w:tcW w:w="741" w:type="dxa"/>
            <w:tcBorders>
              <w:top w:val="single" w:color="auto" w:sz="2" w:space="0"/>
              <w:left w:val="single" w:color="auto" w:sz="2" w:space="0"/>
              <w:bottom w:val="single" w:color="auto" w:sz="2" w:space="0"/>
              <w:right w:val="single" w:color="auto" w:sz="2" w:space="0"/>
            </w:tcBorders>
            <w:vAlign w:val="center"/>
          </w:tcPr>
          <w:p w14:paraId="543BD07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1,293,302.78</w:t>
            </w:r>
          </w:p>
        </w:tc>
        <w:tc>
          <w:tcPr>
            <w:tcW w:w="741" w:type="dxa"/>
            <w:tcBorders>
              <w:top w:val="single" w:color="auto" w:sz="2" w:space="0"/>
              <w:left w:val="single" w:color="auto" w:sz="2" w:space="0"/>
              <w:bottom w:val="single" w:color="auto" w:sz="2" w:space="0"/>
              <w:right w:val="single" w:color="auto" w:sz="2" w:space="0"/>
            </w:tcBorders>
            <w:vAlign w:val="center"/>
          </w:tcPr>
          <w:p w14:paraId="19D6BB8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161,927,050.41</w:t>
            </w:r>
          </w:p>
        </w:tc>
      </w:tr>
      <w:tr w14:paraId="630FF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1C34A0F0">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北京文丰天济医药科技有限公司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1828DD9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539,040.16</w:t>
            </w:r>
          </w:p>
        </w:tc>
        <w:tc>
          <w:tcPr>
            <w:tcW w:w="741" w:type="dxa"/>
            <w:tcBorders>
              <w:top w:val="single" w:color="auto" w:sz="2" w:space="0"/>
              <w:left w:val="single" w:color="auto" w:sz="2" w:space="0"/>
              <w:bottom w:val="single" w:color="auto" w:sz="2" w:space="0"/>
              <w:right w:val="single" w:color="auto" w:sz="2" w:space="0"/>
            </w:tcBorders>
            <w:vAlign w:val="center"/>
          </w:tcPr>
          <w:p w14:paraId="06F29AB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23,313,801.51</w:t>
            </w:r>
          </w:p>
        </w:tc>
        <w:tc>
          <w:tcPr>
            <w:tcW w:w="741" w:type="dxa"/>
            <w:tcBorders>
              <w:top w:val="single" w:color="auto" w:sz="2" w:space="0"/>
              <w:left w:val="single" w:color="auto" w:sz="2" w:space="0"/>
              <w:bottom w:val="single" w:color="auto" w:sz="2" w:space="0"/>
              <w:right w:val="single" w:color="auto" w:sz="2" w:space="0"/>
            </w:tcBorders>
            <w:vAlign w:val="center"/>
          </w:tcPr>
          <w:p w14:paraId="62C6090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23,852,841.67</w:t>
            </w:r>
          </w:p>
        </w:tc>
        <w:tc>
          <w:tcPr>
            <w:tcW w:w="741" w:type="dxa"/>
            <w:tcBorders>
              <w:top w:val="single" w:color="auto" w:sz="2" w:space="0"/>
              <w:left w:val="single" w:color="auto" w:sz="2" w:space="0"/>
              <w:bottom w:val="single" w:color="auto" w:sz="2" w:space="0"/>
              <w:right w:val="single" w:color="auto" w:sz="2" w:space="0"/>
            </w:tcBorders>
            <w:vAlign w:val="center"/>
          </w:tcPr>
          <w:p w14:paraId="29777AD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96,754,392.27</w:t>
            </w:r>
          </w:p>
        </w:tc>
        <w:tc>
          <w:tcPr>
            <w:tcW w:w="741" w:type="dxa"/>
            <w:tcBorders>
              <w:top w:val="single" w:color="auto" w:sz="2" w:space="0"/>
              <w:left w:val="single" w:color="auto" w:sz="2" w:space="0"/>
              <w:bottom w:val="single" w:color="auto" w:sz="2" w:space="0"/>
              <w:right w:val="single" w:color="auto" w:sz="2" w:space="0"/>
            </w:tcBorders>
            <w:vAlign w:val="center"/>
          </w:tcPr>
          <w:p w14:paraId="508FBE6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368147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96,754,392.27</w:t>
            </w:r>
          </w:p>
        </w:tc>
        <w:tc>
          <w:tcPr>
            <w:tcW w:w="741" w:type="dxa"/>
            <w:tcBorders>
              <w:top w:val="single" w:color="auto" w:sz="2" w:space="0"/>
              <w:left w:val="single" w:color="auto" w:sz="2" w:space="0"/>
              <w:bottom w:val="single" w:color="auto" w:sz="2" w:space="0"/>
              <w:right w:val="single" w:color="auto" w:sz="2" w:space="0"/>
            </w:tcBorders>
            <w:vAlign w:val="center"/>
          </w:tcPr>
          <w:p w14:paraId="56507DD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394,482.07</w:t>
            </w:r>
          </w:p>
        </w:tc>
        <w:tc>
          <w:tcPr>
            <w:tcW w:w="741" w:type="dxa"/>
            <w:tcBorders>
              <w:top w:val="single" w:color="auto" w:sz="2" w:space="0"/>
              <w:left w:val="single" w:color="auto" w:sz="2" w:space="0"/>
              <w:bottom w:val="single" w:color="auto" w:sz="2" w:space="0"/>
              <w:right w:val="single" w:color="auto" w:sz="2" w:space="0"/>
            </w:tcBorders>
            <w:vAlign w:val="center"/>
          </w:tcPr>
          <w:p w14:paraId="579428B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21,906,492.31</w:t>
            </w:r>
          </w:p>
        </w:tc>
        <w:tc>
          <w:tcPr>
            <w:tcW w:w="741" w:type="dxa"/>
            <w:tcBorders>
              <w:top w:val="single" w:color="auto" w:sz="2" w:space="0"/>
              <w:left w:val="single" w:color="auto" w:sz="2" w:space="0"/>
              <w:bottom w:val="single" w:color="auto" w:sz="2" w:space="0"/>
              <w:right w:val="single" w:color="auto" w:sz="2" w:space="0"/>
            </w:tcBorders>
            <w:vAlign w:val="center"/>
          </w:tcPr>
          <w:p w14:paraId="17CB0C1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22,300,974.38</w:t>
            </w:r>
          </w:p>
        </w:tc>
        <w:tc>
          <w:tcPr>
            <w:tcW w:w="741" w:type="dxa"/>
            <w:tcBorders>
              <w:top w:val="single" w:color="auto" w:sz="2" w:space="0"/>
              <w:left w:val="single" w:color="auto" w:sz="2" w:space="0"/>
              <w:bottom w:val="single" w:color="auto" w:sz="2" w:space="0"/>
              <w:right w:val="single" w:color="auto" w:sz="2" w:space="0"/>
            </w:tcBorders>
            <w:vAlign w:val="center"/>
          </w:tcPr>
          <w:p w14:paraId="0B525BF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90,045,045.70</w:t>
            </w:r>
          </w:p>
        </w:tc>
        <w:tc>
          <w:tcPr>
            <w:tcW w:w="741" w:type="dxa"/>
            <w:tcBorders>
              <w:top w:val="single" w:color="auto" w:sz="2" w:space="0"/>
              <w:left w:val="single" w:color="auto" w:sz="2" w:space="0"/>
              <w:bottom w:val="single" w:color="auto" w:sz="2" w:space="0"/>
              <w:right w:val="single" w:color="auto" w:sz="2" w:space="0"/>
            </w:tcBorders>
            <w:vAlign w:val="center"/>
          </w:tcPr>
          <w:p w14:paraId="301A59B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3C66E1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90,045,045.70</w:t>
            </w:r>
          </w:p>
        </w:tc>
      </w:tr>
      <w:tr w14:paraId="0D3EE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160E45F9">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北京天佑启元生物科技有限公司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3948C55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2,762,230.87</w:t>
            </w:r>
          </w:p>
        </w:tc>
        <w:tc>
          <w:tcPr>
            <w:tcW w:w="741" w:type="dxa"/>
            <w:tcBorders>
              <w:top w:val="single" w:color="auto" w:sz="2" w:space="0"/>
              <w:left w:val="single" w:color="auto" w:sz="2" w:space="0"/>
              <w:bottom w:val="single" w:color="auto" w:sz="2" w:space="0"/>
              <w:right w:val="single" w:color="auto" w:sz="2" w:space="0"/>
            </w:tcBorders>
            <w:vAlign w:val="center"/>
          </w:tcPr>
          <w:p w14:paraId="2FCAFB3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1,118,625.00</w:t>
            </w:r>
          </w:p>
        </w:tc>
        <w:tc>
          <w:tcPr>
            <w:tcW w:w="741" w:type="dxa"/>
            <w:tcBorders>
              <w:top w:val="single" w:color="auto" w:sz="2" w:space="0"/>
              <w:left w:val="single" w:color="auto" w:sz="2" w:space="0"/>
              <w:bottom w:val="single" w:color="auto" w:sz="2" w:space="0"/>
              <w:right w:val="single" w:color="auto" w:sz="2" w:space="0"/>
            </w:tcBorders>
            <w:vAlign w:val="center"/>
          </w:tcPr>
          <w:p w14:paraId="2B38A03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3,880,855.87</w:t>
            </w:r>
          </w:p>
        </w:tc>
        <w:tc>
          <w:tcPr>
            <w:tcW w:w="741" w:type="dxa"/>
            <w:tcBorders>
              <w:top w:val="single" w:color="auto" w:sz="2" w:space="0"/>
              <w:left w:val="single" w:color="auto" w:sz="2" w:space="0"/>
              <w:bottom w:val="single" w:color="auto" w:sz="2" w:space="0"/>
              <w:right w:val="single" w:color="auto" w:sz="2" w:space="0"/>
            </w:tcBorders>
            <w:vAlign w:val="center"/>
          </w:tcPr>
          <w:p w14:paraId="41D27A9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14,092,855.27</w:t>
            </w:r>
          </w:p>
        </w:tc>
        <w:tc>
          <w:tcPr>
            <w:tcW w:w="741" w:type="dxa"/>
            <w:tcBorders>
              <w:top w:val="single" w:color="auto" w:sz="2" w:space="0"/>
              <w:left w:val="single" w:color="auto" w:sz="2" w:space="0"/>
              <w:bottom w:val="single" w:color="auto" w:sz="2" w:space="0"/>
              <w:right w:val="single" w:color="auto" w:sz="2" w:space="0"/>
            </w:tcBorders>
            <w:vAlign w:val="center"/>
          </w:tcPr>
          <w:p w14:paraId="7F8FFE5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E62A72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14,092,855.27</w:t>
            </w:r>
          </w:p>
        </w:tc>
        <w:tc>
          <w:tcPr>
            <w:tcW w:w="741" w:type="dxa"/>
            <w:tcBorders>
              <w:top w:val="single" w:color="auto" w:sz="2" w:space="0"/>
              <w:left w:val="single" w:color="auto" w:sz="2" w:space="0"/>
              <w:bottom w:val="single" w:color="auto" w:sz="2" w:space="0"/>
              <w:right w:val="single" w:color="auto" w:sz="2" w:space="0"/>
            </w:tcBorders>
            <w:vAlign w:val="center"/>
          </w:tcPr>
          <w:p w14:paraId="73C4D01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ED0576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5BA60A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5D7EFF">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5A0568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5F03F8E">
            <w:pPr>
              <w:spacing w:before="0" w:after="0" w:line="240" w:lineRule="exact"/>
              <w:jc w:val="right"/>
              <w:rPr>
                <w:rFonts w:hint="default" w:ascii="Times New Roman" w:hAnsi="Times New Roman" w:eastAsia="宋体" w:cs="Times New Roman"/>
                <w:sz w:val="18"/>
                <w:szCs w:val="18"/>
              </w:rPr>
            </w:pPr>
          </w:p>
        </w:tc>
      </w:tr>
      <w:tr w14:paraId="6FAF9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5DC0354C">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广州聚明生物科技有限公司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5A2D180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457,278.18</w:t>
            </w:r>
          </w:p>
        </w:tc>
        <w:tc>
          <w:tcPr>
            <w:tcW w:w="741" w:type="dxa"/>
            <w:tcBorders>
              <w:top w:val="single" w:color="auto" w:sz="2" w:space="0"/>
              <w:left w:val="single" w:color="auto" w:sz="2" w:space="0"/>
              <w:bottom w:val="single" w:color="auto" w:sz="2" w:space="0"/>
              <w:right w:val="single" w:color="auto" w:sz="2" w:space="0"/>
            </w:tcBorders>
            <w:vAlign w:val="center"/>
          </w:tcPr>
          <w:p w14:paraId="31D32B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4,063,653.16</w:t>
            </w:r>
          </w:p>
        </w:tc>
        <w:tc>
          <w:tcPr>
            <w:tcW w:w="741" w:type="dxa"/>
            <w:tcBorders>
              <w:top w:val="single" w:color="auto" w:sz="2" w:space="0"/>
              <w:left w:val="single" w:color="auto" w:sz="2" w:space="0"/>
              <w:bottom w:val="single" w:color="auto" w:sz="2" w:space="0"/>
              <w:right w:val="single" w:color="auto" w:sz="2" w:space="0"/>
            </w:tcBorders>
            <w:vAlign w:val="center"/>
          </w:tcPr>
          <w:p w14:paraId="1739521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4,520,931.34</w:t>
            </w:r>
          </w:p>
        </w:tc>
        <w:tc>
          <w:tcPr>
            <w:tcW w:w="741" w:type="dxa"/>
            <w:tcBorders>
              <w:top w:val="single" w:color="auto" w:sz="2" w:space="0"/>
              <w:left w:val="single" w:color="auto" w:sz="2" w:space="0"/>
              <w:bottom w:val="single" w:color="auto" w:sz="2" w:space="0"/>
              <w:right w:val="single" w:color="auto" w:sz="2" w:space="0"/>
            </w:tcBorders>
            <w:vAlign w:val="center"/>
          </w:tcPr>
          <w:p w14:paraId="44AC444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1,681,308.78</w:t>
            </w:r>
          </w:p>
        </w:tc>
        <w:tc>
          <w:tcPr>
            <w:tcW w:w="741" w:type="dxa"/>
            <w:tcBorders>
              <w:top w:val="single" w:color="auto" w:sz="2" w:space="0"/>
              <w:left w:val="single" w:color="auto" w:sz="2" w:space="0"/>
              <w:bottom w:val="single" w:color="auto" w:sz="2" w:space="0"/>
              <w:right w:val="single" w:color="auto" w:sz="2" w:space="0"/>
            </w:tcBorders>
            <w:vAlign w:val="center"/>
          </w:tcPr>
          <w:p w14:paraId="12612DE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260974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1,681,308.78</w:t>
            </w:r>
          </w:p>
        </w:tc>
        <w:tc>
          <w:tcPr>
            <w:tcW w:w="741" w:type="dxa"/>
            <w:tcBorders>
              <w:top w:val="single" w:color="auto" w:sz="2" w:space="0"/>
              <w:left w:val="single" w:color="auto" w:sz="2" w:space="0"/>
              <w:bottom w:val="single" w:color="auto" w:sz="2" w:space="0"/>
              <w:right w:val="single" w:color="auto" w:sz="2" w:space="0"/>
            </w:tcBorders>
            <w:vAlign w:val="center"/>
          </w:tcPr>
          <w:p w14:paraId="264AF36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320,005.09</w:t>
            </w:r>
          </w:p>
        </w:tc>
        <w:tc>
          <w:tcPr>
            <w:tcW w:w="741" w:type="dxa"/>
            <w:tcBorders>
              <w:top w:val="single" w:color="auto" w:sz="2" w:space="0"/>
              <w:left w:val="single" w:color="auto" w:sz="2" w:space="0"/>
              <w:bottom w:val="single" w:color="auto" w:sz="2" w:space="0"/>
              <w:right w:val="single" w:color="auto" w:sz="2" w:space="0"/>
            </w:tcBorders>
            <w:vAlign w:val="center"/>
          </w:tcPr>
          <w:p w14:paraId="0D756E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4,699,936.57</w:t>
            </w:r>
          </w:p>
        </w:tc>
        <w:tc>
          <w:tcPr>
            <w:tcW w:w="741" w:type="dxa"/>
            <w:tcBorders>
              <w:top w:val="single" w:color="auto" w:sz="2" w:space="0"/>
              <w:left w:val="single" w:color="auto" w:sz="2" w:space="0"/>
              <w:bottom w:val="single" w:color="auto" w:sz="2" w:space="0"/>
              <w:right w:val="single" w:color="auto" w:sz="2" w:space="0"/>
            </w:tcBorders>
            <w:vAlign w:val="center"/>
          </w:tcPr>
          <w:p w14:paraId="1918B27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5,019,941.66</w:t>
            </w:r>
          </w:p>
        </w:tc>
        <w:tc>
          <w:tcPr>
            <w:tcW w:w="741" w:type="dxa"/>
            <w:tcBorders>
              <w:top w:val="single" w:color="auto" w:sz="2" w:space="0"/>
              <w:left w:val="single" w:color="auto" w:sz="2" w:space="0"/>
              <w:bottom w:val="single" w:color="auto" w:sz="2" w:space="0"/>
              <w:right w:val="single" w:color="auto" w:sz="2" w:space="0"/>
            </w:tcBorders>
            <w:vAlign w:val="center"/>
          </w:tcPr>
          <w:p w14:paraId="2189092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441,126.85</w:t>
            </w:r>
          </w:p>
        </w:tc>
        <w:tc>
          <w:tcPr>
            <w:tcW w:w="741" w:type="dxa"/>
            <w:tcBorders>
              <w:top w:val="single" w:color="auto" w:sz="2" w:space="0"/>
              <w:left w:val="single" w:color="auto" w:sz="2" w:space="0"/>
              <w:bottom w:val="single" w:color="auto" w:sz="2" w:space="0"/>
              <w:right w:val="single" w:color="auto" w:sz="2" w:space="0"/>
            </w:tcBorders>
            <w:vAlign w:val="center"/>
          </w:tcPr>
          <w:p w14:paraId="7577C0A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A6841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441,126.85</w:t>
            </w:r>
          </w:p>
        </w:tc>
      </w:tr>
    </w:tbl>
    <w:p w14:paraId="5B31FED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41B80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C96D05C">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3471749E">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35E117C8">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13EA3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1B9765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74E7540">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C840246">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221778D">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6D34081">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DDFF4A5">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5236A52">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5603D22">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800E4CB">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r>
      <w:tr w14:paraId="3B0E0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C5FBADA">
            <w:pPr>
              <w:spacing w:before="0" w:after="0" w:line="240" w:lineRule="exact"/>
              <w:jc w:val="left"/>
              <w:rPr>
                <w:rFonts w:ascii="宋体" w:hAnsi="宋体" w:eastAsia="宋体" w:cs="宋体"/>
                <w:sz w:val="18"/>
                <w:szCs w:val="18"/>
              </w:rPr>
            </w:pPr>
            <w:r>
              <w:rPr>
                <w:rFonts w:ascii="宋体" w:hAnsi="宋体" w:eastAsia="宋体" w:cs="宋体"/>
                <w:sz w:val="18"/>
                <w:szCs w:val="18"/>
              </w:rPr>
              <w:t>广东中昊药业有限公司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3ADEB10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57,891,288.62</w:t>
            </w:r>
          </w:p>
        </w:tc>
        <w:tc>
          <w:tcPr>
            <w:tcW w:w="1071" w:type="dxa"/>
            <w:tcBorders>
              <w:top w:val="single" w:color="auto" w:sz="2" w:space="0"/>
              <w:left w:val="single" w:color="auto" w:sz="2" w:space="0"/>
              <w:bottom w:val="single" w:color="auto" w:sz="2" w:space="0"/>
              <w:right w:val="single" w:color="auto" w:sz="2" w:space="0"/>
            </w:tcBorders>
            <w:vAlign w:val="center"/>
          </w:tcPr>
          <w:p w14:paraId="26A1988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-2,622,098.22</w:t>
            </w:r>
          </w:p>
        </w:tc>
        <w:tc>
          <w:tcPr>
            <w:tcW w:w="1071" w:type="dxa"/>
            <w:tcBorders>
              <w:top w:val="single" w:color="auto" w:sz="2" w:space="0"/>
              <w:left w:val="single" w:color="auto" w:sz="2" w:space="0"/>
              <w:bottom w:val="single" w:color="auto" w:sz="2" w:space="0"/>
              <w:right w:val="single" w:color="auto" w:sz="2" w:space="0"/>
            </w:tcBorders>
            <w:vAlign w:val="center"/>
          </w:tcPr>
          <w:p w14:paraId="12415BA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-2,622,098.22</w:t>
            </w:r>
          </w:p>
        </w:tc>
        <w:tc>
          <w:tcPr>
            <w:tcW w:w="1071" w:type="dxa"/>
            <w:tcBorders>
              <w:top w:val="single" w:color="auto" w:sz="2" w:space="0"/>
              <w:left w:val="single" w:color="auto" w:sz="2" w:space="0"/>
              <w:bottom w:val="single" w:color="auto" w:sz="2" w:space="0"/>
              <w:right w:val="single" w:color="auto" w:sz="2" w:space="0"/>
            </w:tcBorders>
            <w:vAlign w:val="center"/>
          </w:tcPr>
          <w:p w14:paraId="01FCE9B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-2,373,977.67</w:t>
            </w:r>
          </w:p>
        </w:tc>
        <w:tc>
          <w:tcPr>
            <w:tcW w:w="1071" w:type="dxa"/>
            <w:tcBorders>
              <w:top w:val="single" w:color="auto" w:sz="2" w:space="0"/>
              <w:left w:val="single" w:color="auto" w:sz="2" w:space="0"/>
              <w:bottom w:val="single" w:color="auto" w:sz="2" w:space="0"/>
              <w:right w:val="single" w:color="auto" w:sz="2" w:space="0"/>
            </w:tcBorders>
            <w:vAlign w:val="center"/>
          </w:tcPr>
          <w:p w14:paraId="79FCC18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37,040,716.53</w:t>
            </w:r>
          </w:p>
        </w:tc>
        <w:tc>
          <w:tcPr>
            <w:tcW w:w="1071" w:type="dxa"/>
            <w:tcBorders>
              <w:top w:val="single" w:color="auto" w:sz="2" w:space="0"/>
              <w:left w:val="single" w:color="auto" w:sz="2" w:space="0"/>
              <w:bottom w:val="single" w:color="auto" w:sz="2" w:space="0"/>
              <w:right w:val="single" w:color="auto" w:sz="2" w:space="0"/>
            </w:tcBorders>
            <w:vAlign w:val="center"/>
          </w:tcPr>
          <w:p w14:paraId="18A819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-13,918,756.51</w:t>
            </w:r>
          </w:p>
        </w:tc>
        <w:tc>
          <w:tcPr>
            <w:tcW w:w="1071" w:type="dxa"/>
            <w:tcBorders>
              <w:top w:val="single" w:color="auto" w:sz="2" w:space="0"/>
              <w:left w:val="single" w:color="auto" w:sz="2" w:space="0"/>
              <w:bottom w:val="single" w:color="auto" w:sz="2" w:space="0"/>
              <w:right w:val="single" w:color="auto" w:sz="2" w:space="0"/>
            </w:tcBorders>
            <w:vAlign w:val="center"/>
          </w:tcPr>
          <w:p w14:paraId="38F4D6C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-13,918,756.51</w:t>
            </w:r>
          </w:p>
        </w:tc>
        <w:tc>
          <w:tcPr>
            <w:tcW w:w="1071" w:type="dxa"/>
            <w:tcBorders>
              <w:top w:val="single" w:color="auto" w:sz="2" w:space="0"/>
              <w:left w:val="single" w:color="auto" w:sz="2" w:space="0"/>
              <w:bottom w:val="single" w:color="auto" w:sz="2" w:space="0"/>
              <w:right w:val="single" w:color="auto" w:sz="2" w:space="0"/>
            </w:tcBorders>
            <w:vAlign w:val="center"/>
          </w:tcPr>
          <w:p w14:paraId="1697A65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5,573,504.55</w:t>
            </w:r>
          </w:p>
        </w:tc>
      </w:tr>
      <w:tr w14:paraId="339C8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77F8AA5">
            <w:pPr>
              <w:spacing w:before="0" w:after="0" w:line="240" w:lineRule="exact"/>
              <w:jc w:val="left"/>
              <w:rPr>
                <w:rFonts w:ascii="宋体" w:hAnsi="宋体" w:eastAsia="宋体" w:cs="宋体"/>
                <w:sz w:val="18"/>
                <w:szCs w:val="18"/>
              </w:rPr>
            </w:pPr>
            <w:r>
              <w:rPr>
                <w:rFonts w:ascii="宋体" w:hAnsi="宋体" w:eastAsia="宋体" w:cs="宋体"/>
                <w:sz w:val="18"/>
                <w:szCs w:val="18"/>
              </w:rPr>
              <w:t>北京文丰天济医药科技有限公司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3440600B">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C3229A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-5,157,479.28</w:t>
            </w:r>
          </w:p>
        </w:tc>
        <w:tc>
          <w:tcPr>
            <w:tcW w:w="1071" w:type="dxa"/>
            <w:tcBorders>
              <w:top w:val="single" w:color="auto" w:sz="2" w:space="0"/>
              <w:left w:val="single" w:color="auto" w:sz="2" w:space="0"/>
              <w:bottom w:val="single" w:color="auto" w:sz="2" w:space="0"/>
              <w:right w:val="single" w:color="auto" w:sz="2" w:space="0"/>
            </w:tcBorders>
            <w:vAlign w:val="center"/>
          </w:tcPr>
          <w:p w14:paraId="52550CE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-5,157,479.28</w:t>
            </w:r>
          </w:p>
        </w:tc>
        <w:tc>
          <w:tcPr>
            <w:tcW w:w="1071" w:type="dxa"/>
            <w:tcBorders>
              <w:top w:val="single" w:color="auto" w:sz="2" w:space="0"/>
              <w:left w:val="single" w:color="auto" w:sz="2" w:space="0"/>
              <w:bottom w:val="single" w:color="auto" w:sz="2" w:space="0"/>
              <w:right w:val="single" w:color="auto" w:sz="2" w:space="0"/>
            </w:tcBorders>
            <w:vAlign w:val="center"/>
          </w:tcPr>
          <w:p w14:paraId="13DFB9C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189,829.59</w:t>
            </w:r>
          </w:p>
        </w:tc>
        <w:tc>
          <w:tcPr>
            <w:tcW w:w="1071" w:type="dxa"/>
            <w:tcBorders>
              <w:top w:val="single" w:color="auto" w:sz="2" w:space="0"/>
              <w:left w:val="single" w:color="auto" w:sz="2" w:space="0"/>
              <w:bottom w:val="single" w:color="auto" w:sz="2" w:space="0"/>
              <w:right w:val="single" w:color="auto" w:sz="2" w:space="0"/>
            </w:tcBorders>
            <w:vAlign w:val="center"/>
          </w:tcPr>
          <w:p w14:paraId="1441B8DD">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5CE43A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-8,093,626.34</w:t>
            </w:r>
          </w:p>
        </w:tc>
        <w:tc>
          <w:tcPr>
            <w:tcW w:w="1071" w:type="dxa"/>
            <w:tcBorders>
              <w:top w:val="single" w:color="auto" w:sz="2" w:space="0"/>
              <w:left w:val="single" w:color="auto" w:sz="2" w:space="0"/>
              <w:bottom w:val="single" w:color="auto" w:sz="2" w:space="0"/>
              <w:right w:val="single" w:color="auto" w:sz="2" w:space="0"/>
            </w:tcBorders>
            <w:vAlign w:val="center"/>
          </w:tcPr>
          <w:p w14:paraId="6701CC8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-8,093,626.34</w:t>
            </w:r>
          </w:p>
        </w:tc>
        <w:tc>
          <w:tcPr>
            <w:tcW w:w="1071" w:type="dxa"/>
            <w:tcBorders>
              <w:top w:val="single" w:color="auto" w:sz="2" w:space="0"/>
              <w:left w:val="single" w:color="auto" w:sz="2" w:space="0"/>
              <w:bottom w:val="single" w:color="auto" w:sz="2" w:space="0"/>
              <w:right w:val="single" w:color="auto" w:sz="2" w:space="0"/>
            </w:tcBorders>
            <w:vAlign w:val="center"/>
          </w:tcPr>
          <w:p w14:paraId="77C04E5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5,428,941.99</w:t>
            </w:r>
          </w:p>
        </w:tc>
      </w:tr>
      <w:tr w14:paraId="5D8DE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15DE401">
            <w:pPr>
              <w:spacing w:before="0" w:after="0" w:line="240" w:lineRule="exact"/>
              <w:jc w:val="left"/>
              <w:rPr>
                <w:rFonts w:ascii="宋体" w:hAnsi="宋体" w:eastAsia="宋体" w:cs="宋体"/>
                <w:sz w:val="18"/>
                <w:szCs w:val="18"/>
              </w:rPr>
            </w:pPr>
            <w:r>
              <w:rPr>
                <w:rFonts w:ascii="宋体" w:hAnsi="宋体" w:eastAsia="宋体" w:cs="宋体"/>
                <w:sz w:val="18"/>
                <w:szCs w:val="18"/>
              </w:rPr>
              <w:t>北京天佑启元生物科技有限公司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3A2BAC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374,245.28</w:t>
            </w:r>
          </w:p>
        </w:tc>
        <w:tc>
          <w:tcPr>
            <w:tcW w:w="1071" w:type="dxa"/>
            <w:tcBorders>
              <w:top w:val="single" w:color="auto" w:sz="2" w:space="0"/>
              <w:left w:val="single" w:color="auto" w:sz="2" w:space="0"/>
              <w:bottom w:val="single" w:color="auto" w:sz="2" w:space="0"/>
              <w:right w:val="single" w:color="auto" w:sz="2" w:space="0"/>
            </w:tcBorders>
            <w:vAlign w:val="center"/>
          </w:tcPr>
          <w:p w14:paraId="0C437D2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-10,211,999.40</w:t>
            </w:r>
          </w:p>
        </w:tc>
        <w:tc>
          <w:tcPr>
            <w:tcW w:w="1071" w:type="dxa"/>
            <w:tcBorders>
              <w:top w:val="single" w:color="auto" w:sz="2" w:space="0"/>
              <w:left w:val="single" w:color="auto" w:sz="2" w:space="0"/>
              <w:bottom w:val="single" w:color="auto" w:sz="2" w:space="0"/>
              <w:right w:val="single" w:color="auto" w:sz="2" w:space="0"/>
            </w:tcBorders>
            <w:vAlign w:val="center"/>
          </w:tcPr>
          <w:p w14:paraId="221362B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-10,211,999.40</w:t>
            </w:r>
          </w:p>
        </w:tc>
        <w:tc>
          <w:tcPr>
            <w:tcW w:w="1071" w:type="dxa"/>
            <w:tcBorders>
              <w:top w:val="single" w:color="auto" w:sz="2" w:space="0"/>
              <w:left w:val="single" w:color="auto" w:sz="2" w:space="0"/>
              <w:bottom w:val="single" w:color="auto" w:sz="2" w:space="0"/>
              <w:right w:val="single" w:color="auto" w:sz="2" w:space="0"/>
            </w:tcBorders>
            <w:vAlign w:val="center"/>
          </w:tcPr>
          <w:p w14:paraId="3669374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1,730,646.27</w:t>
            </w:r>
          </w:p>
        </w:tc>
        <w:tc>
          <w:tcPr>
            <w:tcW w:w="1071" w:type="dxa"/>
            <w:tcBorders>
              <w:top w:val="single" w:color="auto" w:sz="2" w:space="0"/>
              <w:left w:val="single" w:color="auto" w:sz="2" w:space="0"/>
              <w:bottom w:val="single" w:color="auto" w:sz="2" w:space="0"/>
              <w:right w:val="single" w:color="auto" w:sz="2" w:space="0"/>
            </w:tcBorders>
            <w:vAlign w:val="center"/>
          </w:tcPr>
          <w:p w14:paraId="423E5AE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C619DE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0594BA1">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7C93B64">
            <w:pPr>
              <w:spacing w:before="0" w:after="0" w:line="240" w:lineRule="exact"/>
              <w:jc w:val="right"/>
              <w:rPr>
                <w:rFonts w:hint="default" w:ascii="Times New Roman" w:hAnsi="Times New Roman" w:eastAsia="宋体" w:cs="Times New Roman"/>
                <w:sz w:val="18"/>
                <w:szCs w:val="18"/>
              </w:rPr>
            </w:pPr>
          </w:p>
        </w:tc>
      </w:tr>
      <w:tr w14:paraId="0E5F4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E50C90F">
            <w:pPr>
              <w:spacing w:before="0" w:after="0" w:line="240" w:lineRule="exact"/>
              <w:jc w:val="left"/>
              <w:rPr>
                <w:rFonts w:ascii="宋体" w:hAnsi="宋体" w:eastAsia="宋体" w:cs="宋体"/>
                <w:sz w:val="18"/>
                <w:szCs w:val="18"/>
              </w:rPr>
            </w:pPr>
            <w:r>
              <w:rPr>
                <w:rFonts w:ascii="宋体" w:hAnsi="宋体" w:eastAsia="宋体" w:cs="宋体"/>
                <w:sz w:val="18"/>
                <w:szCs w:val="18"/>
              </w:rPr>
              <w:t>广州聚明生物科技有限公司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64711A2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35,115.04</w:t>
            </w:r>
          </w:p>
        </w:tc>
        <w:tc>
          <w:tcPr>
            <w:tcW w:w="1071" w:type="dxa"/>
            <w:tcBorders>
              <w:top w:val="single" w:color="auto" w:sz="2" w:space="0"/>
              <w:left w:val="single" w:color="auto" w:sz="2" w:space="0"/>
              <w:bottom w:val="single" w:color="auto" w:sz="2" w:space="0"/>
              <w:right w:val="single" w:color="auto" w:sz="2" w:space="0"/>
            </w:tcBorders>
            <w:vAlign w:val="center"/>
          </w:tcPr>
          <w:p w14:paraId="7BE67EA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-1,739,192.25</w:t>
            </w:r>
          </w:p>
        </w:tc>
        <w:tc>
          <w:tcPr>
            <w:tcW w:w="1071" w:type="dxa"/>
            <w:tcBorders>
              <w:top w:val="single" w:color="auto" w:sz="2" w:space="0"/>
              <w:left w:val="single" w:color="auto" w:sz="2" w:space="0"/>
              <w:bottom w:val="single" w:color="auto" w:sz="2" w:space="0"/>
              <w:right w:val="single" w:color="auto" w:sz="2" w:space="0"/>
            </w:tcBorders>
            <w:vAlign w:val="center"/>
          </w:tcPr>
          <w:p w14:paraId="044CCE4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-1,739,192.25</w:t>
            </w:r>
          </w:p>
        </w:tc>
        <w:tc>
          <w:tcPr>
            <w:tcW w:w="1071" w:type="dxa"/>
            <w:tcBorders>
              <w:top w:val="single" w:color="auto" w:sz="2" w:space="0"/>
              <w:left w:val="single" w:color="auto" w:sz="2" w:space="0"/>
              <w:bottom w:val="single" w:color="auto" w:sz="2" w:space="0"/>
              <w:right w:val="single" w:color="auto" w:sz="2" w:space="0"/>
            </w:tcBorders>
            <w:vAlign w:val="center"/>
          </w:tcPr>
          <w:p w14:paraId="4EEAB23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-119,331.39</w:t>
            </w:r>
          </w:p>
        </w:tc>
        <w:tc>
          <w:tcPr>
            <w:tcW w:w="1071" w:type="dxa"/>
            <w:tcBorders>
              <w:top w:val="single" w:color="auto" w:sz="2" w:space="0"/>
              <w:left w:val="single" w:color="auto" w:sz="2" w:space="0"/>
              <w:bottom w:val="single" w:color="auto" w:sz="2" w:space="0"/>
              <w:right w:val="single" w:color="auto" w:sz="2" w:space="0"/>
            </w:tcBorders>
            <w:vAlign w:val="center"/>
          </w:tcPr>
          <w:p w14:paraId="62B2E2A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-850,941.57</w:t>
            </w:r>
          </w:p>
        </w:tc>
        <w:tc>
          <w:tcPr>
            <w:tcW w:w="1071" w:type="dxa"/>
            <w:tcBorders>
              <w:top w:val="single" w:color="auto" w:sz="2" w:space="0"/>
              <w:left w:val="single" w:color="auto" w:sz="2" w:space="0"/>
              <w:bottom w:val="single" w:color="auto" w:sz="2" w:space="0"/>
              <w:right w:val="single" w:color="auto" w:sz="2" w:space="0"/>
            </w:tcBorders>
            <w:vAlign w:val="center"/>
          </w:tcPr>
          <w:p w14:paraId="0759E676">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AC83F4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-116,480.05</w:t>
            </w:r>
          </w:p>
        </w:tc>
        <w:tc>
          <w:tcPr>
            <w:tcW w:w="1071" w:type="dxa"/>
            <w:tcBorders>
              <w:top w:val="single" w:color="auto" w:sz="2" w:space="0"/>
              <w:left w:val="single" w:color="auto" w:sz="2" w:space="0"/>
              <w:bottom w:val="single" w:color="auto" w:sz="2" w:space="0"/>
              <w:right w:val="single" w:color="auto" w:sz="2" w:space="0"/>
            </w:tcBorders>
            <w:vAlign w:val="center"/>
          </w:tcPr>
          <w:p w14:paraId="408141B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-850,941.57</w:t>
            </w:r>
          </w:p>
        </w:tc>
      </w:tr>
    </w:tbl>
    <w:p w14:paraId="6CC983F7">
      <w:pPr>
        <w:spacing w:before="100" w:after="100" w:line="240" w:lineRule="exact"/>
        <w:jc w:val="left"/>
        <w:rPr>
          <w:rFonts w:hint="eastAsia" w:ascii="宋体" w:hAnsi="宋体" w:eastAsia="宋体" w:cs="宋体"/>
          <w:sz w:val="18"/>
          <w:szCs w:val="18"/>
          <w:lang w:val="en-US" w:eastAsia="zh-CN"/>
        </w:rPr>
      </w:pPr>
      <w:r>
        <w:rPr>
          <w:rFonts w:ascii="宋体" w:hAnsi="宋体" w:eastAsia="宋体" w:cs="宋体"/>
          <w:sz w:val="18"/>
          <w:szCs w:val="18"/>
        </w:rPr>
        <w:t>其他说明：</w:t>
      </w:r>
      <w:r>
        <w:rPr>
          <w:rFonts w:hint="eastAsia" w:ascii="宋体" w:hAnsi="宋体" w:cs="宋体"/>
          <w:sz w:val="18"/>
          <w:szCs w:val="18"/>
          <w:lang w:val="en-US" w:eastAsia="zh-CN"/>
        </w:rPr>
        <w:t>无</w:t>
      </w:r>
    </w:p>
    <w:p w14:paraId="7DC264BB">
      <w:pPr>
        <w:pStyle w:val="3"/>
        <w:keepNext/>
        <w:keepLines/>
        <w:spacing w:before="300" w:after="300" w:line="280" w:lineRule="exact"/>
        <w:jc w:val="left"/>
        <w:outlineLvl w:val="2"/>
        <w:rPr>
          <w:rFonts w:ascii="宋体" w:hAnsi="宋体" w:eastAsia="宋体" w:cs="宋体"/>
          <w:b/>
          <w:bCs/>
          <w:sz w:val="21"/>
          <w:szCs w:val="21"/>
        </w:rPr>
      </w:pPr>
      <w:bookmarkStart w:id="401" w:name="_Toc989208"/>
      <w:r>
        <w:rPr>
          <w:rFonts w:hint="default" w:ascii="Times New Roman" w:hAnsi="Times New Roman" w:eastAsia="宋体" w:cs="Times New Roman"/>
          <w:b/>
          <w:bCs/>
          <w:sz w:val="21"/>
          <w:szCs w:val="21"/>
        </w:rPr>
        <w:t>2</w:t>
      </w:r>
      <w:r>
        <w:rPr>
          <w:rFonts w:ascii="宋体" w:hAnsi="宋体" w:eastAsia="宋体" w:cs="宋体"/>
          <w:b/>
          <w:bCs/>
          <w:sz w:val="21"/>
          <w:szCs w:val="21"/>
        </w:rPr>
        <w:t>、在合营企业或联营企业中的权益</w:t>
      </w:r>
      <w:bookmarkEnd w:id="401"/>
    </w:p>
    <w:p w14:paraId="4318D279">
      <w:pPr>
        <w:keepNext/>
        <w:keepLines/>
        <w:spacing w:before="300" w:after="300" w:line="280" w:lineRule="exact"/>
        <w:jc w:val="left"/>
        <w:outlineLvl w:val="3"/>
        <w:rPr>
          <w:rFonts w:ascii="宋体" w:hAnsi="宋体" w:eastAsia="宋体" w:cs="宋体"/>
          <w:b/>
          <w:bCs/>
          <w:sz w:val="21"/>
          <w:szCs w:val="21"/>
        </w:rPr>
      </w:pPr>
      <w:bookmarkStart w:id="402" w:name="_Toc989209"/>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不重要的合营企业和联营企业的汇总财务信息</w:t>
      </w:r>
      <w:bookmarkEnd w:id="402"/>
    </w:p>
    <w:p w14:paraId="74EB92A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2DE9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A99841"/>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54E19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31AB6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14:paraId="09A55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80A766">
            <w:pPr>
              <w:spacing w:before="40" w:after="40" w:line="240" w:lineRule="exact"/>
              <w:jc w:val="left"/>
              <w:rPr>
                <w:rFonts w:ascii="宋体" w:hAnsi="宋体" w:eastAsia="宋体" w:cs="宋体"/>
                <w:sz w:val="18"/>
                <w:szCs w:val="18"/>
              </w:rPr>
            </w:pPr>
            <w:r>
              <w:rPr>
                <w:rFonts w:ascii="宋体" w:hAnsi="宋体" w:eastAsia="宋体" w:cs="宋体"/>
                <w:sz w:val="18"/>
                <w:szCs w:val="18"/>
              </w:rPr>
              <w:t>合营企业：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313725"/>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E6A822"/>
        </w:tc>
      </w:tr>
      <w:tr w14:paraId="4349B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9D1C8C">
            <w:pPr>
              <w:spacing w:before="40" w:after="40" w:line="240" w:lineRule="exact"/>
              <w:jc w:val="left"/>
              <w:rPr>
                <w:rFonts w:ascii="宋体" w:hAnsi="宋体" w:eastAsia="宋体" w:cs="宋体"/>
                <w:sz w:val="18"/>
                <w:szCs w:val="18"/>
              </w:rPr>
            </w:pPr>
            <w:r>
              <w:rPr>
                <w:rFonts w:ascii="宋体" w:hAnsi="宋体" w:eastAsia="宋体" w:cs="宋体"/>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35F2B5"/>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317F22"/>
        </w:tc>
      </w:tr>
      <w:tr w14:paraId="6549D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A9AB6C">
            <w:pPr>
              <w:spacing w:before="40" w:after="40" w:line="240" w:lineRule="exact"/>
              <w:jc w:val="left"/>
              <w:rPr>
                <w:rFonts w:ascii="宋体" w:hAnsi="宋体" w:eastAsia="宋体" w:cs="宋体"/>
                <w:sz w:val="18"/>
                <w:szCs w:val="18"/>
              </w:rPr>
            </w:pPr>
            <w:r>
              <w:rPr>
                <w:rFonts w:ascii="宋体" w:hAnsi="宋体" w:eastAsia="宋体" w:cs="宋体"/>
                <w:sz w:val="18"/>
                <w:szCs w:val="18"/>
              </w:rPr>
              <w:t>联营企业：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59E035"/>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B4B12C"/>
        </w:tc>
      </w:tr>
      <w:tr w14:paraId="590DA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F3C269">
            <w:pPr>
              <w:spacing w:before="40" w:after="40" w:line="240" w:lineRule="exact"/>
              <w:jc w:val="left"/>
              <w:rPr>
                <w:rFonts w:ascii="宋体" w:hAnsi="宋体" w:eastAsia="宋体" w:cs="宋体"/>
                <w:sz w:val="18"/>
                <w:szCs w:val="18"/>
              </w:rPr>
            </w:pPr>
            <w:r>
              <w:rPr>
                <w:rFonts w:ascii="宋体" w:hAnsi="宋体" w:eastAsia="宋体" w:cs="宋体"/>
                <w:sz w:val="18"/>
                <w:szCs w:val="18"/>
              </w:rPr>
              <w:t>投资账面价值合计</w:t>
            </w:r>
          </w:p>
        </w:tc>
        <w:tc>
          <w:tcPr>
            <w:tcW w:w="3213" w:type="dxa"/>
            <w:tcBorders>
              <w:top w:val="single" w:color="auto" w:sz="2" w:space="0"/>
              <w:left w:val="single" w:color="auto" w:sz="2" w:space="0"/>
              <w:bottom w:val="single" w:color="auto" w:sz="2" w:space="0"/>
              <w:right w:val="single" w:color="auto" w:sz="2" w:space="0"/>
            </w:tcBorders>
            <w:vAlign w:val="center"/>
          </w:tcPr>
          <w:p w14:paraId="006B821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191,582.56</w:t>
            </w:r>
          </w:p>
        </w:tc>
        <w:tc>
          <w:tcPr>
            <w:tcW w:w="3213" w:type="dxa"/>
            <w:tcBorders>
              <w:top w:val="single" w:color="auto" w:sz="2" w:space="0"/>
              <w:left w:val="single" w:color="auto" w:sz="2" w:space="0"/>
              <w:bottom w:val="single" w:color="auto" w:sz="2" w:space="0"/>
              <w:right w:val="single" w:color="auto" w:sz="2" w:space="0"/>
            </w:tcBorders>
            <w:vAlign w:val="center"/>
          </w:tcPr>
          <w:p w14:paraId="795A895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48,490.18</w:t>
            </w:r>
          </w:p>
        </w:tc>
      </w:tr>
      <w:tr w14:paraId="22B65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497E18">
            <w:pPr>
              <w:spacing w:before="40" w:after="40" w:line="240" w:lineRule="exact"/>
              <w:jc w:val="left"/>
              <w:rPr>
                <w:rFonts w:ascii="宋体" w:hAnsi="宋体" w:eastAsia="宋体" w:cs="宋体"/>
                <w:sz w:val="18"/>
                <w:szCs w:val="18"/>
              </w:rPr>
            </w:pPr>
            <w:r>
              <w:rPr>
                <w:rFonts w:ascii="宋体" w:hAnsi="宋体" w:eastAsia="宋体" w:cs="宋体"/>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37B4A3">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8F9B6C">
            <w:pPr>
              <w:spacing w:before="0" w:after="0" w:line="240" w:lineRule="exact"/>
              <w:jc w:val="right"/>
              <w:rPr>
                <w:rFonts w:hint="default" w:ascii="Times New Roman" w:hAnsi="Times New Roman" w:eastAsia="宋体" w:cs="Times New Roman"/>
                <w:sz w:val="18"/>
                <w:szCs w:val="18"/>
              </w:rPr>
            </w:pPr>
          </w:p>
        </w:tc>
      </w:tr>
      <w:tr w14:paraId="1E5D6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13587A">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14:paraId="42E0B8C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-61,034.31</w:t>
            </w:r>
          </w:p>
        </w:tc>
        <w:tc>
          <w:tcPr>
            <w:tcW w:w="3213" w:type="dxa"/>
            <w:tcBorders>
              <w:top w:val="single" w:color="auto" w:sz="2" w:space="0"/>
              <w:left w:val="single" w:color="auto" w:sz="2" w:space="0"/>
              <w:bottom w:val="single" w:color="auto" w:sz="2" w:space="0"/>
              <w:right w:val="single" w:color="auto" w:sz="2" w:space="0"/>
            </w:tcBorders>
            <w:vAlign w:val="center"/>
          </w:tcPr>
          <w:p w14:paraId="312ACF8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536,203.10</w:t>
            </w:r>
          </w:p>
        </w:tc>
      </w:tr>
      <w:tr w14:paraId="465CE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EE34DA">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40F9CAF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-61,034.31</w:t>
            </w:r>
          </w:p>
        </w:tc>
        <w:tc>
          <w:tcPr>
            <w:tcW w:w="3213" w:type="dxa"/>
            <w:tcBorders>
              <w:top w:val="single" w:color="auto" w:sz="2" w:space="0"/>
              <w:left w:val="single" w:color="auto" w:sz="2" w:space="0"/>
              <w:bottom w:val="single" w:color="auto" w:sz="2" w:space="0"/>
              <w:right w:val="single" w:color="auto" w:sz="2" w:space="0"/>
            </w:tcBorders>
            <w:vAlign w:val="center"/>
          </w:tcPr>
          <w:p w14:paraId="7F5F850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536,203.10</w:t>
            </w:r>
          </w:p>
        </w:tc>
      </w:tr>
    </w:tbl>
    <w:p w14:paraId="7DB41FD5">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6AA9F0AB">
      <w:pPr>
        <w:pStyle w:val="2"/>
        <w:keepNext/>
        <w:keepLines/>
        <w:spacing w:before="300" w:after="300" w:line="320" w:lineRule="exact"/>
        <w:jc w:val="left"/>
        <w:outlineLvl w:val="1"/>
        <w:rPr>
          <w:rFonts w:ascii="宋体" w:hAnsi="宋体" w:eastAsia="宋体" w:cs="宋体"/>
          <w:b/>
          <w:bCs/>
          <w:sz w:val="24"/>
          <w:szCs w:val="24"/>
        </w:rPr>
      </w:pPr>
      <w:bookmarkStart w:id="403" w:name="_Toc27490"/>
      <w:bookmarkStart w:id="404" w:name="_Toc989210"/>
      <w:r>
        <w:rPr>
          <w:rFonts w:ascii="宋体" w:hAnsi="宋体" w:eastAsia="宋体" w:cs="宋体"/>
          <w:b/>
          <w:bCs/>
          <w:sz w:val="24"/>
          <w:szCs w:val="24"/>
        </w:rPr>
        <w:t>十一、政府补助</w:t>
      </w:r>
      <w:bookmarkEnd w:id="403"/>
      <w:bookmarkEnd w:id="404"/>
    </w:p>
    <w:p w14:paraId="6EAB0189">
      <w:pPr>
        <w:pStyle w:val="3"/>
        <w:keepNext/>
        <w:keepLines/>
        <w:spacing w:before="300" w:after="300" w:line="280" w:lineRule="exact"/>
        <w:jc w:val="left"/>
        <w:outlineLvl w:val="2"/>
        <w:rPr>
          <w:rFonts w:ascii="宋体" w:hAnsi="宋体" w:eastAsia="宋体" w:cs="宋体"/>
          <w:b/>
          <w:bCs/>
          <w:sz w:val="21"/>
          <w:szCs w:val="21"/>
        </w:rPr>
      </w:pPr>
      <w:bookmarkStart w:id="405" w:name="_Toc989211"/>
      <w:r>
        <w:rPr>
          <w:rFonts w:hint="default" w:ascii="Times New Roman" w:hAnsi="Times New Roman" w:eastAsia="宋体" w:cs="Times New Roman"/>
          <w:b/>
          <w:bCs/>
          <w:sz w:val="21"/>
          <w:szCs w:val="21"/>
        </w:rPr>
        <w:t>1</w:t>
      </w:r>
      <w:r>
        <w:rPr>
          <w:rFonts w:ascii="宋体" w:hAnsi="宋体" w:eastAsia="宋体" w:cs="宋体"/>
          <w:b/>
          <w:bCs/>
          <w:sz w:val="21"/>
          <w:szCs w:val="21"/>
        </w:rPr>
        <w:t>、报告期末按应收金额确认的政府补助</w:t>
      </w:r>
      <w:bookmarkEnd w:id="405"/>
    </w:p>
    <w:p w14:paraId="1B62B84B">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FE06D56">
      <w:pPr>
        <w:spacing w:before="0" w:after="0" w:line="240" w:lineRule="exact"/>
        <w:jc w:val="left"/>
        <w:rPr>
          <w:rFonts w:ascii="宋体" w:hAnsi="宋体" w:eastAsia="宋体" w:cs="宋体"/>
          <w:sz w:val="18"/>
          <w:szCs w:val="18"/>
        </w:rPr>
      </w:pPr>
      <w:r>
        <w:rPr>
          <w:rFonts w:ascii="宋体" w:hAnsi="宋体" w:eastAsia="宋体" w:cs="宋体"/>
          <w:sz w:val="18"/>
          <w:szCs w:val="18"/>
        </w:rPr>
        <w:t>未能在预计时点收到预计金额的政府补助的原因</w:t>
      </w:r>
    </w:p>
    <w:p w14:paraId="2598DBB6">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2B85255">
      <w:pPr>
        <w:pStyle w:val="3"/>
        <w:keepNext/>
        <w:keepLines/>
        <w:spacing w:before="300" w:after="300" w:line="280" w:lineRule="exact"/>
        <w:jc w:val="left"/>
        <w:outlineLvl w:val="2"/>
        <w:rPr>
          <w:rFonts w:ascii="宋体" w:hAnsi="宋体" w:eastAsia="宋体" w:cs="宋体"/>
          <w:b/>
          <w:bCs/>
          <w:sz w:val="21"/>
          <w:szCs w:val="21"/>
        </w:rPr>
      </w:pPr>
      <w:bookmarkStart w:id="406" w:name="_Toc989212"/>
      <w:r>
        <w:rPr>
          <w:rFonts w:hint="default" w:ascii="Times New Roman" w:hAnsi="Times New Roman" w:eastAsia="宋体" w:cs="Times New Roman"/>
          <w:b/>
          <w:bCs/>
          <w:sz w:val="21"/>
          <w:szCs w:val="21"/>
        </w:rPr>
        <w:t>2</w:t>
      </w:r>
      <w:r>
        <w:rPr>
          <w:rFonts w:ascii="宋体" w:hAnsi="宋体" w:eastAsia="宋体" w:cs="宋体"/>
          <w:b/>
          <w:bCs/>
          <w:sz w:val="21"/>
          <w:szCs w:val="21"/>
        </w:rPr>
        <w:t>、涉及政府补助的负债项目</w:t>
      </w:r>
      <w:bookmarkEnd w:id="406"/>
    </w:p>
    <w:p w14:paraId="7FCAC18F">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1527397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88"/>
        <w:gridCol w:w="1210"/>
        <w:gridCol w:w="1117"/>
        <w:gridCol w:w="1205"/>
        <w:gridCol w:w="1205"/>
        <w:gridCol w:w="1205"/>
        <w:gridCol w:w="1205"/>
      </w:tblGrid>
      <w:tr w14:paraId="7EFDC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C1A8E69">
            <w:pPr>
              <w:spacing w:before="40" w:after="40" w:line="240" w:lineRule="exact"/>
              <w:jc w:val="center"/>
              <w:rPr>
                <w:rFonts w:ascii="宋体" w:hAnsi="宋体" w:eastAsia="宋体" w:cs="宋体"/>
                <w:sz w:val="18"/>
                <w:szCs w:val="18"/>
              </w:rPr>
            </w:pPr>
            <w:r>
              <w:rPr>
                <w:rFonts w:ascii="宋体" w:hAnsi="宋体" w:eastAsia="宋体" w:cs="宋体"/>
                <w:sz w:val="18"/>
                <w:szCs w:val="18"/>
              </w:rPr>
              <w:t>会计科目</w:t>
            </w:r>
          </w:p>
        </w:tc>
        <w:tc>
          <w:tcPr>
            <w:tcW w:w="1288" w:type="dxa"/>
            <w:tcBorders>
              <w:top w:val="single" w:color="auto" w:sz="2" w:space="0"/>
              <w:left w:val="single" w:color="auto" w:sz="2" w:space="0"/>
              <w:bottom w:val="single" w:color="auto" w:sz="2" w:space="0"/>
              <w:right w:val="single" w:color="auto" w:sz="2" w:space="0"/>
            </w:tcBorders>
            <w:shd w:val="clear" w:color="auto" w:fill="D3D3D3"/>
            <w:vAlign w:val="center"/>
          </w:tcPr>
          <w:p w14:paraId="4C9B864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210" w:type="dxa"/>
            <w:tcBorders>
              <w:top w:val="single" w:color="auto" w:sz="2" w:space="0"/>
              <w:left w:val="single" w:color="auto" w:sz="2" w:space="0"/>
              <w:bottom w:val="single" w:color="auto" w:sz="2" w:space="0"/>
              <w:right w:val="single" w:color="auto" w:sz="2" w:space="0"/>
            </w:tcBorders>
            <w:shd w:val="clear" w:color="auto" w:fill="D3D3D3"/>
            <w:vAlign w:val="center"/>
          </w:tcPr>
          <w:p w14:paraId="7F7FB76D">
            <w:pPr>
              <w:spacing w:before="40" w:after="40" w:line="240" w:lineRule="exact"/>
              <w:jc w:val="center"/>
              <w:rPr>
                <w:rFonts w:ascii="宋体" w:hAnsi="宋体" w:eastAsia="宋体" w:cs="宋体"/>
                <w:sz w:val="18"/>
                <w:szCs w:val="18"/>
              </w:rPr>
            </w:pPr>
            <w:r>
              <w:rPr>
                <w:rFonts w:ascii="宋体" w:hAnsi="宋体" w:eastAsia="宋体" w:cs="宋体"/>
                <w:sz w:val="18"/>
                <w:szCs w:val="18"/>
              </w:rPr>
              <w:t>本期新增补助金额</w:t>
            </w:r>
          </w:p>
        </w:tc>
        <w:tc>
          <w:tcPr>
            <w:tcW w:w="1117" w:type="dxa"/>
            <w:tcBorders>
              <w:top w:val="single" w:color="auto" w:sz="2" w:space="0"/>
              <w:left w:val="single" w:color="auto" w:sz="2" w:space="0"/>
              <w:bottom w:val="single" w:color="auto" w:sz="2" w:space="0"/>
              <w:right w:val="single" w:color="auto" w:sz="2" w:space="0"/>
            </w:tcBorders>
            <w:shd w:val="clear" w:color="auto" w:fill="D3D3D3"/>
            <w:vAlign w:val="center"/>
          </w:tcPr>
          <w:p w14:paraId="02BE0AD1">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本期计入营业外收入金额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6577605">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本期转入其他收益金额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4D1F8E5">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本期其他变动</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E92D551">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A212666">
            <w:pPr>
              <w:spacing w:before="40" w:after="40" w:line="240" w:lineRule="exact"/>
              <w:jc w:val="center"/>
              <w:rPr>
                <w:rFonts w:ascii="宋体" w:hAnsi="宋体" w:eastAsia="宋体" w:cs="宋体"/>
                <w:sz w:val="18"/>
                <w:szCs w:val="18"/>
              </w:rPr>
            </w:pPr>
            <w:r>
              <w:rPr>
                <w:rFonts w:ascii="宋体" w:hAnsi="宋体" w:eastAsia="宋体" w:cs="宋体"/>
                <w:sz w:val="18"/>
                <w:szCs w:val="18"/>
              </w:rPr>
              <w:t>与资产/收益相关</w:t>
            </w:r>
          </w:p>
        </w:tc>
      </w:tr>
      <w:tr w14:paraId="45901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F33883E">
            <w:pPr>
              <w:spacing w:before="40" w:after="40" w:line="240" w:lineRule="exact"/>
              <w:jc w:val="left"/>
              <w:rPr>
                <w:rFonts w:ascii="宋体" w:hAnsi="宋体" w:eastAsia="宋体" w:cs="宋体"/>
                <w:sz w:val="18"/>
                <w:szCs w:val="18"/>
              </w:rPr>
            </w:pPr>
            <w:r>
              <w:rPr>
                <w:rFonts w:ascii="宋体" w:hAnsi="宋体" w:eastAsia="宋体" w:cs="宋体"/>
                <w:sz w:val="18"/>
                <w:szCs w:val="18"/>
              </w:rPr>
              <w:t>递延收益</w:t>
            </w:r>
          </w:p>
        </w:tc>
        <w:tc>
          <w:tcPr>
            <w:tcW w:w="1288" w:type="dxa"/>
            <w:tcBorders>
              <w:top w:val="single" w:color="auto" w:sz="2" w:space="0"/>
              <w:left w:val="single" w:color="auto" w:sz="2" w:space="0"/>
              <w:bottom w:val="single" w:color="auto" w:sz="2" w:space="0"/>
              <w:right w:val="single" w:color="auto" w:sz="2" w:space="0"/>
            </w:tcBorders>
            <w:vAlign w:val="center"/>
          </w:tcPr>
          <w:p w14:paraId="72A5A54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19,428,904.50</w:t>
            </w:r>
          </w:p>
        </w:tc>
        <w:tc>
          <w:tcPr>
            <w:tcW w:w="1210" w:type="dxa"/>
            <w:tcBorders>
              <w:top w:val="single" w:color="auto" w:sz="2" w:space="0"/>
              <w:left w:val="single" w:color="auto" w:sz="2" w:space="0"/>
              <w:bottom w:val="single" w:color="auto" w:sz="2" w:space="0"/>
              <w:right w:val="single" w:color="auto" w:sz="2" w:space="0"/>
            </w:tcBorders>
            <w:vAlign w:val="center"/>
          </w:tcPr>
          <w:p w14:paraId="637A6594">
            <w:pPr>
              <w:spacing w:before="0" w:after="0" w:line="240" w:lineRule="exact"/>
              <w:jc w:val="right"/>
              <w:rPr>
                <w:rFonts w:hint="default" w:ascii="Times New Roman" w:hAnsi="Times New Roman" w:eastAsia="宋体" w:cs="Times New Roman"/>
                <w:sz w:val="18"/>
                <w:szCs w:val="18"/>
              </w:rPr>
            </w:pPr>
          </w:p>
        </w:tc>
        <w:tc>
          <w:tcPr>
            <w:tcW w:w="1117" w:type="dxa"/>
            <w:tcBorders>
              <w:top w:val="single" w:color="auto" w:sz="2" w:space="0"/>
              <w:left w:val="single" w:color="auto" w:sz="2" w:space="0"/>
              <w:bottom w:val="single" w:color="auto" w:sz="2" w:space="0"/>
              <w:right w:val="single" w:color="auto" w:sz="2" w:space="0"/>
            </w:tcBorders>
            <w:vAlign w:val="center"/>
          </w:tcPr>
          <w:p w14:paraId="5ACF8C92">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C74E84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1,217,910.12</w:t>
            </w:r>
          </w:p>
        </w:tc>
        <w:tc>
          <w:tcPr>
            <w:tcW w:w="1205" w:type="dxa"/>
            <w:tcBorders>
              <w:top w:val="single" w:color="auto" w:sz="2" w:space="0"/>
              <w:left w:val="single" w:color="auto" w:sz="2" w:space="0"/>
              <w:bottom w:val="single" w:color="auto" w:sz="2" w:space="0"/>
              <w:right w:val="single" w:color="auto" w:sz="2" w:space="0"/>
            </w:tcBorders>
            <w:vAlign w:val="center"/>
          </w:tcPr>
          <w:p w14:paraId="35BC38BB">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35FF04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18,210,994.38</w:t>
            </w:r>
          </w:p>
        </w:tc>
        <w:tc>
          <w:tcPr>
            <w:tcW w:w="1205" w:type="dxa"/>
            <w:tcBorders>
              <w:top w:val="single" w:color="auto" w:sz="2" w:space="0"/>
              <w:left w:val="single" w:color="auto" w:sz="2" w:space="0"/>
              <w:bottom w:val="single" w:color="auto" w:sz="2" w:space="0"/>
              <w:right w:val="single" w:color="auto" w:sz="2" w:space="0"/>
            </w:tcBorders>
            <w:vAlign w:val="center"/>
          </w:tcPr>
          <w:p w14:paraId="041F6B2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与资产相关</w:t>
            </w:r>
          </w:p>
        </w:tc>
      </w:tr>
      <w:tr w14:paraId="783C0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08BD084">
            <w:pPr>
              <w:spacing w:before="0" w:after="0" w:line="240" w:lineRule="exact"/>
              <w:jc w:val="left"/>
              <w:rPr>
                <w:rFonts w:ascii="宋体" w:hAnsi="宋体" w:eastAsia="宋体" w:cs="宋体"/>
                <w:sz w:val="18"/>
                <w:szCs w:val="18"/>
              </w:rPr>
            </w:pPr>
            <w:r>
              <w:rPr>
                <w:rFonts w:ascii="宋体" w:hAnsi="宋体" w:eastAsia="宋体" w:cs="宋体"/>
                <w:sz w:val="18"/>
                <w:szCs w:val="18"/>
              </w:rPr>
              <w:t>递延收益</w:t>
            </w:r>
          </w:p>
        </w:tc>
        <w:tc>
          <w:tcPr>
            <w:tcW w:w="1288" w:type="dxa"/>
            <w:tcBorders>
              <w:top w:val="single" w:color="auto" w:sz="2" w:space="0"/>
              <w:left w:val="single" w:color="auto" w:sz="2" w:space="0"/>
              <w:bottom w:val="single" w:color="auto" w:sz="2" w:space="0"/>
              <w:right w:val="single" w:color="auto" w:sz="2" w:space="0"/>
            </w:tcBorders>
            <w:vAlign w:val="center"/>
          </w:tcPr>
          <w:p w14:paraId="5FF7559A">
            <w:pPr>
              <w:spacing w:before="0" w:after="0" w:line="240" w:lineRule="exact"/>
              <w:jc w:val="right"/>
              <w:rPr>
                <w:rFonts w:hint="default" w:ascii="Times New Roman" w:hAnsi="Times New Roman" w:eastAsia="宋体" w:cs="Times New Roman"/>
                <w:sz w:val="18"/>
                <w:szCs w:val="18"/>
              </w:rPr>
            </w:pPr>
          </w:p>
        </w:tc>
        <w:tc>
          <w:tcPr>
            <w:tcW w:w="1210" w:type="dxa"/>
            <w:tcBorders>
              <w:top w:val="single" w:color="auto" w:sz="2" w:space="0"/>
              <w:left w:val="single" w:color="auto" w:sz="2" w:space="0"/>
              <w:bottom w:val="single" w:color="auto" w:sz="2" w:space="0"/>
              <w:right w:val="single" w:color="auto" w:sz="2" w:space="0"/>
            </w:tcBorders>
            <w:vAlign w:val="center"/>
          </w:tcPr>
          <w:p w14:paraId="73F02BA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1,241,805.05</w:t>
            </w:r>
          </w:p>
        </w:tc>
        <w:tc>
          <w:tcPr>
            <w:tcW w:w="1117" w:type="dxa"/>
            <w:tcBorders>
              <w:top w:val="single" w:color="auto" w:sz="2" w:space="0"/>
              <w:left w:val="single" w:color="auto" w:sz="2" w:space="0"/>
              <w:bottom w:val="single" w:color="auto" w:sz="2" w:space="0"/>
              <w:right w:val="single" w:color="auto" w:sz="2" w:space="0"/>
            </w:tcBorders>
            <w:vAlign w:val="center"/>
          </w:tcPr>
          <w:p w14:paraId="243F0023">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1C634C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1,241,805.05</w:t>
            </w:r>
          </w:p>
        </w:tc>
        <w:tc>
          <w:tcPr>
            <w:tcW w:w="1205" w:type="dxa"/>
            <w:tcBorders>
              <w:top w:val="single" w:color="auto" w:sz="2" w:space="0"/>
              <w:left w:val="single" w:color="auto" w:sz="2" w:space="0"/>
              <w:bottom w:val="single" w:color="auto" w:sz="2" w:space="0"/>
              <w:right w:val="single" w:color="auto" w:sz="2" w:space="0"/>
            </w:tcBorders>
            <w:vAlign w:val="center"/>
          </w:tcPr>
          <w:p w14:paraId="2686E464">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EB39C0E">
            <w:pPr>
              <w:spacing w:before="0" w:after="0" w:line="240" w:lineRule="exact"/>
              <w:jc w:val="right"/>
              <w:rPr>
                <w:rFonts w:hint="default"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6E7546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与收益相关</w:t>
            </w:r>
          </w:p>
        </w:tc>
      </w:tr>
    </w:tbl>
    <w:p w14:paraId="0EEEE149">
      <w:pPr>
        <w:pStyle w:val="3"/>
        <w:keepNext/>
        <w:keepLines/>
        <w:spacing w:before="300" w:after="300" w:line="280" w:lineRule="exact"/>
        <w:jc w:val="left"/>
        <w:outlineLvl w:val="2"/>
        <w:rPr>
          <w:rFonts w:ascii="宋体" w:hAnsi="宋体" w:eastAsia="宋体" w:cs="宋体"/>
          <w:b/>
          <w:bCs/>
          <w:sz w:val="21"/>
          <w:szCs w:val="21"/>
        </w:rPr>
      </w:pPr>
      <w:bookmarkStart w:id="407" w:name="_Toc989213"/>
      <w:r>
        <w:rPr>
          <w:rFonts w:hint="default" w:ascii="Times New Roman" w:hAnsi="Times New Roman" w:eastAsia="宋体" w:cs="Times New Roman"/>
          <w:b/>
          <w:bCs/>
          <w:sz w:val="21"/>
          <w:szCs w:val="21"/>
        </w:rPr>
        <w:t>3</w:t>
      </w:r>
      <w:r>
        <w:rPr>
          <w:rFonts w:ascii="宋体" w:hAnsi="宋体" w:eastAsia="宋体" w:cs="宋体"/>
          <w:b/>
          <w:bCs/>
          <w:sz w:val="21"/>
          <w:szCs w:val="21"/>
        </w:rPr>
        <w:t>、计入当期损益的政府补助</w:t>
      </w:r>
      <w:bookmarkEnd w:id="407"/>
    </w:p>
    <w:p w14:paraId="01EB4C31">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43438BC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1612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DD1F88">
            <w:pPr>
              <w:spacing w:before="40" w:after="40" w:line="240" w:lineRule="exact"/>
              <w:jc w:val="center"/>
              <w:rPr>
                <w:rFonts w:ascii="宋体" w:hAnsi="宋体" w:eastAsia="宋体" w:cs="宋体"/>
                <w:sz w:val="18"/>
                <w:szCs w:val="18"/>
              </w:rPr>
            </w:pPr>
            <w:r>
              <w:rPr>
                <w:rFonts w:ascii="宋体" w:hAnsi="宋体" w:eastAsia="宋体" w:cs="宋体"/>
                <w:sz w:val="18"/>
                <w:szCs w:val="18"/>
              </w:rPr>
              <w:t>会计科目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5F2F2F">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C17393">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01B64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A93EE6E">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3213" w:type="dxa"/>
            <w:tcBorders>
              <w:top w:val="single" w:color="auto" w:sz="2" w:space="0"/>
              <w:left w:val="single" w:color="auto" w:sz="2" w:space="0"/>
              <w:bottom w:val="single" w:color="auto" w:sz="2" w:space="0"/>
              <w:right w:val="single" w:color="auto" w:sz="2" w:space="0"/>
            </w:tcBorders>
            <w:vAlign w:val="center"/>
          </w:tcPr>
          <w:p w14:paraId="0A2131E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2,459,715.17</w:t>
            </w:r>
          </w:p>
        </w:tc>
        <w:tc>
          <w:tcPr>
            <w:tcW w:w="3213" w:type="dxa"/>
            <w:tcBorders>
              <w:top w:val="single" w:color="auto" w:sz="2" w:space="0"/>
              <w:left w:val="single" w:color="auto" w:sz="2" w:space="0"/>
              <w:bottom w:val="single" w:color="auto" w:sz="2" w:space="0"/>
              <w:right w:val="single" w:color="auto" w:sz="2" w:space="0"/>
            </w:tcBorders>
            <w:vAlign w:val="center"/>
          </w:tcPr>
          <w:p w14:paraId="4DE015F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9,579,849.74</w:t>
            </w:r>
          </w:p>
        </w:tc>
      </w:tr>
    </w:tbl>
    <w:p w14:paraId="4411E5B3">
      <w:pPr>
        <w:pStyle w:val="2"/>
        <w:keepNext/>
        <w:keepLines/>
        <w:spacing w:before="300" w:after="300" w:line="320" w:lineRule="exact"/>
        <w:jc w:val="left"/>
        <w:outlineLvl w:val="1"/>
        <w:rPr>
          <w:rFonts w:ascii="宋体" w:hAnsi="宋体" w:eastAsia="宋体" w:cs="宋体"/>
          <w:b/>
          <w:bCs/>
          <w:sz w:val="24"/>
          <w:szCs w:val="24"/>
        </w:rPr>
      </w:pPr>
      <w:bookmarkStart w:id="408" w:name="_Toc15022"/>
      <w:bookmarkStart w:id="409" w:name="_Toc989214"/>
      <w:r>
        <w:rPr>
          <w:rFonts w:ascii="宋体" w:hAnsi="宋体" w:eastAsia="宋体" w:cs="宋体"/>
          <w:b/>
          <w:bCs/>
          <w:sz w:val="24"/>
          <w:szCs w:val="24"/>
        </w:rPr>
        <w:t>十二、与金融工具相关的风险</w:t>
      </w:r>
      <w:bookmarkEnd w:id="408"/>
      <w:bookmarkEnd w:id="409"/>
    </w:p>
    <w:p w14:paraId="244B718D">
      <w:pPr>
        <w:keepNext w:val="0"/>
        <w:keepLines w:val="0"/>
        <w:widowControl/>
        <w:numPr>
          <w:ilvl w:val="0"/>
          <w:numId w:val="3"/>
        </w:numPr>
        <w:suppressLineNumbers w:val="0"/>
        <w:spacing w:before="0" w:beforeAutospacing="1" w:after="0" w:afterAutospacing="1"/>
        <w:ind w:left="720" w:hanging="360"/>
      </w:pPr>
      <w:r>
        <w:rPr>
          <w:rFonts w:hint="eastAsia" w:ascii="宋体" w:hAnsi="宋体" w:eastAsia="宋体" w:cs="宋体"/>
          <w:sz w:val="18"/>
          <w:szCs w:val="18"/>
        </w:rPr>
        <w:t>信用风险</w:t>
      </w:r>
    </w:p>
    <w:p w14:paraId="73C069F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sz w:val="18"/>
          <w:szCs w:val="18"/>
        </w:rPr>
      </w:pPr>
      <w:r>
        <w:rPr>
          <w:rFonts w:hint="eastAsia" w:ascii="宋体" w:hAnsi="宋体" w:eastAsia="宋体" w:cs="宋体"/>
          <w:sz w:val="18"/>
          <w:szCs w:val="18"/>
        </w:rPr>
        <w:t>公司制定了客户信用风险评级管理办法，通过对已有客户信用评级的季度监控以及应收账款账龄分析的月度审核来确保公司的整体信用风险在可控的范围内。</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12</w:t>
      </w:r>
      <w:r>
        <w:rPr>
          <w:rFonts w:hint="eastAsia" w:ascii="宋体" w:hAnsi="宋体" w:eastAsia="宋体" w:cs="宋体"/>
          <w:sz w:val="18"/>
          <w:szCs w:val="18"/>
        </w:rPr>
        <w:t>月</w:t>
      </w:r>
      <w:r>
        <w:rPr>
          <w:rFonts w:hint="default" w:ascii="Times New Roman" w:hAnsi="Times New Roman" w:eastAsia="宋体" w:cs="Times New Roman"/>
          <w:sz w:val="18"/>
          <w:szCs w:val="18"/>
        </w:rPr>
        <w:t>31</w:t>
      </w:r>
      <w:r>
        <w:rPr>
          <w:rFonts w:hint="eastAsia" w:ascii="宋体" w:hAnsi="宋体" w:eastAsia="宋体" w:cs="宋体"/>
          <w:sz w:val="18"/>
          <w:szCs w:val="18"/>
        </w:rPr>
        <w:t>日应收账款账面价值为</w:t>
      </w:r>
      <w:r>
        <w:rPr>
          <w:rFonts w:hint="default" w:ascii="Times New Roman" w:hAnsi="Times New Roman" w:eastAsia="宋体" w:cs="Times New Roman"/>
          <w:sz w:val="18"/>
          <w:szCs w:val="18"/>
        </w:rPr>
        <w:t>52</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452</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503</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66</w:t>
      </w:r>
      <w:r>
        <w:rPr>
          <w:rFonts w:hint="eastAsia" w:ascii="宋体" w:hAnsi="宋体" w:eastAsia="宋体" w:cs="宋体"/>
          <w:sz w:val="18"/>
          <w:szCs w:val="18"/>
        </w:rPr>
        <w:t>元，占资产总额的</w:t>
      </w:r>
      <w:r>
        <w:rPr>
          <w:rFonts w:hint="default" w:ascii="Times New Roman" w:hAnsi="Times New Roman" w:eastAsia="宋体" w:cs="Times New Roman"/>
          <w:sz w:val="18"/>
          <w:szCs w:val="18"/>
        </w:rPr>
        <w:t>6</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50</w:t>
      </w:r>
      <w:r>
        <w:rPr>
          <w:rFonts w:hint="eastAsia" w:ascii="Times New Roman" w:hAnsi="Times New Roman" w:eastAsia="宋体" w:cs="Times New Roman"/>
          <w:sz w:val="18"/>
          <w:szCs w:val="18"/>
        </w:rPr>
        <w:t>%</w:t>
      </w:r>
      <w:r>
        <w:rPr>
          <w:rFonts w:hint="eastAsia" w:ascii="宋体" w:hAnsi="宋体" w:eastAsia="宋体" w:cs="宋体"/>
          <w:sz w:val="18"/>
          <w:szCs w:val="18"/>
        </w:rPr>
        <w:t>，欠款单位主要为各大公立医院，不能到期偿还的风险较小。</w:t>
      </w:r>
    </w:p>
    <w:p w14:paraId="53E9512E">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Autospacing="0"/>
        <w:ind w:left="0" w:firstLine="360" w:firstLineChars="200"/>
        <w:textAlignment w:val="auto"/>
        <w:rPr>
          <w:sz w:val="18"/>
          <w:szCs w:val="18"/>
        </w:rPr>
      </w:pPr>
      <w:r>
        <w:rPr>
          <w:rFonts w:hint="eastAsia" w:ascii="宋体" w:hAnsi="宋体" w:eastAsia="宋体" w:cs="宋体"/>
          <w:sz w:val="18"/>
          <w:szCs w:val="18"/>
        </w:rPr>
        <w:t>市场风险</w:t>
      </w:r>
    </w:p>
    <w:p w14:paraId="50B5F6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sz w:val="18"/>
          <w:szCs w:val="18"/>
        </w:rPr>
      </w:pPr>
      <w:r>
        <w:rPr>
          <w:rFonts w:hint="default" w:ascii="Times New Roman" w:hAnsi="Times New Roman" w:eastAsia="宋体" w:cs="Times New Roman"/>
          <w:sz w:val="18"/>
          <w:szCs w:val="18"/>
        </w:rPr>
        <w:t>1</w:t>
      </w:r>
      <w:r>
        <w:rPr>
          <w:rFonts w:hint="eastAsia" w:ascii="宋体" w:hAnsi="宋体" w:eastAsia="宋体" w:cs="宋体"/>
          <w:sz w:val="18"/>
          <w:szCs w:val="18"/>
        </w:rPr>
        <w:t>.利率风险</w:t>
      </w:r>
    </w:p>
    <w:p w14:paraId="18731F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sz w:val="18"/>
          <w:szCs w:val="18"/>
        </w:rPr>
      </w:pPr>
      <w:r>
        <w:rPr>
          <w:rFonts w:hint="eastAsia" w:ascii="宋体" w:hAnsi="宋体" w:eastAsia="宋体" w:cs="宋体"/>
          <w:sz w:val="18"/>
          <w:szCs w:val="18"/>
        </w:rPr>
        <w:t>利率风险，是指金融工具的公允价值或未来现金流量因市场利率变动而发生波动的风险。本公司面临的利率风险主要来源于银行借款，截止</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12</w:t>
      </w:r>
      <w:r>
        <w:rPr>
          <w:rFonts w:hint="eastAsia" w:ascii="宋体" w:hAnsi="宋体" w:eastAsia="宋体" w:cs="宋体"/>
          <w:sz w:val="18"/>
          <w:szCs w:val="18"/>
        </w:rPr>
        <w:t>月</w:t>
      </w:r>
      <w:r>
        <w:rPr>
          <w:rFonts w:hint="default" w:ascii="Times New Roman" w:hAnsi="Times New Roman" w:eastAsia="宋体" w:cs="Times New Roman"/>
          <w:sz w:val="18"/>
          <w:szCs w:val="18"/>
        </w:rPr>
        <w:t>31</w:t>
      </w:r>
      <w:r>
        <w:rPr>
          <w:rFonts w:hint="eastAsia" w:ascii="宋体" w:hAnsi="宋体" w:eastAsia="宋体" w:cs="宋体"/>
          <w:sz w:val="18"/>
          <w:szCs w:val="18"/>
        </w:rPr>
        <w:t>日本公司短期借款及长期借款余额</w:t>
      </w:r>
      <w:r>
        <w:rPr>
          <w:rFonts w:hint="eastAsia" w:ascii="Times New Roman" w:hAnsi="Times New Roman" w:eastAsia="宋体" w:cs="Times New Roman"/>
          <w:sz w:val="18"/>
          <w:szCs w:val="18"/>
        </w:rPr>
        <w:t>为</w:t>
      </w:r>
      <w:r>
        <w:rPr>
          <w:rFonts w:hint="default" w:ascii="Times New Roman" w:hAnsi="Times New Roman" w:eastAsia="宋体" w:cs="Times New Roman"/>
          <w:sz w:val="18"/>
          <w:szCs w:val="18"/>
        </w:rPr>
        <w:t>118</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893</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620</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65</w:t>
      </w:r>
      <w:r>
        <w:rPr>
          <w:rFonts w:hint="eastAsia" w:ascii="宋体" w:hAnsi="宋体" w:eastAsia="宋体" w:cs="宋体"/>
          <w:sz w:val="18"/>
          <w:szCs w:val="18"/>
        </w:rPr>
        <w:t>元，</w:t>
      </w:r>
      <w:r>
        <w:rPr>
          <w:rFonts w:hint="default" w:ascii="Times New Roman" w:hAnsi="Times New Roman" w:eastAsia="宋体" w:cs="Times New Roman"/>
          <w:sz w:val="18"/>
          <w:szCs w:val="18"/>
        </w:rPr>
        <w:t>2025</w:t>
      </w:r>
      <w:r>
        <w:rPr>
          <w:rFonts w:hint="eastAsia" w:ascii="宋体" w:hAnsi="宋体" w:eastAsia="宋体" w:cs="宋体"/>
          <w:sz w:val="18"/>
          <w:szCs w:val="18"/>
        </w:rPr>
        <w:t>年借款利息支出为</w:t>
      </w:r>
      <w:r>
        <w:rPr>
          <w:rFonts w:hint="default" w:ascii="Times New Roman" w:hAnsi="Times New Roman" w:eastAsia="宋体" w:cs="Times New Roman"/>
          <w:sz w:val="18"/>
          <w:szCs w:val="18"/>
        </w:rPr>
        <w:t>3,645,396.80</w:t>
      </w:r>
      <w:r>
        <w:rPr>
          <w:rFonts w:hint="eastAsia" w:ascii="宋体" w:hAnsi="宋体" w:eastAsia="宋体" w:cs="宋体"/>
          <w:sz w:val="18"/>
          <w:szCs w:val="18"/>
        </w:rPr>
        <w:t>元，公司采用浮动利率政策，在其他变量保持不变的情况下，如果以浮动利率计算的借款利率上升或下降</w:t>
      </w:r>
      <w:r>
        <w:rPr>
          <w:rFonts w:hint="default" w:ascii="Times New Roman" w:hAnsi="Times New Roman" w:eastAsia="宋体" w:cs="Times New Roman"/>
          <w:sz w:val="18"/>
          <w:szCs w:val="18"/>
        </w:rPr>
        <w:t>100</w:t>
      </w:r>
      <w:r>
        <w:rPr>
          <w:rFonts w:hint="eastAsia" w:ascii="宋体" w:hAnsi="宋体" w:eastAsia="宋体" w:cs="宋体"/>
          <w:sz w:val="18"/>
          <w:szCs w:val="18"/>
        </w:rPr>
        <w:t>个基点，对本公司的净利润影响较少。</w:t>
      </w:r>
    </w:p>
    <w:p w14:paraId="7FE43D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sz w:val="18"/>
          <w:szCs w:val="18"/>
        </w:rPr>
      </w:pPr>
      <w:r>
        <w:rPr>
          <w:rFonts w:hint="default" w:ascii="Times New Roman" w:hAnsi="Times New Roman" w:eastAsia="宋体" w:cs="Times New Roman"/>
          <w:sz w:val="18"/>
          <w:szCs w:val="18"/>
        </w:rPr>
        <w:t>2</w:t>
      </w:r>
      <w:r>
        <w:rPr>
          <w:rFonts w:hint="eastAsia" w:ascii="宋体" w:hAnsi="宋体" w:eastAsia="宋体" w:cs="宋体"/>
          <w:sz w:val="18"/>
          <w:szCs w:val="18"/>
        </w:rPr>
        <w:t>.汇率风险</w:t>
      </w:r>
    </w:p>
    <w:p w14:paraId="4B3777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sz w:val="18"/>
          <w:szCs w:val="18"/>
        </w:rPr>
      </w:pPr>
      <w:r>
        <w:rPr>
          <w:rFonts w:hint="eastAsia" w:ascii="宋体" w:hAnsi="宋体" w:eastAsia="宋体" w:cs="宋体"/>
          <w:sz w:val="18"/>
          <w:szCs w:val="18"/>
        </w:rPr>
        <w:t>本公司面临的外汇风险主要来源于以港币、美元计价的金融资产和金融负债，外币金融资产和外币金融负债折算成人民币的金额列示如下：</w:t>
      </w:r>
    </w:p>
    <w:tbl>
      <w:tblPr>
        <w:tblStyle w:val="7"/>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36"/>
        <w:gridCol w:w="1446"/>
        <w:gridCol w:w="1356"/>
        <w:gridCol w:w="1446"/>
        <w:gridCol w:w="1356"/>
        <w:gridCol w:w="1356"/>
        <w:gridCol w:w="1356"/>
      </w:tblGrid>
      <w:tr w14:paraId="467C55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9" w:hRule="atLeast"/>
        </w:trPr>
        <w:tc>
          <w:tcPr>
            <w:tcW w:w="0" w:type="auto"/>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1BEE1ED">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项目</w:t>
            </w:r>
          </w:p>
        </w:tc>
        <w:tc>
          <w:tcPr>
            <w:tcW w:w="3704" w:type="dxa"/>
            <w:gridSpan w:val="3"/>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EAAFE1A">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期末余额</w:t>
            </w:r>
          </w:p>
        </w:tc>
        <w:tc>
          <w:tcPr>
            <w:tcW w:w="3684"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DEBFC6">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年初余额</w:t>
            </w:r>
          </w:p>
        </w:tc>
      </w:tr>
      <w:tr w14:paraId="66EB0F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9" w:hRule="atLeast"/>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BBD01B">
            <w:pPr>
              <w:rPr>
                <w:rFonts w:hint="default" w:ascii="Times New Roman" w:hAnsi="Times New Roman" w:cs="Times New Roman"/>
                <w:sz w:val="20"/>
                <w:szCs w:val="20"/>
              </w:rPr>
            </w:pPr>
          </w:p>
        </w:tc>
        <w:tc>
          <w:tcPr>
            <w:tcW w:w="129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CA12869">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美元</w:t>
            </w:r>
          </w:p>
        </w:tc>
        <w:tc>
          <w:tcPr>
            <w:tcW w:w="113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4650702">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港币</w:t>
            </w:r>
          </w:p>
        </w:tc>
        <w:tc>
          <w:tcPr>
            <w:tcW w:w="12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8BC5CC">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合计</w:t>
            </w:r>
          </w:p>
        </w:tc>
        <w:tc>
          <w:tcPr>
            <w:tcW w:w="12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040834">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美元</w:t>
            </w:r>
          </w:p>
        </w:tc>
        <w:tc>
          <w:tcPr>
            <w:tcW w:w="12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B5FC8B">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港币</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3F36EB">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合计</w:t>
            </w:r>
          </w:p>
        </w:tc>
      </w:tr>
      <w:tr w14:paraId="027DC5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9" w:hRule="atLeast"/>
        </w:trPr>
        <w:tc>
          <w:tcPr>
            <w:tcW w:w="0" w:type="auto"/>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BE284D0">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货币资金</w:t>
            </w:r>
          </w:p>
        </w:tc>
        <w:tc>
          <w:tcPr>
            <w:tcW w:w="129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BD471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511,636.33 </w:t>
            </w:r>
          </w:p>
        </w:tc>
        <w:tc>
          <w:tcPr>
            <w:tcW w:w="113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A7499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72,021.69 </w:t>
            </w:r>
          </w:p>
        </w:tc>
        <w:tc>
          <w:tcPr>
            <w:tcW w:w="12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5220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583,658.02 </w:t>
            </w:r>
          </w:p>
        </w:tc>
        <w:tc>
          <w:tcPr>
            <w:tcW w:w="12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46FB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20,900.49 </w:t>
            </w:r>
          </w:p>
        </w:tc>
        <w:tc>
          <w:tcPr>
            <w:tcW w:w="12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5DD1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77,379.81 </w:t>
            </w:r>
          </w:p>
        </w:tc>
        <w:tc>
          <w:tcPr>
            <w:tcW w:w="11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9C59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98,280.30 </w:t>
            </w:r>
          </w:p>
        </w:tc>
      </w:tr>
      <w:tr w14:paraId="462506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9" w:hRule="atLeast"/>
        </w:trPr>
        <w:tc>
          <w:tcPr>
            <w:tcW w:w="0" w:type="auto"/>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D4513C9">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合计</w:t>
            </w:r>
          </w:p>
        </w:tc>
        <w:tc>
          <w:tcPr>
            <w:tcW w:w="129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97A35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511,636.33 </w:t>
            </w:r>
          </w:p>
        </w:tc>
        <w:tc>
          <w:tcPr>
            <w:tcW w:w="113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94564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72,021.69 </w:t>
            </w:r>
          </w:p>
        </w:tc>
        <w:tc>
          <w:tcPr>
            <w:tcW w:w="12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18F02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583,658.02 </w:t>
            </w:r>
          </w:p>
        </w:tc>
        <w:tc>
          <w:tcPr>
            <w:tcW w:w="12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74AE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20,900.49 </w:t>
            </w:r>
          </w:p>
        </w:tc>
        <w:tc>
          <w:tcPr>
            <w:tcW w:w="12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BCD7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77,379.81 </w:t>
            </w:r>
          </w:p>
        </w:tc>
        <w:tc>
          <w:tcPr>
            <w:tcW w:w="11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47454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98,280.30 </w:t>
            </w:r>
          </w:p>
        </w:tc>
      </w:tr>
    </w:tbl>
    <w:p w14:paraId="6F506A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textAlignment w:val="auto"/>
        <w:rPr>
          <w:sz w:val="18"/>
          <w:szCs w:val="18"/>
        </w:rPr>
      </w:pPr>
      <w:r>
        <w:rPr>
          <w:rFonts w:hint="default" w:ascii="Times New Roman" w:hAnsi="Times New Roman" w:eastAsia="宋体" w:cs="Times New Roman"/>
          <w:sz w:val="18"/>
          <w:szCs w:val="18"/>
        </w:rPr>
        <w:t>3</w:t>
      </w:r>
      <w:r>
        <w:rPr>
          <w:rFonts w:hint="eastAsia" w:ascii="宋体" w:hAnsi="宋体" w:eastAsia="宋体" w:cs="宋体"/>
          <w:sz w:val="18"/>
          <w:szCs w:val="18"/>
        </w:rPr>
        <w:t>.其他价格风险</w:t>
      </w:r>
    </w:p>
    <w:p w14:paraId="0048DD9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auto"/>
        <w:rPr>
          <w:rFonts w:hint="default" w:ascii="Times New Roman" w:hAnsi="Times New Roman" w:cs="Times New Roman"/>
          <w:sz w:val="18"/>
          <w:szCs w:val="18"/>
        </w:rPr>
      </w:pPr>
      <w:r>
        <w:rPr>
          <w:rFonts w:hint="eastAsia" w:ascii="宋体" w:hAnsi="宋体" w:eastAsia="宋体" w:cs="宋体"/>
          <w:sz w:val="18"/>
          <w:szCs w:val="18"/>
        </w:rPr>
        <w:t>本公司报告期期末未持有其他上市公司的权益投资，不存在应披露的价格风险。</w:t>
      </w:r>
    </w:p>
    <w:p w14:paraId="18303B46">
      <w:pPr>
        <w:pStyle w:val="2"/>
        <w:keepNext/>
        <w:keepLines/>
        <w:spacing w:before="300" w:after="300" w:line="320" w:lineRule="exact"/>
        <w:jc w:val="left"/>
        <w:outlineLvl w:val="1"/>
        <w:rPr>
          <w:rFonts w:ascii="宋体" w:hAnsi="宋体" w:eastAsia="宋体" w:cs="宋体"/>
          <w:b/>
          <w:bCs/>
          <w:sz w:val="24"/>
          <w:szCs w:val="24"/>
        </w:rPr>
      </w:pPr>
      <w:bookmarkStart w:id="410" w:name="_Toc989215"/>
      <w:bookmarkStart w:id="411" w:name="_Toc416"/>
      <w:r>
        <w:rPr>
          <w:rFonts w:ascii="宋体" w:hAnsi="宋体" w:eastAsia="宋体" w:cs="宋体"/>
          <w:b/>
          <w:bCs/>
          <w:sz w:val="24"/>
          <w:szCs w:val="24"/>
        </w:rPr>
        <w:t>十三、与金融工具相关的风险</w:t>
      </w:r>
      <w:bookmarkEnd w:id="410"/>
      <w:bookmarkEnd w:id="411"/>
    </w:p>
    <w:p w14:paraId="5B645B92">
      <w:pPr>
        <w:pStyle w:val="2"/>
        <w:keepNext/>
        <w:keepLines/>
        <w:spacing w:before="300" w:after="300" w:line="320" w:lineRule="exact"/>
        <w:jc w:val="left"/>
        <w:outlineLvl w:val="1"/>
        <w:rPr>
          <w:rFonts w:ascii="宋体" w:hAnsi="宋体" w:eastAsia="宋体" w:cs="宋体"/>
          <w:b/>
          <w:bCs/>
          <w:sz w:val="24"/>
          <w:szCs w:val="24"/>
        </w:rPr>
      </w:pPr>
      <w:bookmarkStart w:id="412" w:name="_Toc21498"/>
      <w:bookmarkStart w:id="413" w:name="_Toc989216"/>
      <w:r>
        <w:rPr>
          <w:rFonts w:ascii="宋体" w:hAnsi="宋体" w:eastAsia="宋体" w:cs="宋体"/>
          <w:b/>
          <w:bCs/>
          <w:sz w:val="24"/>
          <w:szCs w:val="24"/>
        </w:rPr>
        <w:t>十四、公允价值的披露</w:t>
      </w:r>
      <w:bookmarkEnd w:id="412"/>
      <w:bookmarkEnd w:id="413"/>
    </w:p>
    <w:p w14:paraId="66ED84B8">
      <w:pPr>
        <w:pStyle w:val="3"/>
        <w:keepNext/>
        <w:keepLines/>
        <w:spacing w:before="300" w:after="300" w:line="280" w:lineRule="exact"/>
        <w:jc w:val="left"/>
        <w:outlineLvl w:val="2"/>
        <w:rPr>
          <w:rFonts w:ascii="宋体" w:hAnsi="宋体" w:eastAsia="宋体" w:cs="宋体"/>
          <w:b/>
          <w:bCs/>
          <w:sz w:val="21"/>
          <w:szCs w:val="21"/>
        </w:rPr>
      </w:pPr>
      <w:bookmarkStart w:id="414" w:name="_Toc989217"/>
      <w:r>
        <w:rPr>
          <w:rFonts w:hint="default" w:ascii="Times New Roman" w:hAnsi="Times New Roman" w:eastAsia="宋体" w:cs="Times New Roman"/>
          <w:b/>
          <w:bCs/>
          <w:sz w:val="21"/>
          <w:szCs w:val="21"/>
        </w:rPr>
        <w:t>1</w:t>
      </w:r>
      <w:r>
        <w:rPr>
          <w:rFonts w:ascii="宋体" w:hAnsi="宋体" w:eastAsia="宋体" w:cs="宋体"/>
          <w:b/>
          <w:bCs/>
          <w:sz w:val="21"/>
          <w:szCs w:val="21"/>
        </w:rPr>
        <w:t>、其他</w:t>
      </w:r>
      <w:bookmarkEnd w:id="414"/>
    </w:p>
    <w:p w14:paraId="088C66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sz w:val="18"/>
          <w:szCs w:val="18"/>
        </w:rPr>
      </w:pPr>
      <w:r>
        <w:rPr>
          <w:rFonts w:hint="eastAsia" w:ascii="宋体" w:hAnsi="宋体" w:eastAsia="宋体" w:cs="宋体"/>
          <w:sz w:val="18"/>
          <w:szCs w:val="18"/>
        </w:rPr>
        <w:t>(一)按公允价值层级对以公允价值计量的资产和负债进行分析</w:t>
      </w:r>
    </w:p>
    <w:tbl>
      <w:tblPr>
        <w:tblStyle w:val="7"/>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533"/>
        <w:gridCol w:w="1580"/>
        <w:gridCol w:w="1580"/>
        <w:gridCol w:w="1580"/>
        <w:gridCol w:w="1580"/>
      </w:tblGrid>
      <w:tr w14:paraId="51B9A6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trPr>
        <w:tc>
          <w:tcPr>
            <w:tcW w:w="179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17EE6F">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项目</w:t>
            </w:r>
          </w:p>
        </w:tc>
        <w:tc>
          <w:tcPr>
            <w:tcW w:w="801"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428267">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第一层次公允价值计量</w:t>
            </w:r>
          </w:p>
        </w:tc>
        <w:tc>
          <w:tcPr>
            <w:tcW w:w="801"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3EDD3F">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第二层次公允价值计量</w:t>
            </w:r>
          </w:p>
        </w:tc>
        <w:tc>
          <w:tcPr>
            <w:tcW w:w="801"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395D96">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第三层次公允价值计量</w:t>
            </w:r>
          </w:p>
        </w:tc>
        <w:tc>
          <w:tcPr>
            <w:tcW w:w="801"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611515">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期末余额</w:t>
            </w:r>
          </w:p>
        </w:tc>
      </w:tr>
      <w:tr w14:paraId="7D6995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trPr>
        <w:tc>
          <w:tcPr>
            <w:tcW w:w="179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351A8E">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一、持续的公允价值计量</w:t>
            </w:r>
          </w:p>
        </w:tc>
        <w:tc>
          <w:tcPr>
            <w:tcW w:w="80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A06896">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p>
        </w:tc>
        <w:tc>
          <w:tcPr>
            <w:tcW w:w="80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05D1A9">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p>
        </w:tc>
        <w:tc>
          <w:tcPr>
            <w:tcW w:w="1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EF5FEF">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sz w:val="18"/>
                <w:szCs w:val="18"/>
              </w:rPr>
              <w:t>15,000,000.00</w:t>
            </w:r>
          </w:p>
        </w:tc>
        <w:tc>
          <w:tcPr>
            <w:tcW w:w="13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907D2D">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sz w:val="18"/>
                <w:szCs w:val="18"/>
              </w:rPr>
              <w:t>15,000,000.00</w:t>
            </w:r>
          </w:p>
        </w:tc>
      </w:tr>
      <w:tr w14:paraId="67B723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trPr>
        <w:tc>
          <w:tcPr>
            <w:tcW w:w="179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617F07">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其他权益工具投资</w:t>
            </w:r>
          </w:p>
        </w:tc>
        <w:tc>
          <w:tcPr>
            <w:tcW w:w="80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D12F02">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p>
        </w:tc>
        <w:tc>
          <w:tcPr>
            <w:tcW w:w="80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4E8A3D">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p>
        </w:tc>
        <w:tc>
          <w:tcPr>
            <w:tcW w:w="1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C3929D">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sz w:val="18"/>
                <w:szCs w:val="18"/>
              </w:rPr>
              <w:t>15,000,000.00</w:t>
            </w:r>
          </w:p>
        </w:tc>
        <w:tc>
          <w:tcPr>
            <w:tcW w:w="13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0B0275">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sz w:val="18"/>
                <w:szCs w:val="18"/>
              </w:rPr>
              <w:t>15,000,000.00</w:t>
            </w:r>
          </w:p>
        </w:tc>
      </w:tr>
    </w:tbl>
    <w:p w14:paraId="57E7864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宋体" w:hAnsi="宋体" w:eastAsia="宋体" w:cs="宋体"/>
          <w:sz w:val="18"/>
          <w:szCs w:val="18"/>
        </w:rPr>
      </w:pPr>
      <w:r>
        <w:rPr>
          <w:rFonts w:hint="eastAsia" w:ascii="宋体" w:hAnsi="宋体" w:eastAsia="宋体" w:cs="宋体"/>
          <w:sz w:val="18"/>
          <w:szCs w:val="18"/>
        </w:rPr>
        <w:t>(二)持续和非持续第三层次公允价值计量项目，采用的估值技术和重要参数的定性及定量信息</w:t>
      </w:r>
    </w:p>
    <w:p w14:paraId="567B2D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default" w:ascii="宋体" w:hAnsi="宋体" w:eastAsia="宋体" w:cs="宋体"/>
          <w:sz w:val="18"/>
          <w:szCs w:val="18"/>
        </w:rPr>
      </w:pPr>
      <w:r>
        <w:rPr>
          <w:rFonts w:hint="eastAsia" w:ascii="宋体" w:hAnsi="宋体" w:eastAsia="宋体" w:cs="宋体"/>
          <w:sz w:val="18"/>
          <w:szCs w:val="18"/>
        </w:rPr>
        <w:t>报告期末，本公司以公允价值计量的金融工具为在基金中持有的次级份额和对小规模主体的权益投资，该类投资不存在可观察的市场报价，本公司根据该等投资的未来现金流入等进行估值。在有限情况下，如果用以确定公允价值的近期信息不足，或者公允价值的可能估计金额分布范围很广，而成本代表了该范围内对公允价值的最佳估计的，该成本可代表其在该分布范围内对公允价值的恰当估计。</w:t>
      </w:r>
    </w:p>
    <w:p w14:paraId="20AE82E9">
      <w:pPr>
        <w:pStyle w:val="2"/>
        <w:keepNext/>
        <w:keepLines/>
        <w:spacing w:before="300" w:after="300" w:line="320" w:lineRule="exact"/>
        <w:jc w:val="left"/>
        <w:outlineLvl w:val="1"/>
        <w:rPr>
          <w:rFonts w:ascii="宋体" w:hAnsi="宋体" w:eastAsia="宋体" w:cs="宋体"/>
          <w:b/>
          <w:bCs/>
          <w:sz w:val="24"/>
          <w:szCs w:val="24"/>
        </w:rPr>
      </w:pPr>
      <w:bookmarkStart w:id="415" w:name="_Toc22095"/>
      <w:bookmarkStart w:id="416" w:name="_Toc989218"/>
      <w:r>
        <w:rPr>
          <w:rFonts w:ascii="宋体" w:hAnsi="宋体" w:eastAsia="宋体" w:cs="宋体"/>
          <w:b/>
          <w:bCs/>
          <w:sz w:val="24"/>
          <w:szCs w:val="24"/>
        </w:rPr>
        <w:t>十五、关联方及关联交易</w:t>
      </w:r>
      <w:bookmarkEnd w:id="415"/>
      <w:bookmarkEnd w:id="416"/>
    </w:p>
    <w:p w14:paraId="052342CE">
      <w:pPr>
        <w:pStyle w:val="3"/>
        <w:keepNext/>
        <w:keepLines/>
        <w:spacing w:before="300" w:after="300" w:line="280" w:lineRule="exact"/>
        <w:jc w:val="left"/>
        <w:outlineLvl w:val="2"/>
        <w:rPr>
          <w:rFonts w:ascii="宋体" w:hAnsi="宋体" w:eastAsia="宋体" w:cs="宋体"/>
          <w:b/>
          <w:bCs/>
          <w:sz w:val="21"/>
          <w:szCs w:val="21"/>
        </w:rPr>
      </w:pPr>
      <w:bookmarkStart w:id="417" w:name="_Toc989219"/>
      <w:r>
        <w:rPr>
          <w:rFonts w:hint="default" w:ascii="Times New Roman" w:hAnsi="Times New Roman" w:eastAsia="宋体" w:cs="Times New Roman"/>
          <w:b/>
          <w:bCs/>
          <w:sz w:val="21"/>
          <w:szCs w:val="21"/>
        </w:rPr>
        <w:t>1</w:t>
      </w:r>
      <w:r>
        <w:rPr>
          <w:rFonts w:ascii="宋体" w:hAnsi="宋体" w:eastAsia="宋体" w:cs="宋体"/>
          <w:b/>
          <w:bCs/>
          <w:sz w:val="21"/>
          <w:szCs w:val="21"/>
        </w:rPr>
        <w:t>、本企业的母公司情况</w:t>
      </w:r>
      <w:bookmarkEnd w:id="417"/>
    </w:p>
    <w:tbl>
      <w:tblPr>
        <w:tblStyle w:val="7"/>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3"/>
        <w:gridCol w:w="1369"/>
        <w:gridCol w:w="1606"/>
        <w:gridCol w:w="1606"/>
        <w:gridCol w:w="1606"/>
        <w:gridCol w:w="1606"/>
      </w:tblGrid>
      <w:tr w14:paraId="1ED88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14:paraId="1DAD7472">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母公司名称</w:t>
            </w:r>
          </w:p>
        </w:tc>
        <w:tc>
          <w:tcPr>
            <w:tcW w:w="1369" w:type="dxa"/>
            <w:tcBorders>
              <w:top w:val="single" w:color="auto" w:sz="2" w:space="0"/>
              <w:left w:val="single" w:color="auto" w:sz="2" w:space="0"/>
              <w:bottom w:val="single" w:color="auto" w:sz="2" w:space="0"/>
              <w:right w:val="single" w:color="auto" w:sz="2" w:space="0"/>
            </w:tcBorders>
            <w:shd w:val="clear" w:color="auto" w:fill="D3D3D3"/>
            <w:vAlign w:val="center"/>
          </w:tcPr>
          <w:p w14:paraId="06093EE4">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43E196B">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0A0F8C2">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11C7C88">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12E154C">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母公司对本企业的表决权比例</w:t>
            </w:r>
          </w:p>
        </w:tc>
      </w:tr>
      <w:tr w14:paraId="5F642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14:paraId="7E375AAD">
            <w:pPr>
              <w:spacing w:before="0" w:after="0" w:line="240" w:lineRule="exact"/>
              <w:jc w:val="left"/>
              <w:rPr>
                <w:rFonts w:ascii="宋体" w:hAnsi="宋体" w:eastAsia="宋体" w:cs="宋体"/>
                <w:sz w:val="18"/>
                <w:szCs w:val="18"/>
              </w:rPr>
            </w:pPr>
            <w:r>
              <w:rPr>
                <w:rFonts w:ascii="宋体" w:hAnsi="宋体" w:eastAsia="宋体" w:cs="宋体"/>
                <w:sz w:val="18"/>
                <w:szCs w:val="18"/>
              </w:rPr>
              <w:t>北京世纪天富创业投资中心（有限合伙）</w:t>
            </w:r>
          </w:p>
        </w:tc>
        <w:tc>
          <w:tcPr>
            <w:tcW w:w="1369" w:type="dxa"/>
            <w:tcBorders>
              <w:top w:val="single" w:color="auto" w:sz="2" w:space="0"/>
              <w:left w:val="single" w:color="auto" w:sz="2" w:space="0"/>
              <w:bottom w:val="single" w:color="auto" w:sz="2" w:space="0"/>
              <w:right w:val="single" w:color="auto" w:sz="2" w:space="0"/>
            </w:tcBorders>
            <w:vAlign w:val="center"/>
          </w:tcPr>
          <w:p w14:paraId="6E07F517">
            <w:pPr>
              <w:spacing w:before="0" w:after="0" w:line="240" w:lineRule="exact"/>
              <w:jc w:val="center"/>
              <w:rPr>
                <w:rFonts w:ascii="宋体" w:hAnsi="宋体" w:eastAsia="宋体" w:cs="宋体"/>
                <w:sz w:val="18"/>
                <w:szCs w:val="18"/>
              </w:rPr>
            </w:pPr>
            <w:r>
              <w:rPr>
                <w:rFonts w:ascii="宋体" w:hAnsi="宋体" w:eastAsia="宋体" w:cs="宋体"/>
                <w:sz w:val="18"/>
                <w:szCs w:val="18"/>
              </w:rPr>
              <w:t>北京市</w:t>
            </w:r>
          </w:p>
        </w:tc>
        <w:tc>
          <w:tcPr>
            <w:tcW w:w="1606" w:type="dxa"/>
            <w:tcBorders>
              <w:top w:val="single" w:color="auto" w:sz="2" w:space="0"/>
              <w:left w:val="single" w:color="auto" w:sz="2" w:space="0"/>
              <w:bottom w:val="single" w:color="auto" w:sz="2" w:space="0"/>
              <w:right w:val="single" w:color="auto" w:sz="2" w:space="0"/>
            </w:tcBorders>
            <w:vAlign w:val="center"/>
          </w:tcPr>
          <w:p w14:paraId="16395752">
            <w:pPr>
              <w:spacing w:before="0" w:after="0" w:line="240" w:lineRule="exact"/>
              <w:jc w:val="center"/>
              <w:rPr>
                <w:rFonts w:ascii="宋体" w:hAnsi="宋体" w:eastAsia="宋体" w:cs="宋体"/>
                <w:sz w:val="18"/>
                <w:szCs w:val="18"/>
              </w:rPr>
            </w:pPr>
            <w:r>
              <w:rPr>
                <w:rFonts w:ascii="宋体" w:hAnsi="宋体" w:eastAsia="宋体" w:cs="宋体"/>
                <w:sz w:val="18"/>
                <w:szCs w:val="18"/>
              </w:rPr>
              <w:t>投资管理</w:t>
            </w:r>
          </w:p>
        </w:tc>
        <w:tc>
          <w:tcPr>
            <w:tcW w:w="1606" w:type="dxa"/>
            <w:tcBorders>
              <w:top w:val="single" w:color="auto" w:sz="2" w:space="0"/>
              <w:left w:val="single" w:color="auto" w:sz="2" w:space="0"/>
              <w:bottom w:val="single" w:color="auto" w:sz="2" w:space="0"/>
              <w:right w:val="single" w:color="auto" w:sz="2" w:space="0"/>
            </w:tcBorders>
            <w:vAlign w:val="center"/>
          </w:tcPr>
          <w:p w14:paraId="1489B2F8">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5,000.00</w:t>
            </w:r>
          </w:p>
        </w:tc>
        <w:tc>
          <w:tcPr>
            <w:tcW w:w="1606" w:type="dxa"/>
            <w:tcBorders>
              <w:top w:val="single" w:color="auto" w:sz="2" w:space="0"/>
              <w:left w:val="single" w:color="auto" w:sz="2" w:space="0"/>
              <w:bottom w:val="single" w:color="auto" w:sz="2" w:space="0"/>
              <w:right w:val="single" w:color="auto" w:sz="2" w:space="0"/>
            </w:tcBorders>
            <w:vAlign w:val="center"/>
          </w:tcPr>
          <w:p w14:paraId="4EBAF3BE">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13.58%</w:t>
            </w:r>
          </w:p>
        </w:tc>
        <w:tc>
          <w:tcPr>
            <w:tcW w:w="1606" w:type="dxa"/>
            <w:tcBorders>
              <w:top w:val="single" w:color="auto" w:sz="2" w:space="0"/>
              <w:left w:val="single" w:color="auto" w:sz="2" w:space="0"/>
              <w:bottom w:val="single" w:color="auto" w:sz="2" w:space="0"/>
              <w:right w:val="single" w:color="auto" w:sz="2" w:space="0"/>
            </w:tcBorders>
            <w:vAlign w:val="center"/>
          </w:tcPr>
          <w:p w14:paraId="4F811E1C">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13.58%</w:t>
            </w:r>
          </w:p>
        </w:tc>
      </w:tr>
    </w:tbl>
    <w:p w14:paraId="78DA0F03">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本企业的母公司情况的说明</w:t>
      </w:r>
    </w:p>
    <w:p w14:paraId="028AF8B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实际控制人张永明、林玲夫妇通过北京世纪天富创业投资中心（有限合伙）、北京天佑瑞元医药科技有限公司、西藏金淦企业管理咨询有限公司及广东知光生物科技有限公司间接持有本公</w:t>
      </w:r>
      <w:r>
        <w:rPr>
          <w:rFonts w:hint="default" w:ascii="Times New Roman" w:hAnsi="Times New Roman" w:eastAsia="宋体" w:cs="Times New Roman"/>
          <w:sz w:val="18"/>
          <w:szCs w:val="18"/>
        </w:rPr>
        <w:t>司26.55%</w:t>
      </w:r>
      <w:r>
        <w:rPr>
          <w:rFonts w:hint="eastAsia" w:ascii="宋体" w:hAnsi="宋体" w:eastAsia="宋体" w:cs="宋体"/>
          <w:sz w:val="18"/>
          <w:szCs w:val="18"/>
        </w:rPr>
        <w:t>的股权，间接控制冠昊生物，成为公司实际控制人。</w:t>
      </w:r>
    </w:p>
    <w:p w14:paraId="0055AB3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textAlignment w:val="auto"/>
        <w:rPr>
          <w:rFonts w:ascii="宋体" w:hAnsi="宋体" w:eastAsia="宋体" w:cs="宋体"/>
          <w:sz w:val="18"/>
          <w:szCs w:val="18"/>
        </w:rPr>
      </w:pPr>
      <w:r>
        <w:rPr>
          <w:rFonts w:ascii="宋体" w:hAnsi="宋体" w:eastAsia="宋体" w:cs="宋体"/>
          <w:sz w:val="18"/>
          <w:szCs w:val="18"/>
        </w:rPr>
        <w:t>本企业最终控制方是张永明、林玲。</w:t>
      </w:r>
    </w:p>
    <w:p w14:paraId="6FE54426">
      <w:pPr>
        <w:pStyle w:val="3"/>
        <w:keepNext/>
        <w:keepLines/>
        <w:spacing w:before="300" w:after="300" w:line="280" w:lineRule="exact"/>
        <w:jc w:val="left"/>
        <w:outlineLvl w:val="2"/>
        <w:rPr>
          <w:rFonts w:ascii="宋体" w:hAnsi="宋体" w:eastAsia="宋体" w:cs="宋体"/>
          <w:b/>
          <w:bCs/>
          <w:sz w:val="21"/>
          <w:szCs w:val="21"/>
        </w:rPr>
      </w:pPr>
      <w:bookmarkStart w:id="418" w:name="_Toc989220"/>
      <w:r>
        <w:rPr>
          <w:rFonts w:hint="default" w:ascii="Times New Roman" w:hAnsi="Times New Roman" w:eastAsia="宋体" w:cs="Times New Roman"/>
          <w:b/>
          <w:bCs/>
          <w:sz w:val="21"/>
          <w:szCs w:val="21"/>
        </w:rPr>
        <w:t>2</w:t>
      </w:r>
      <w:r>
        <w:rPr>
          <w:rFonts w:ascii="宋体" w:hAnsi="宋体" w:eastAsia="宋体" w:cs="宋体"/>
          <w:b/>
          <w:bCs/>
          <w:sz w:val="21"/>
          <w:szCs w:val="21"/>
        </w:rPr>
        <w:t>、本企业的子公司情况</w:t>
      </w:r>
      <w:bookmarkEnd w:id="418"/>
    </w:p>
    <w:p w14:paraId="17345496">
      <w:pPr>
        <w:spacing w:before="40" w:after="40" w:line="240" w:lineRule="exact"/>
        <w:jc w:val="left"/>
        <w:rPr>
          <w:rFonts w:ascii="宋体" w:hAnsi="宋体" w:eastAsia="宋体" w:cs="宋体"/>
          <w:sz w:val="18"/>
          <w:szCs w:val="18"/>
        </w:rPr>
      </w:pPr>
      <w:r>
        <w:rPr>
          <w:rFonts w:ascii="宋体" w:hAnsi="宋体" w:eastAsia="宋体" w:cs="宋体"/>
          <w:sz w:val="18"/>
          <w:szCs w:val="18"/>
        </w:rPr>
        <w:t>本企业子公司的情况详见附注“十、在其他主体中的权益”。</w:t>
      </w:r>
    </w:p>
    <w:p w14:paraId="6D3B355D">
      <w:pPr>
        <w:pStyle w:val="3"/>
        <w:keepNext/>
        <w:keepLines/>
        <w:spacing w:before="300" w:after="300" w:line="280" w:lineRule="exact"/>
        <w:jc w:val="left"/>
        <w:outlineLvl w:val="2"/>
        <w:rPr>
          <w:rFonts w:ascii="宋体" w:hAnsi="宋体" w:eastAsia="宋体" w:cs="宋体"/>
          <w:b/>
          <w:bCs/>
          <w:sz w:val="21"/>
          <w:szCs w:val="21"/>
        </w:rPr>
      </w:pPr>
      <w:bookmarkStart w:id="419" w:name="_Toc989221"/>
      <w:r>
        <w:rPr>
          <w:rFonts w:hint="default" w:ascii="Times New Roman" w:hAnsi="Times New Roman" w:eastAsia="宋体" w:cs="Times New Roman"/>
          <w:b/>
          <w:bCs/>
          <w:sz w:val="21"/>
          <w:szCs w:val="21"/>
        </w:rPr>
        <w:t>3</w:t>
      </w:r>
      <w:r>
        <w:rPr>
          <w:rFonts w:ascii="宋体" w:hAnsi="宋体" w:eastAsia="宋体" w:cs="宋体"/>
          <w:b/>
          <w:bCs/>
          <w:sz w:val="21"/>
          <w:szCs w:val="21"/>
        </w:rPr>
        <w:t>、本企业合营和联营企业情况</w:t>
      </w:r>
      <w:bookmarkEnd w:id="419"/>
    </w:p>
    <w:p w14:paraId="07687DBA">
      <w:pPr>
        <w:spacing w:before="40" w:after="40" w:line="240" w:lineRule="exact"/>
        <w:jc w:val="left"/>
        <w:rPr>
          <w:rFonts w:ascii="宋体" w:hAnsi="宋体" w:eastAsia="宋体" w:cs="宋体"/>
          <w:sz w:val="18"/>
          <w:szCs w:val="18"/>
        </w:rPr>
      </w:pPr>
      <w:r>
        <w:rPr>
          <w:rFonts w:ascii="宋体" w:hAnsi="宋体" w:eastAsia="宋体" w:cs="宋体"/>
          <w:sz w:val="18"/>
          <w:szCs w:val="18"/>
        </w:rPr>
        <w:t>本企业重要的合营或联营企业详见附注。</w:t>
      </w:r>
    </w:p>
    <w:p w14:paraId="5A102925">
      <w:pPr>
        <w:spacing w:before="100" w:after="100" w:line="240" w:lineRule="exact"/>
        <w:jc w:val="left"/>
        <w:rPr>
          <w:rFonts w:ascii="宋体" w:hAnsi="宋体" w:eastAsia="宋体" w:cs="宋体"/>
          <w:sz w:val="18"/>
          <w:szCs w:val="18"/>
        </w:rPr>
      </w:pPr>
      <w:r>
        <w:rPr>
          <w:rFonts w:ascii="宋体" w:hAnsi="宋体" w:eastAsia="宋体" w:cs="宋体"/>
          <w:sz w:val="18"/>
          <w:szCs w:val="18"/>
        </w:rPr>
        <w:t>本期与本公司发生关联方交易，或前期与本公司发生关联方交易形成余额的其他合营或联营企业情况如下：</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705A8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373A0F4">
            <w:pPr>
              <w:spacing w:before="40" w:after="40" w:line="240" w:lineRule="exact"/>
              <w:jc w:val="center"/>
              <w:rPr>
                <w:rFonts w:ascii="宋体" w:hAnsi="宋体" w:eastAsia="宋体" w:cs="宋体"/>
                <w:sz w:val="18"/>
                <w:szCs w:val="18"/>
              </w:rPr>
            </w:pPr>
            <w:r>
              <w:rPr>
                <w:rFonts w:ascii="宋体" w:hAnsi="宋体" w:eastAsia="宋体" w:cs="宋体"/>
                <w:sz w:val="18"/>
                <w:szCs w:val="18"/>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E110997">
            <w:pPr>
              <w:spacing w:before="40" w:after="40" w:line="240" w:lineRule="exact"/>
              <w:jc w:val="center"/>
              <w:rPr>
                <w:rFonts w:ascii="宋体" w:hAnsi="宋体" w:eastAsia="宋体" w:cs="宋体"/>
                <w:sz w:val="18"/>
                <w:szCs w:val="18"/>
              </w:rPr>
            </w:pPr>
            <w:r>
              <w:rPr>
                <w:rFonts w:ascii="宋体" w:hAnsi="宋体" w:eastAsia="宋体" w:cs="宋体"/>
                <w:sz w:val="18"/>
                <w:szCs w:val="18"/>
              </w:rPr>
              <w:t>与本企业关系</w:t>
            </w:r>
          </w:p>
        </w:tc>
      </w:tr>
    </w:tbl>
    <w:p w14:paraId="478FF974">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tbl>
      <w:tblPr>
        <w:tblStyle w:val="7"/>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167"/>
        <w:gridCol w:w="5686"/>
      </w:tblGrid>
      <w:tr w14:paraId="4A1867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211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622D42">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合营或联营企业名称</w:t>
            </w:r>
          </w:p>
        </w:tc>
        <w:tc>
          <w:tcPr>
            <w:tcW w:w="288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CE7646">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与本公司关系</w:t>
            </w:r>
          </w:p>
        </w:tc>
      </w:tr>
      <w:tr w14:paraId="43ABA6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36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C817C4">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广州优得清生物科技有限公司</w:t>
            </w:r>
          </w:p>
        </w:tc>
        <w:tc>
          <w:tcPr>
            <w:tcW w:w="288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79EDDB">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本公司投资联营企业</w:t>
            </w:r>
          </w:p>
        </w:tc>
      </w:tr>
      <w:tr w14:paraId="126E98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36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EB1EC6">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sz w:val="18"/>
                <w:szCs w:val="18"/>
              </w:rPr>
              <w:t>TEKIA INC.</w:t>
            </w:r>
          </w:p>
        </w:tc>
        <w:tc>
          <w:tcPr>
            <w:tcW w:w="288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965FEC">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本公司子公司投资的联营企业</w:t>
            </w:r>
          </w:p>
        </w:tc>
      </w:tr>
      <w:tr w14:paraId="10DD34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36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1EDEE2">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嘉兴君重冠昊股权投资合伙企业（有限合伙）</w:t>
            </w:r>
          </w:p>
        </w:tc>
        <w:tc>
          <w:tcPr>
            <w:tcW w:w="50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018CF5">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18"/>
                <w:szCs w:val="18"/>
              </w:rPr>
              <w:t>本公司子公司投资的联营企业</w:t>
            </w:r>
          </w:p>
        </w:tc>
      </w:tr>
    </w:tbl>
    <w:p w14:paraId="5635FEC1">
      <w:pPr>
        <w:pStyle w:val="3"/>
        <w:keepNext/>
        <w:keepLines/>
        <w:spacing w:before="300" w:after="300" w:line="280" w:lineRule="exact"/>
        <w:jc w:val="left"/>
        <w:outlineLvl w:val="2"/>
        <w:rPr>
          <w:rFonts w:ascii="宋体" w:hAnsi="宋体" w:eastAsia="宋体" w:cs="宋体"/>
          <w:b/>
          <w:bCs/>
          <w:sz w:val="21"/>
          <w:szCs w:val="21"/>
        </w:rPr>
      </w:pPr>
      <w:bookmarkStart w:id="420" w:name="_Toc989222"/>
      <w:r>
        <w:rPr>
          <w:rFonts w:hint="default" w:ascii="Times New Roman" w:hAnsi="Times New Roman" w:eastAsia="宋体" w:cs="Times New Roman"/>
          <w:b/>
          <w:bCs/>
          <w:sz w:val="21"/>
          <w:szCs w:val="21"/>
        </w:rPr>
        <w:t>4</w:t>
      </w:r>
      <w:r>
        <w:rPr>
          <w:rFonts w:ascii="宋体" w:hAnsi="宋体" w:eastAsia="宋体" w:cs="宋体"/>
          <w:b/>
          <w:bCs/>
          <w:sz w:val="21"/>
          <w:szCs w:val="21"/>
        </w:rPr>
        <w:t>、其他关联方情况</w:t>
      </w:r>
      <w:bookmarkEnd w:id="420"/>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0B28A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ADFB862">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40705D4">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其他关联方与本企业关系</w:t>
            </w:r>
          </w:p>
        </w:tc>
      </w:tr>
      <w:tr w14:paraId="5B503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4A42FD8">
            <w:pPr>
              <w:spacing w:before="0" w:after="0" w:line="240" w:lineRule="exact"/>
              <w:jc w:val="left"/>
              <w:rPr>
                <w:rFonts w:ascii="宋体" w:hAnsi="宋体" w:eastAsia="宋体" w:cs="宋体"/>
                <w:sz w:val="18"/>
                <w:szCs w:val="18"/>
              </w:rPr>
            </w:pPr>
            <w:r>
              <w:rPr>
                <w:rFonts w:ascii="宋体" w:hAnsi="宋体" w:eastAsia="宋体" w:cs="宋体"/>
                <w:sz w:val="18"/>
                <w:szCs w:val="18"/>
              </w:rPr>
              <w:t>上海昊爱生物科技有限公司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FEA965E">
            <w:pPr>
              <w:spacing w:before="0" w:after="0" w:line="240" w:lineRule="exact"/>
              <w:jc w:val="left"/>
              <w:rPr>
                <w:rFonts w:ascii="宋体" w:hAnsi="宋体" w:eastAsia="宋体" w:cs="宋体"/>
                <w:sz w:val="18"/>
                <w:szCs w:val="18"/>
              </w:rPr>
            </w:pPr>
            <w:r>
              <w:rPr>
                <w:rFonts w:ascii="宋体" w:hAnsi="宋体" w:eastAsia="宋体" w:cs="宋体"/>
                <w:sz w:val="18"/>
                <w:szCs w:val="18"/>
              </w:rPr>
              <w:t>本公司子公司投资的企业</w:t>
            </w:r>
          </w:p>
        </w:tc>
      </w:tr>
      <w:tr w14:paraId="51F30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34C398E">
            <w:pPr>
              <w:spacing w:before="0" w:after="0" w:line="240" w:lineRule="exact"/>
              <w:jc w:val="left"/>
              <w:rPr>
                <w:rFonts w:ascii="宋体" w:hAnsi="宋体" w:eastAsia="宋体" w:cs="宋体"/>
                <w:sz w:val="18"/>
                <w:szCs w:val="18"/>
              </w:rPr>
            </w:pPr>
            <w:r>
              <w:rPr>
                <w:rFonts w:ascii="宋体" w:hAnsi="宋体" w:eastAsia="宋体" w:cs="宋体"/>
                <w:sz w:val="18"/>
                <w:szCs w:val="18"/>
              </w:rPr>
              <w:t>北京天佑投资有限公司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1D21076">
            <w:pPr>
              <w:spacing w:before="0" w:after="0" w:line="240" w:lineRule="exact"/>
              <w:jc w:val="left"/>
              <w:rPr>
                <w:rFonts w:ascii="宋体" w:hAnsi="宋体" w:eastAsia="宋体" w:cs="宋体"/>
                <w:sz w:val="18"/>
                <w:szCs w:val="18"/>
              </w:rPr>
            </w:pPr>
            <w:r>
              <w:rPr>
                <w:rFonts w:ascii="宋体" w:hAnsi="宋体" w:eastAsia="宋体" w:cs="宋体"/>
                <w:sz w:val="18"/>
                <w:szCs w:val="18"/>
              </w:rPr>
              <w:t>实际控制人控制的公司</w:t>
            </w:r>
          </w:p>
        </w:tc>
      </w:tr>
      <w:tr w14:paraId="44297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651CA55">
            <w:pPr>
              <w:spacing w:before="0" w:after="0" w:line="240" w:lineRule="exact"/>
              <w:jc w:val="left"/>
              <w:rPr>
                <w:rFonts w:ascii="宋体" w:hAnsi="宋体" w:eastAsia="宋体" w:cs="宋体"/>
                <w:sz w:val="18"/>
                <w:szCs w:val="18"/>
              </w:rPr>
            </w:pPr>
            <w:r>
              <w:rPr>
                <w:rFonts w:ascii="宋体" w:hAnsi="宋体" w:eastAsia="宋体" w:cs="宋体"/>
                <w:sz w:val="18"/>
                <w:szCs w:val="18"/>
              </w:rPr>
              <w:t>江苏天佑金淦管理咨询有限公司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79305F5D">
            <w:pPr>
              <w:spacing w:before="0" w:after="0" w:line="240" w:lineRule="exact"/>
              <w:jc w:val="left"/>
              <w:rPr>
                <w:rFonts w:ascii="宋体" w:hAnsi="宋体" w:eastAsia="宋体" w:cs="宋体"/>
                <w:sz w:val="18"/>
                <w:szCs w:val="18"/>
              </w:rPr>
            </w:pPr>
            <w:r>
              <w:rPr>
                <w:rFonts w:ascii="宋体" w:hAnsi="宋体" w:eastAsia="宋体" w:cs="宋体"/>
                <w:sz w:val="18"/>
                <w:szCs w:val="18"/>
              </w:rPr>
              <w:t>实际控制人控制的公司</w:t>
            </w:r>
          </w:p>
        </w:tc>
      </w:tr>
      <w:tr w14:paraId="47D78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05BFC39">
            <w:pPr>
              <w:spacing w:before="0" w:after="0" w:line="240" w:lineRule="exact"/>
              <w:jc w:val="left"/>
              <w:rPr>
                <w:rFonts w:ascii="宋体" w:hAnsi="宋体" w:eastAsia="宋体" w:cs="宋体"/>
                <w:sz w:val="18"/>
                <w:szCs w:val="18"/>
              </w:rPr>
            </w:pPr>
            <w:r>
              <w:rPr>
                <w:rFonts w:ascii="宋体" w:hAnsi="宋体" w:eastAsia="宋体" w:cs="宋体"/>
                <w:sz w:val="18"/>
                <w:szCs w:val="18"/>
              </w:rPr>
              <w:t>广东知光生物科技有限公司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5BADC7C">
            <w:pPr>
              <w:spacing w:before="0" w:after="0" w:line="240" w:lineRule="exact"/>
              <w:jc w:val="left"/>
              <w:rPr>
                <w:rFonts w:ascii="宋体" w:hAnsi="宋体" w:eastAsia="宋体" w:cs="宋体"/>
                <w:sz w:val="18"/>
                <w:szCs w:val="18"/>
              </w:rPr>
            </w:pPr>
            <w:r>
              <w:rPr>
                <w:rFonts w:ascii="宋体" w:hAnsi="宋体" w:eastAsia="宋体" w:cs="宋体"/>
                <w:sz w:val="18"/>
                <w:szCs w:val="18"/>
              </w:rPr>
              <w:t>实际控制人控制的公司</w:t>
            </w:r>
          </w:p>
        </w:tc>
      </w:tr>
      <w:tr w14:paraId="20861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C4FCB63">
            <w:pPr>
              <w:spacing w:before="0" w:after="0" w:line="240" w:lineRule="exact"/>
              <w:jc w:val="left"/>
              <w:rPr>
                <w:rFonts w:ascii="宋体" w:hAnsi="宋体" w:eastAsia="宋体" w:cs="宋体"/>
                <w:sz w:val="18"/>
                <w:szCs w:val="18"/>
              </w:rPr>
            </w:pPr>
            <w:r>
              <w:rPr>
                <w:rFonts w:ascii="宋体" w:hAnsi="宋体" w:eastAsia="宋体" w:cs="宋体"/>
                <w:sz w:val="18"/>
                <w:szCs w:val="18"/>
              </w:rPr>
              <w:t>张永明</w:t>
            </w:r>
          </w:p>
        </w:tc>
        <w:tc>
          <w:tcPr>
            <w:tcW w:w="4820" w:type="dxa"/>
            <w:tcBorders>
              <w:top w:val="single" w:color="auto" w:sz="2" w:space="0"/>
              <w:left w:val="single" w:color="auto" w:sz="2" w:space="0"/>
              <w:bottom w:val="single" w:color="auto" w:sz="2" w:space="0"/>
              <w:right w:val="single" w:color="auto" w:sz="2" w:space="0"/>
            </w:tcBorders>
            <w:vAlign w:val="center"/>
          </w:tcPr>
          <w:p w14:paraId="324F4CEE">
            <w:pPr>
              <w:spacing w:before="0" w:after="0" w:line="240" w:lineRule="exact"/>
              <w:jc w:val="left"/>
              <w:rPr>
                <w:rFonts w:ascii="宋体" w:hAnsi="宋体" w:eastAsia="宋体" w:cs="宋体"/>
                <w:sz w:val="18"/>
                <w:szCs w:val="18"/>
              </w:rPr>
            </w:pPr>
            <w:r>
              <w:rPr>
                <w:rFonts w:ascii="宋体" w:hAnsi="宋体" w:eastAsia="宋体" w:cs="宋体"/>
                <w:sz w:val="18"/>
                <w:szCs w:val="18"/>
              </w:rPr>
              <w:t>实际控制人</w:t>
            </w:r>
          </w:p>
        </w:tc>
      </w:tr>
    </w:tbl>
    <w:p w14:paraId="1F641740">
      <w:pPr>
        <w:spacing w:before="100" w:after="100" w:line="240" w:lineRule="exact"/>
        <w:jc w:val="left"/>
        <w:rPr>
          <w:rFonts w:hint="eastAsia" w:ascii="宋体" w:hAnsi="宋体" w:eastAsia="宋体" w:cs="宋体"/>
          <w:sz w:val="18"/>
          <w:szCs w:val="18"/>
          <w:lang w:val="en-US" w:eastAsia="zh-CN"/>
        </w:rPr>
      </w:pPr>
      <w:r>
        <w:rPr>
          <w:rFonts w:ascii="宋体" w:hAnsi="宋体" w:eastAsia="宋体" w:cs="宋体"/>
          <w:sz w:val="18"/>
          <w:szCs w:val="18"/>
        </w:rPr>
        <w:t>其他说明：</w:t>
      </w:r>
      <w:r>
        <w:rPr>
          <w:rFonts w:hint="eastAsia" w:ascii="宋体" w:hAnsi="宋体" w:cs="宋体"/>
          <w:sz w:val="18"/>
          <w:szCs w:val="18"/>
          <w:lang w:val="en-US" w:eastAsia="zh-CN"/>
        </w:rPr>
        <w:t>无</w:t>
      </w:r>
    </w:p>
    <w:p w14:paraId="51175A7A">
      <w:pPr>
        <w:pStyle w:val="3"/>
        <w:keepNext/>
        <w:keepLines/>
        <w:spacing w:before="300" w:after="300" w:line="280" w:lineRule="exact"/>
        <w:jc w:val="left"/>
        <w:outlineLvl w:val="2"/>
        <w:rPr>
          <w:rFonts w:ascii="宋体" w:hAnsi="宋体" w:eastAsia="宋体" w:cs="宋体"/>
          <w:b/>
          <w:bCs/>
          <w:sz w:val="21"/>
          <w:szCs w:val="21"/>
        </w:rPr>
      </w:pPr>
      <w:bookmarkStart w:id="421" w:name="_Toc989223"/>
      <w:r>
        <w:rPr>
          <w:rFonts w:hint="default" w:ascii="Times New Roman" w:hAnsi="Times New Roman" w:eastAsia="宋体" w:cs="Times New Roman"/>
          <w:b/>
          <w:bCs/>
          <w:sz w:val="21"/>
          <w:szCs w:val="21"/>
        </w:rPr>
        <w:t>5</w:t>
      </w:r>
      <w:r>
        <w:rPr>
          <w:rFonts w:ascii="宋体" w:hAnsi="宋体" w:eastAsia="宋体" w:cs="宋体"/>
          <w:b/>
          <w:bCs/>
          <w:sz w:val="21"/>
          <w:szCs w:val="21"/>
        </w:rPr>
        <w:t>、关联交易情况</w:t>
      </w:r>
      <w:bookmarkEnd w:id="421"/>
    </w:p>
    <w:p w14:paraId="7803A4E3">
      <w:pPr>
        <w:keepNext/>
        <w:keepLines/>
        <w:spacing w:before="300" w:after="300" w:line="280" w:lineRule="exact"/>
        <w:jc w:val="left"/>
        <w:outlineLvl w:val="3"/>
        <w:rPr>
          <w:rFonts w:ascii="宋体" w:hAnsi="宋体" w:eastAsia="宋体" w:cs="宋体"/>
          <w:b/>
          <w:bCs/>
          <w:sz w:val="21"/>
          <w:szCs w:val="21"/>
        </w:rPr>
      </w:pPr>
      <w:bookmarkStart w:id="422" w:name="_Toc989224"/>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购销商品、提供和接受劳务的关联交易</w:t>
      </w:r>
      <w:bookmarkEnd w:id="422"/>
    </w:p>
    <w:p w14:paraId="1379633F">
      <w:pPr>
        <w:spacing w:before="40" w:after="40" w:line="240" w:lineRule="exact"/>
        <w:jc w:val="left"/>
        <w:rPr>
          <w:rFonts w:ascii="宋体" w:hAnsi="宋体" w:eastAsia="宋体" w:cs="宋体"/>
          <w:sz w:val="18"/>
          <w:szCs w:val="18"/>
        </w:rPr>
      </w:pPr>
      <w:r>
        <w:rPr>
          <w:rFonts w:ascii="宋体" w:hAnsi="宋体" w:eastAsia="宋体" w:cs="宋体"/>
          <w:sz w:val="18"/>
          <w:szCs w:val="18"/>
        </w:rPr>
        <w:t>采购商品/接受劳务情况表</w:t>
      </w:r>
    </w:p>
    <w:p w14:paraId="074DFCCE">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10BA0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6C4A5A5">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95AF9C0">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5CF0474">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5B0594B">
            <w:pPr>
              <w:spacing w:before="40" w:after="40" w:line="240" w:lineRule="exact"/>
              <w:jc w:val="center"/>
              <w:rPr>
                <w:rFonts w:ascii="宋体" w:hAnsi="宋体" w:eastAsia="宋体" w:cs="宋体"/>
                <w:sz w:val="18"/>
                <w:szCs w:val="18"/>
              </w:rPr>
            </w:pPr>
            <w:r>
              <w:rPr>
                <w:rFonts w:ascii="宋体" w:hAnsi="宋体" w:eastAsia="宋体" w:cs="宋体"/>
                <w:sz w:val="18"/>
                <w:szCs w:val="18"/>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A57F98B">
            <w:pPr>
              <w:spacing w:before="40" w:after="40" w:line="240" w:lineRule="exact"/>
              <w:jc w:val="center"/>
              <w:rPr>
                <w:rFonts w:ascii="宋体" w:hAnsi="宋体" w:eastAsia="宋体" w:cs="宋体"/>
                <w:sz w:val="18"/>
                <w:szCs w:val="18"/>
              </w:rPr>
            </w:pPr>
            <w:r>
              <w:rPr>
                <w:rFonts w:ascii="宋体" w:hAnsi="宋体" w:eastAsia="宋体" w:cs="宋体"/>
                <w:sz w:val="18"/>
                <w:szCs w:val="18"/>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153E324">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DD15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395362C">
            <w:pPr>
              <w:spacing w:before="0" w:after="0" w:line="240" w:lineRule="exact"/>
              <w:jc w:val="left"/>
              <w:rPr>
                <w:rFonts w:ascii="宋体" w:hAnsi="宋体" w:eastAsia="宋体" w:cs="宋体"/>
                <w:sz w:val="18"/>
                <w:szCs w:val="18"/>
              </w:rPr>
            </w:pPr>
            <w:r>
              <w:rPr>
                <w:rFonts w:ascii="宋体" w:hAnsi="宋体" w:eastAsia="宋体" w:cs="宋体"/>
                <w:sz w:val="18"/>
                <w:szCs w:val="18"/>
              </w:rPr>
              <w:t>广州优得清生物科技有限公司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09D7CF36">
            <w:pPr>
              <w:spacing w:before="0" w:after="0" w:line="240" w:lineRule="exact"/>
              <w:jc w:val="center"/>
              <w:rPr>
                <w:rFonts w:ascii="宋体" w:hAnsi="宋体" w:eastAsia="宋体" w:cs="宋体"/>
                <w:sz w:val="18"/>
                <w:szCs w:val="18"/>
              </w:rPr>
            </w:pPr>
            <w:r>
              <w:rPr>
                <w:rFonts w:ascii="宋体" w:hAnsi="宋体" w:eastAsia="宋体" w:cs="宋体"/>
                <w:sz w:val="18"/>
                <w:szCs w:val="18"/>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14:paraId="6FD57940">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290,066.40</w:t>
            </w:r>
          </w:p>
        </w:tc>
        <w:tc>
          <w:tcPr>
            <w:tcW w:w="1606" w:type="dxa"/>
            <w:tcBorders>
              <w:top w:val="single" w:color="auto" w:sz="2" w:space="0"/>
              <w:left w:val="single" w:color="auto" w:sz="2" w:space="0"/>
              <w:bottom w:val="single" w:color="auto" w:sz="2" w:space="0"/>
              <w:right w:val="single" w:color="auto" w:sz="2" w:space="0"/>
            </w:tcBorders>
            <w:vAlign w:val="center"/>
          </w:tcPr>
          <w:p w14:paraId="27DB4264">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1,000,000.00</w:t>
            </w:r>
          </w:p>
        </w:tc>
        <w:tc>
          <w:tcPr>
            <w:tcW w:w="1606" w:type="dxa"/>
            <w:tcBorders>
              <w:top w:val="single" w:color="auto" w:sz="2" w:space="0"/>
              <w:left w:val="single" w:color="auto" w:sz="2" w:space="0"/>
              <w:bottom w:val="single" w:color="auto" w:sz="2" w:space="0"/>
              <w:right w:val="single" w:color="auto" w:sz="2" w:space="0"/>
            </w:tcBorders>
            <w:vAlign w:val="center"/>
          </w:tcPr>
          <w:p w14:paraId="10862D35">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14:paraId="773BB253">
            <w:pPr>
              <w:pStyle w:val="6"/>
              <w:keepNext w:val="0"/>
              <w:keepLines w:val="0"/>
              <w:widowControl/>
              <w:suppressLineNumbers w:val="0"/>
              <w:spacing w:before="0" w:beforeAutospacing="0" w:after="0" w:afterAutospacing="0"/>
              <w:ind w:left="0" w:right="0"/>
              <w:jc w:val="right"/>
              <w:textAlignment w:val="center"/>
              <w:rPr>
                <w:rFonts w:ascii="宋体" w:hAnsi="宋体" w:eastAsia="宋体" w:cs="宋体"/>
                <w:sz w:val="18"/>
                <w:szCs w:val="18"/>
              </w:rPr>
            </w:pPr>
            <w:r>
              <w:rPr>
                <w:rFonts w:hint="default" w:ascii="Times New Roman" w:hAnsi="Times New Roman" w:eastAsia="宋体" w:cs="Times New Roman"/>
                <w:i w:val="0"/>
                <w:iCs w:val="0"/>
                <w:color w:val="000000"/>
                <w:sz w:val="18"/>
                <w:szCs w:val="18"/>
              </w:rPr>
              <w:t>892,677.68</w:t>
            </w:r>
          </w:p>
        </w:tc>
      </w:tr>
    </w:tbl>
    <w:p w14:paraId="4053BB88">
      <w:pPr>
        <w:spacing w:before="40" w:after="40" w:line="240" w:lineRule="exact"/>
        <w:jc w:val="left"/>
        <w:rPr>
          <w:rFonts w:ascii="宋体" w:hAnsi="宋体" w:eastAsia="宋体" w:cs="宋体"/>
          <w:sz w:val="18"/>
          <w:szCs w:val="18"/>
        </w:rPr>
      </w:pPr>
      <w:r>
        <w:rPr>
          <w:rFonts w:ascii="宋体" w:hAnsi="宋体" w:eastAsia="宋体" w:cs="宋体"/>
          <w:sz w:val="18"/>
          <w:szCs w:val="18"/>
        </w:rPr>
        <w:t>出售商品/提供劳务情况表</w:t>
      </w:r>
    </w:p>
    <w:p w14:paraId="68834192">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76009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EBA9439">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B25E328">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BC194C1">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7782251">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B244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41F5A4B">
            <w:pPr>
              <w:spacing w:before="0" w:after="0" w:line="240" w:lineRule="exact"/>
              <w:jc w:val="left"/>
              <w:rPr>
                <w:rFonts w:ascii="宋体" w:hAnsi="宋体" w:eastAsia="宋体" w:cs="宋体"/>
                <w:sz w:val="18"/>
                <w:szCs w:val="18"/>
              </w:rPr>
            </w:pPr>
            <w:r>
              <w:rPr>
                <w:rFonts w:ascii="宋体" w:hAnsi="宋体" w:eastAsia="宋体" w:cs="宋体"/>
                <w:sz w:val="18"/>
                <w:szCs w:val="18"/>
              </w:rPr>
              <w:t>上海昊爱生物科技有限公司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2B338AE7">
            <w:pPr>
              <w:spacing w:before="0" w:after="0" w:line="240" w:lineRule="exact"/>
              <w:jc w:val="left"/>
              <w:rPr>
                <w:rFonts w:ascii="宋体" w:hAnsi="宋体" w:eastAsia="宋体" w:cs="宋体"/>
                <w:sz w:val="18"/>
                <w:szCs w:val="18"/>
              </w:rPr>
            </w:pPr>
            <w:r>
              <w:rPr>
                <w:rFonts w:ascii="宋体" w:hAnsi="宋体" w:eastAsia="宋体" w:cs="宋体"/>
                <w:sz w:val="18"/>
                <w:szCs w:val="18"/>
              </w:rPr>
              <w:t>提供服务</w:t>
            </w:r>
          </w:p>
        </w:tc>
        <w:tc>
          <w:tcPr>
            <w:tcW w:w="2410" w:type="dxa"/>
            <w:tcBorders>
              <w:top w:val="single" w:color="auto" w:sz="2" w:space="0"/>
              <w:left w:val="single" w:color="auto" w:sz="2" w:space="0"/>
              <w:bottom w:val="single" w:color="auto" w:sz="2" w:space="0"/>
              <w:right w:val="single" w:color="auto" w:sz="2" w:space="0"/>
            </w:tcBorders>
            <w:vAlign w:val="center"/>
          </w:tcPr>
          <w:p w14:paraId="16DAB463">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1,515.32</w:t>
            </w:r>
          </w:p>
        </w:tc>
        <w:tc>
          <w:tcPr>
            <w:tcW w:w="2410" w:type="dxa"/>
            <w:tcBorders>
              <w:top w:val="single" w:color="auto" w:sz="2" w:space="0"/>
              <w:left w:val="single" w:color="auto" w:sz="2" w:space="0"/>
              <w:bottom w:val="single" w:color="auto" w:sz="2" w:space="0"/>
              <w:right w:val="single" w:color="auto" w:sz="2" w:space="0"/>
            </w:tcBorders>
            <w:vAlign w:val="center"/>
          </w:tcPr>
          <w:p w14:paraId="7B9E6659">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1,515.32</w:t>
            </w:r>
          </w:p>
        </w:tc>
      </w:tr>
      <w:tr w14:paraId="6A85A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4405847">
            <w:pPr>
              <w:spacing w:before="0" w:after="0" w:line="240" w:lineRule="exact"/>
              <w:jc w:val="left"/>
              <w:rPr>
                <w:rFonts w:ascii="宋体" w:hAnsi="宋体" w:eastAsia="宋体" w:cs="宋体"/>
                <w:sz w:val="18"/>
                <w:szCs w:val="18"/>
              </w:rPr>
            </w:pPr>
            <w:r>
              <w:rPr>
                <w:rFonts w:ascii="宋体" w:hAnsi="宋体" w:eastAsia="宋体" w:cs="宋体"/>
                <w:sz w:val="18"/>
                <w:szCs w:val="18"/>
              </w:rPr>
              <w:t>江苏天佑金淦管理咨询有限公司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124F213B">
            <w:pPr>
              <w:spacing w:before="0" w:after="0" w:line="240" w:lineRule="exact"/>
              <w:jc w:val="left"/>
              <w:rPr>
                <w:rFonts w:ascii="宋体" w:hAnsi="宋体" w:eastAsia="宋体" w:cs="宋体"/>
                <w:sz w:val="18"/>
                <w:szCs w:val="18"/>
              </w:rPr>
            </w:pPr>
            <w:r>
              <w:rPr>
                <w:rFonts w:ascii="宋体" w:hAnsi="宋体" w:eastAsia="宋体" w:cs="宋体"/>
                <w:sz w:val="18"/>
                <w:szCs w:val="18"/>
              </w:rPr>
              <w:t>销售商品</w:t>
            </w:r>
          </w:p>
        </w:tc>
        <w:tc>
          <w:tcPr>
            <w:tcW w:w="2410" w:type="dxa"/>
            <w:tcBorders>
              <w:top w:val="single" w:color="auto" w:sz="2" w:space="0"/>
              <w:left w:val="single" w:color="auto" w:sz="2" w:space="0"/>
              <w:bottom w:val="single" w:color="auto" w:sz="2" w:space="0"/>
              <w:right w:val="single" w:color="auto" w:sz="2" w:space="0"/>
            </w:tcBorders>
            <w:vAlign w:val="center"/>
          </w:tcPr>
          <w:p w14:paraId="4D4966B5">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E2FB5C5">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4,646.02</w:t>
            </w:r>
          </w:p>
        </w:tc>
      </w:tr>
    </w:tbl>
    <w:p w14:paraId="49AA23C6">
      <w:pPr>
        <w:spacing w:before="100" w:after="100" w:line="240" w:lineRule="exact"/>
        <w:jc w:val="left"/>
        <w:rPr>
          <w:rFonts w:ascii="宋体" w:hAnsi="宋体" w:eastAsia="宋体" w:cs="宋体"/>
          <w:sz w:val="18"/>
          <w:szCs w:val="18"/>
        </w:rPr>
      </w:pPr>
      <w:r>
        <w:rPr>
          <w:rFonts w:ascii="宋体" w:hAnsi="宋体" w:eastAsia="宋体" w:cs="宋体"/>
          <w:sz w:val="18"/>
          <w:szCs w:val="18"/>
        </w:rPr>
        <w:t>购销商品、提供和接受劳务的关联交易说明</w:t>
      </w:r>
    </w:p>
    <w:p w14:paraId="54FA7BBC">
      <w:pPr>
        <w:keepNext/>
        <w:keepLines/>
        <w:spacing w:before="300" w:after="300" w:line="280" w:lineRule="exact"/>
        <w:jc w:val="left"/>
        <w:outlineLvl w:val="3"/>
        <w:rPr>
          <w:rFonts w:ascii="宋体" w:hAnsi="宋体" w:eastAsia="宋体" w:cs="宋体"/>
          <w:b/>
          <w:bCs/>
          <w:sz w:val="21"/>
          <w:szCs w:val="21"/>
        </w:rPr>
      </w:pPr>
      <w:bookmarkStart w:id="423" w:name="_Toc989225"/>
      <w:r>
        <w:rPr>
          <w:rFonts w:ascii="宋体" w:hAnsi="宋体" w:eastAsia="宋体" w:cs="宋体"/>
          <w:b/>
          <w:bCs/>
          <w:sz w:val="21"/>
          <w:szCs w:val="21"/>
        </w:rPr>
        <w:t>（</w:t>
      </w:r>
      <w:r>
        <w:rPr>
          <w:rFonts w:hint="default" w:ascii="Times New Roman" w:hAnsi="Times New Roman" w:eastAsia="宋体" w:cs="Times New Roman"/>
          <w:b/>
          <w:bCs/>
          <w:sz w:val="21"/>
          <w:szCs w:val="21"/>
        </w:rPr>
        <w:t>2</w:t>
      </w:r>
      <w:r>
        <w:rPr>
          <w:rFonts w:ascii="宋体" w:hAnsi="宋体" w:eastAsia="宋体" w:cs="宋体"/>
          <w:b/>
          <w:bCs/>
          <w:sz w:val="21"/>
          <w:szCs w:val="21"/>
        </w:rPr>
        <w:t>） 关联租赁情况</w:t>
      </w:r>
      <w:bookmarkEnd w:id="423"/>
    </w:p>
    <w:p w14:paraId="01CD69C6">
      <w:pPr>
        <w:spacing w:before="100" w:after="100" w:line="240" w:lineRule="exact"/>
        <w:jc w:val="left"/>
        <w:rPr>
          <w:rFonts w:ascii="宋体" w:hAnsi="宋体" w:eastAsia="宋体" w:cs="宋体"/>
          <w:sz w:val="18"/>
          <w:szCs w:val="18"/>
        </w:rPr>
      </w:pPr>
      <w:r>
        <w:rPr>
          <w:rFonts w:ascii="宋体" w:hAnsi="宋体" w:eastAsia="宋体" w:cs="宋体"/>
          <w:sz w:val="18"/>
          <w:szCs w:val="18"/>
        </w:rPr>
        <w:t>本公司作为出租方：</w:t>
      </w:r>
    </w:p>
    <w:p w14:paraId="7FDD087A">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67A73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C47A01A">
            <w:pPr>
              <w:spacing w:before="40" w:after="40" w:line="240" w:lineRule="exact"/>
              <w:jc w:val="center"/>
              <w:rPr>
                <w:rFonts w:ascii="宋体" w:hAnsi="宋体" w:eastAsia="宋体" w:cs="宋体"/>
                <w:sz w:val="18"/>
                <w:szCs w:val="18"/>
              </w:rPr>
            </w:pPr>
            <w:r>
              <w:rPr>
                <w:rFonts w:ascii="宋体" w:hAnsi="宋体" w:eastAsia="宋体" w:cs="宋体"/>
                <w:sz w:val="18"/>
                <w:szCs w:val="18"/>
              </w:rPr>
              <w:t>承租方名称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1CA04D7">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AAD1619">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本期确认的租赁收入</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42BA118">
            <w:pPr>
              <w:spacing w:before="40" w:after="40" w:line="240" w:lineRule="exact"/>
              <w:jc w:val="center"/>
              <w:rPr>
                <w:rFonts w:ascii="宋体" w:hAnsi="宋体" w:eastAsia="宋体" w:cs="宋体"/>
                <w:sz w:val="18"/>
                <w:szCs w:val="18"/>
              </w:rPr>
            </w:pPr>
            <w:r>
              <w:rPr>
                <w:rFonts w:ascii="宋体" w:hAnsi="宋体" w:eastAsia="宋体" w:cs="宋体"/>
                <w:sz w:val="18"/>
                <w:szCs w:val="18"/>
              </w:rPr>
              <w:t>上期确认的租赁收入</w:t>
            </w:r>
          </w:p>
        </w:tc>
      </w:tr>
      <w:tr w14:paraId="414BC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6CC9B80">
            <w:pPr>
              <w:spacing w:before="0" w:after="0" w:line="240" w:lineRule="exact"/>
              <w:jc w:val="left"/>
              <w:rPr>
                <w:rFonts w:ascii="宋体" w:hAnsi="宋体" w:eastAsia="宋体" w:cs="宋体"/>
                <w:sz w:val="18"/>
                <w:szCs w:val="18"/>
              </w:rPr>
            </w:pPr>
            <w:r>
              <w:rPr>
                <w:rFonts w:ascii="宋体" w:hAnsi="宋体" w:eastAsia="宋体" w:cs="宋体"/>
                <w:sz w:val="18"/>
                <w:szCs w:val="18"/>
              </w:rPr>
              <w:t>广州优得清生物科技有限公司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302B9CD8">
            <w:pPr>
              <w:spacing w:before="0" w:after="0" w:line="240" w:lineRule="exact"/>
              <w:jc w:val="center"/>
              <w:rPr>
                <w:rFonts w:ascii="宋体" w:hAnsi="宋体" w:eastAsia="宋体" w:cs="宋体"/>
                <w:sz w:val="18"/>
                <w:szCs w:val="18"/>
              </w:rPr>
            </w:pPr>
            <w:r>
              <w:rPr>
                <w:rFonts w:ascii="宋体" w:hAnsi="宋体" w:eastAsia="宋体" w:cs="宋体"/>
                <w:sz w:val="18"/>
                <w:szCs w:val="18"/>
              </w:rPr>
              <w:t>房屋建筑物</w:t>
            </w:r>
          </w:p>
        </w:tc>
        <w:tc>
          <w:tcPr>
            <w:tcW w:w="2410" w:type="dxa"/>
            <w:tcBorders>
              <w:top w:val="single" w:color="auto" w:sz="2" w:space="0"/>
              <w:left w:val="single" w:color="auto" w:sz="2" w:space="0"/>
              <w:bottom w:val="single" w:color="auto" w:sz="2" w:space="0"/>
              <w:right w:val="single" w:color="auto" w:sz="2" w:space="0"/>
            </w:tcBorders>
            <w:vAlign w:val="center"/>
          </w:tcPr>
          <w:p w14:paraId="18ACF44B">
            <w:pPr>
              <w:pStyle w:val="6"/>
              <w:keepNext w:val="0"/>
              <w:keepLines w:val="0"/>
              <w:widowControl/>
              <w:suppressLineNumbers w:val="0"/>
              <w:spacing w:before="0" w:beforeAutospacing="0" w:after="0" w:afterAutospacing="0"/>
              <w:ind w:left="0" w:right="0"/>
              <w:jc w:val="right"/>
              <w:textAlignment w:val="center"/>
              <w:rPr>
                <w:rFonts w:ascii="宋体" w:hAnsi="宋体" w:eastAsia="宋体" w:cs="宋体"/>
                <w:sz w:val="18"/>
                <w:szCs w:val="18"/>
              </w:rPr>
            </w:pPr>
            <w:r>
              <w:rPr>
                <w:rFonts w:hint="default" w:ascii="Times New Roman" w:hAnsi="Times New Roman" w:eastAsia="宋体" w:cs="Times New Roman"/>
                <w:i w:val="0"/>
                <w:iCs w:val="0"/>
                <w:color w:val="000000"/>
                <w:sz w:val="18"/>
                <w:szCs w:val="18"/>
              </w:rPr>
              <w:t>952.38</w:t>
            </w:r>
          </w:p>
        </w:tc>
        <w:tc>
          <w:tcPr>
            <w:tcW w:w="2410" w:type="dxa"/>
            <w:tcBorders>
              <w:top w:val="single" w:color="auto" w:sz="2" w:space="0"/>
              <w:left w:val="single" w:color="auto" w:sz="2" w:space="0"/>
              <w:bottom w:val="single" w:color="auto" w:sz="2" w:space="0"/>
              <w:right w:val="single" w:color="auto" w:sz="2" w:space="0"/>
            </w:tcBorders>
            <w:vAlign w:val="center"/>
          </w:tcPr>
          <w:p w14:paraId="6340D148">
            <w:pPr>
              <w:spacing w:before="0" w:after="0" w:line="240" w:lineRule="exact"/>
              <w:jc w:val="right"/>
              <w:rPr>
                <w:rFonts w:ascii="宋体" w:hAnsi="宋体" w:eastAsia="宋体" w:cs="宋体"/>
                <w:sz w:val="18"/>
                <w:szCs w:val="18"/>
              </w:rPr>
            </w:pPr>
          </w:p>
        </w:tc>
      </w:tr>
    </w:tbl>
    <w:p w14:paraId="2C258E0A">
      <w:pPr>
        <w:spacing w:before="100" w:after="100" w:line="240" w:lineRule="exact"/>
        <w:jc w:val="left"/>
        <w:rPr>
          <w:rFonts w:ascii="宋体" w:hAnsi="宋体" w:eastAsia="宋体" w:cs="宋体"/>
          <w:sz w:val="18"/>
          <w:szCs w:val="18"/>
        </w:rPr>
      </w:pPr>
      <w:r>
        <w:rPr>
          <w:rFonts w:ascii="宋体" w:hAnsi="宋体" w:eastAsia="宋体" w:cs="宋体"/>
          <w:sz w:val="18"/>
          <w:szCs w:val="18"/>
        </w:rPr>
        <w:t>本公司作为承租方：</w:t>
      </w:r>
    </w:p>
    <w:p w14:paraId="36F53C35">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14:paraId="7033E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B0AFA7E">
            <w:pPr>
              <w:spacing w:before="40" w:after="40" w:line="240" w:lineRule="exact"/>
              <w:jc w:val="center"/>
              <w:rPr>
                <w:rFonts w:ascii="宋体" w:hAnsi="宋体" w:eastAsia="宋体" w:cs="宋体"/>
                <w:sz w:val="18"/>
                <w:szCs w:val="18"/>
              </w:rPr>
            </w:pPr>
            <w:r>
              <w:rPr>
                <w:rFonts w:ascii="宋体" w:hAnsi="宋体" w:eastAsia="宋体" w:cs="宋体"/>
                <w:sz w:val="18"/>
                <w:szCs w:val="18"/>
              </w:rPr>
              <w:t>出租方名称</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F5A7717">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CFCD167">
            <w:pPr>
              <w:spacing w:before="40" w:after="40" w:line="240" w:lineRule="exact"/>
              <w:jc w:val="center"/>
              <w:rPr>
                <w:rFonts w:ascii="宋体" w:hAnsi="宋体" w:eastAsia="宋体" w:cs="宋体"/>
                <w:sz w:val="18"/>
                <w:szCs w:val="18"/>
              </w:rPr>
            </w:pPr>
            <w:r>
              <w:rPr>
                <w:rFonts w:ascii="宋体" w:hAnsi="宋体" w:eastAsia="宋体" w:cs="宋体"/>
                <w:sz w:val="18"/>
                <w:szCs w:val="18"/>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F4A1E77">
            <w:pPr>
              <w:spacing w:before="40" w:after="40" w:line="240" w:lineRule="exact"/>
              <w:jc w:val="center"/>
              <w:rPr>
                <w:rFonts w:ascii="宋体" w:hAnsi="宋体" w:eastAsia="宋体" w:cs="宋体"/>
                <w:sz w:val="18"/>
                <w:szCs w:val="18"/>
              </w:rPr>
            </w:pPr>
            <w:r>
              <w:rPr>
                <w:rFonts w:ascii="宋体" w:hAnsi="宋体" w:eastAsia="宋体" w:cs="宋体"/>
                <w:sz w:val="18"/>
                <w:szCs w:val="18"/>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4A30294">
            <w:pPr>
              <w:spacing w:before="40" w:after="40" w:line="240" w:lineRule="exact"/>
              <w:jc w:val="center"/>
              <w:rPr>
                <w:rFonts w:ascii="宋体" w:hAnsi="宋体" w:eastAsia="宋体" w:cs="宋体"/>
                <w:sz w:val="18"/>
                <w:szCs w:val="18"/>
              </w:rPr>
            </w:pPr>
            <w:r>
              <w:rPr>
                <w:rFonts w:ascii="宋体" w:hAnsi="宋体" w:eastAsia="宋体" w:cs="宋体"/>
                <w:sz w:val="18"/>
                <w:szCs w:val="18"/>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6238B45">
            <w:pPr>
              <w:spacing w:before="40" w:after="40" w:line="240" w:lineRule="exact"/>
              <w:jc w:val="center"/>
              <w:rPr>
                <w:rFonts w:ascii="宋体" w:hAnsi="宋体" w:eastAsia="宋体" w:cs="宋体"/>
                <w:sz w:val="18"/>
                <w:szCs w:val="18"/>
              </w:rPr>
            </w:pPr>
            <w:r>
              <w:rPr>
                <w:rFonts w:ascii="宋体" w:hAnsi="宋体" w:eastAsia="宋体" w:cs="宋体"/>
                <w:sz w:val="18"/>
                <w:szCs w:val="18"/>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83A75BC">
            <w:pPr>
              <w:spacing w:before="40" w:after="40" w:line="240" w:lineRule="exact"/>
              <w:jc w:val="center"/>
              <w:rPr>
                <w:rFonts w:ascii="宋体" w:hAnsi="宋体" w:eastAsia="宋体" w:cs="宋体"/>
                <w:sz w:val="18"/>
                <w:szCs w:val="18"/>
              </w:rPr>
            </w:pPr>
            <w:r>
              <w:rPr>
                <w:rFonts w:ascii="宋体" w:hAnsi="宋体" w:eastAsia="宋体" w:cs="宋体"/>
                <w:sz w:val="18"/>
                <w:szCs w:val="18"/>
              </w:rPr>
              <w:t>增加的使用权资产</w:t>
            </w:r>
          </w:p>
        </w:tc>
      </w:tr>
      <w:tr w14:paraId="61EEE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vAlign w:val="center"/>
          </w:tcPr>
          <w:p w14:paraId="3DDD1615"/>
        </w:tc>
        <w:tc>
          <w:tcPr>
            <w:tcW w:w="803" w:type="dxa"/>
            <w:vMerge w:val="continue"/>
            <w:tcBorders>
              <w:top w:val="single" w:color="auto" w:sz="2" w:space="0"/>
              <w:left w:val="single" w:color="auto" w:sz="2" w:space="0"/>
              <w:bottom w:val="single" w:color="auto" w:sz="2" w:space="0"/>
              <w:right w:val="single" w:color="auto" w:sz="2" w:space="0"/>
            </w:tcBorders>
            <w:vAlign w:val="center"/>
          </w:tcPr>
          <w:p w14:paraId="4F1682DE"/>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67A83E4E">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6DE7236E">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5C24F4D9">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68EF412A">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6E30876B">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774BC284">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75839936">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506A2694">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09C22DF7">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0B469FAF">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4ED01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09816C2B">
            <w:pPr>
              <w:spacing w:before="0" w:after="0" w:line="240" w:lineRule="exact"/>
              <w:jc w:val="left"/>
              <w:rPr>
                <w:rFonts w:ascii="宋体" w:hAnsi="宋体" w:eastAsia="宋体" w:cs="宋体"/>
                <w:sz w:val="18"/>
                <w:szCs w:val="18"/>
              </w:rPr>
            </w:pPr>
            <w:r>
              <w:rPr>
                <w:rFonts w:ascii="宋体" w:hAnsi="宋体" w:eastAsia="宋体" w:cs="宋体"/>
                <w:sz w:val="18"/>
                <w:szCs w:val="18"/>
              </w:rPr>
              <w:t>北京天佑投资有限公司</w:t>
            </w:r>
          </w:p>
        </w:tc>
        <w:tc>
          <w:tcPr>
            <w:tcW w:w="803" w:type="dxa"/>
            <w:tcBorders>
              <w:top w:val="single" w:color="auto" w:sz="2" w:space="0"/>
              <w:left w:val="single" w:color="auto" w:sz="2" w:space="0"/>
              <w:bottom w:val="single" w:color="auto" w:sz="2" w:space="0"/>
              <w:right w:val="single" w:color="auto" w:sz="2" w:space="0"/>
            </w:tcBorders>
            <w:vAlign w:val="center"/>
          </w:tcPr>
          <w:p w14:paraId="17573702">
            <w:pPr>
              <w:spacing w:before="0" w:after="0" w:line="240" w:lineRule="exact"/>
              <w:jc w:val="left"/>
              <w:rPr>
                <w:rFonts w:ascii="宋体" w:hAnsi="宋体" w:eastAsia="宋体" w:cs="宋体"/>
                <w:sz w:val="18"/>
                <w:szCs w:val="18"/>
              </w:rPr>
            </w:pPr>
            <w:r>
              <w:rPr>
                <w:rFonts w:ascii="宋体" w:hAnsi="宋体" w:eastAsia="宋体" w:cs="宋体"/>
                <w:sz w:val="18"/>
                <w:szCs w:val="18"/>
              </w:rPr>
              <w:t>房屋建筑物</w:t>
            </w:r>
          </w:p>
        </w:tc>
        <w:tc>
          <w:tcPr>
            <w:tcW w:w="803" w:type="dxa"/>
            <w:tcBorders>
              <w:top w:val="single" w:color="auto" w:sz="2" w:space="0"/>
              <w:left w:val="single" w:color="auto" w:sz="2" w:space="0"/>
              <w:bottom w:val="single" w:color="auto" w:sz="2" w:space="0"/>
              <w:right w:val="single" w:color="auto" w:sz="2" w:space="0"/>
            </w:tcBorders>
            <w:vAlign w:val="center"/>
          </w:tcPr>
          <w:p w14:paraId="1668F2FC">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3,929,855.38</w:t>
            </w:r>
          </w:p>
        </w:tc>
        <w:tc>
          <w:tcPr>
            <w:tcW w:w="803" w:type="dxa"/>
            <w:tcBorders>
              <w:top w:val="single" w:color="auto" w:sz="2" w:space="0"/>
              <w:left w:val="single" w:color="auto" w:sz="2" w:space="0"/>
              <w:bottom w:val="single" w:color="auto" w:sz="2" w:space="0"/>
              <w:right w:val="single" w:color="auto" w:sz="2" w:space="0"/>
            </w:tcBorders>
            <w:vAlign w:val="center"/>
          </w:tcPr>
          <w:p w14:paraId="37B7A34A">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2,554,998.00</w:t>
            </w:r>
          </w:p>
        </w:tc>
        <w:tc>
          <w:tcPr>
            <w:tcW w:w="803" w:type="dxa"/>
            <w:tcBorders>
              <w:top w:val="single" w:color="auto" w:sz="2" w:space="0"/>
              <w:left w:val="single" w:color="auto" w:sz="2" w:space="0"/>
              <w:bottom w:val="single" w:color="auto" w:sz="2" w:space="0"/>
              <w:right w:val="single" w:color="auto" w:sz="2" w:space="0"/>
            </w:tcBorders>
            <w:vAlign w:val="center"/>
          </w:tcPr>
          <w:p w14:paraId="7C060688">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5F31A389">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1ED8BCF3">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1A9587F1">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138BCF4F">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571520B8">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302037F8">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5A69C887">
            <w:pPr>
              <w:spacing w:before="0" w:after="0" w:line="240" w:lineRule="exact"/>
              <w:jc w:val="right"/>
              <w:rPr>
                <w:rFonts w:ascii="宋体" w:hAnsi="宋体" w:eastAsia="宋体" w:cs="宋体"/>
                <w:sz w:val="18"/>
                <w:szCs w:val="18"/>
              </w:rPr>
            </w:pPr>
          </w:p>
        </w:tc>
      </w:tr>
    </w:tbl>
    <w:p w14:paraId="769249F8">
      <w:pPr>
        <w:spacing w:before="100" w:after="100" w:line="240" w:lineRule="exact"/>
        <w:jc w:val="left"/>
        <w:rPr>
          <w:rFonts w:ascii="宋体" w:hAnsi="宋体" w:eastAsia="宋体" w:cs="宋体"/>
          <w:sz w:val="18"/>
          <w:szCs w:val="18"/>
        </w:rPr>
      </w:pPr>
      <w:r>
        <w:rPr>
          <w:rFonts w:ascii="宋体" w:hAnsi="宋体" w:eastAsia="宋体" w:cs="宋体"/>
          <w:sz w:val="18"/>
          <w:szCs w:val="18"/>
        </w:rPr>
        <w:t>关联租赁情况说明</w:t>
      </w:r>
    </w:p>
    <w:p w14:paraId="2FFC69E0">
      <w:pPr>
        <w:keepNext/>
        <w:keepLines/>
        <w:spacing w:before="300" w:after="300" w:line="280" w:lineRule="exact"/>
        <w:jc w:val="left"/>
        <w:outlineLvl w:val="3"/>
        <w:rPr>
          <w:rFonts w:ascii="宋体" w:hAnsi="宋体" w:eastAsia="宋体" w:cs="宋体"/>
          <w:b/>
          <w:bCs/>
          <w:sz w:val="21"/>
          <w:szCs w:val="21"/>
        </w:rPr>
      </w:pPr>
      <w:bookmarkStart w:id="424" w:name="_Toc989226"/>
      <w:r>
        <w:rPr>
          <w:rFonts w:ascii="宋体" w:hAnsi="宋体" w:eastAsia="宋体" w:cs="宋体"/>
          <w:b/>
          <w:bCs/>
          <w:sz w:val="21"/>
          <w:szCs w:val="21"/>
        </w:rPr>
        <w:t>（</w:t>
      </w:r>
      <w:r>
        <w:rPr>
          <w:rFonts w:hint="default" w:ascii="Times New Roman" w:hAnsi="Times New Roman" w:eastAsia="宋体" w:cs="Times New Roman"/>
          <w:b/>
          <w:bCs/>
          <w:sz w:val="21"/>
          <w:szCs w:val="21"/>
        </w:rPr>
        <w:t>3</w:t>
      </w:r>
      <w:r>
        <w:rPr>
          <w:rFonts w:ascii="宋体" w:hAnsi="宋体" w:eastAsia="宋体" w:cs="宋体"/>
          <w:b/>
          <w:bCs/>
          <w:sz w:val="21"/>
          <w:szCs w:val="21"/>
        </w:rPr>
        <w:t>） 关联担保情况</w:t>
      </w:r>
      <w:bookmarkEnd w:id="424"/>
    </w:p>
    <w:tbl>
      <w:tblPr>
        <w:tblStyle w:val="7"/>
        <w:tblW w:w="862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866"/>
        <w:gridCol w:w="1523"/>
        <w:gridCol w:w="1341"/>
        <w:gridCol w:w="1255"/>
        <w:gridCol w:w="1271"/>
        <w:gridCol w:w="1368"/>
      </w:tblGrid>
      <w:tr w14:paraId="4FA471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8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682CD5">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担保方</w:t>
            </w:r>
          </w:p>
        </w:tc>
        <w:tc>
          <w:tcPr>
            <w:tcW w:w="154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46D2C2">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被担保方</w:t>
            </w:r>
          </w:p>
        </w:tc>
        <w:tc>
          <w:tcPr>
            <w:tcW w:w="12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0A2B3C">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担保金额</w:t>
            </w:r>
          </w:p>
        </w:tc>
        <w:tc>
          <w:tcPr>
            <w:tcW w:w="12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EDBC79">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担保起始日</w:t>
            </w:r>
          </w:p>
        </w:tc>
        <w:tc>
          <w:tcPr>
            <w:tcW w:w="128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F18641">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担保到期日</w:t>
            </w:r>
          </w:p>
        </w:tc>
        <w:tc>
          <w:tcPr>
            <w:tcW w:w="13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BD9866">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担保是否已经履行完毕</w:t>
            </w:r>
          </w:p>
        </w:tc>
      </w:tr>
      <w:tr w14:paraId="678FFA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 w:hRule="atLeast"/>
        </w:trPr>
        <w:tc>
          <w:tcPr>
            <w:tcW w:w="18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B579A1">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冠昊生物科技股份有限公司</w:t>
            </w:r>
          </w:p>
        </w:tc>
        <w:tc>
          <w:tcPr>
            <w:tcW w:w="15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1A97FD">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广东天昊药业有限公司</w:t>
            </w:r>
          </w:p>
        </w:tc>
        <w:tc>
          <w:tcPr>
            <w:tcW w:w="1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EC050A">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180,000,000.00</w:t>
            </w:r>
          </w:p>
        </w:tc>
        <w:tc>
          <w:tcPr>
            <w:tcW w:w="12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F779CD">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2036-4-18</w:t>
            </w:r>
          </w:p>
        </w:tc>
        <w:tc>
          <w:tcPr>
            <w:tcW w:w="12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4E7125">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2039-4-17</w:t>
            </w:r>
          </w:p>
        </w:tc>
        <w:tc>
          <w:tcPr>
            <w:tcW w:w="13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0742F5">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否</w:t>
            </w:r>
          </w:p>
        </w:tc>
      </w:tr>
      <w:tr w14:paraId="30394B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 w:hRule="atLeast"/>
        </w:trPr>
        <w:tc>
          <w:tcPr>
            <w:tcW w:w="18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206D78">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广东冠昊再生医学科技开发有限公司</w:t>
            </w:r>
          </w:p>
        </w:tc>
        <w:tc>
          <w:tcPr>
            <w:tcW w:w="15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2A7884">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冠昊生物科技股份有限公司</w:t>
            </w:r>
          </w:p>
        </w:tc>
        <w:tc>
          <w:tcPr>
            <w:tcW w:w="1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BF9687">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21,000,000.00</w:t>
            </w:r>
          </w:p>
        </w:tc>
        <w:tc>
          <w:tcPr>
            <w:tcW w:w="12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6698E6">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202</w:t>
            </w:r>
            <w:r>
              <w:rPr>
                <w:rFonts w:hint="eastAsia" w:cs="Times New Roman"/>
                <w:i w:val="0"/>
                <w:iCs w:val="0"/>
                <w:color w:val="000000"/>
                <w:sz w:val="18"/>
                <w:szCs w:val="18"/>
                <w:lang w:val="en-US" w:eastAsia="zh-CN"/>
              </w:rPr>
              <w:t>5</w:t>
            </w:r>
            <w:r>
              <w:rPr>
                <w:rFonts w:hint="default" w:ascii="Times New Roman" w:hAnsi="Times New Roman" w:eastAsia="宋体" w:cs="Times New Roman"/>
                <w:i w:val="0"/>
                <w:iCs w:val="0"/>
                <w:color w:val="000000"/>
                <w:sz w:val="18"/>
                <w:szCs w:val="18"/>
              </w:rPr>
              <w:t>-9-1</w:t>
            </w:r>
            <w:r>
              <w:rPr>
                <w:rFonts w:hint="eastAsia" w:cs="Times New Roman"/>
                <w:i w:val="0"/>
                <w:iCs w:val="0"/>
                <w:color w:val="000000"/>
                <w:sz w:val="18"/>
                <w:szCs w:val="18"/>
                <w:lang w:val="en-US" w:eastAsia="zh-CN"/>
              </w:rPr>
              <w:t>2</w:t>
            </w:r>
          </w:p>
        </w:tc>
        <w:tc>
          <w:tcPr>
            <w:tcW w:w="12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6F76B5">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202</w:t>
            </w:r>
            <w:r>
              <w:rPr>
                <w:rFonts w:hint="eastAsia" w:cs="Times New Roman"/>
                <w:i w:val="0"/>
                <w:iCs w:val="0"/>
                <w:color w:val="000000"/>
                <w:sz w:val="18"/>
                <w:szCs w:val="18"/>
                <w:lang w:val="en-US" w:eastAsia="zh-CN"/>
              </w:rPr>
              <w:t>8</w:t>
            </w:r>
            <w:r>
              <w:rPr>
                <w:rFonts w:hint="default" w:ascii="Times New Roman" w:hAnsi="Times New Roman" w:eastAsia="宋体" w:cs="Times New Roman"/>
                <w:i w:val="0"/>
                <w:iCs w:val="0"/>
                <w:color w:val="000000"/>
                <w:sz w:val="18"/>
                <w:szCs w:val="18"/>
              </w:rPr>
              <w:t>-9-11</w:t>
            </w:r>
          </w:p>
        </w:tc>
        <w:tc>
          <w:tcPr>
            <w:tcW w:w="13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C126BC">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是</w:t>
            </w:r>
          </w:p>
        </w:tc>
      </w:tr>
      <w:tr w14:paraId="5CC956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 w:hRule="atLeast"/>
        </w:trPr>
        <w:tc>
          <w:tcPr>
            <w:tcW w:w="18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21BD04">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冠昊生命健康科技园有限公司</w:t>
            </w:r>
          </w:p>
        </w:tc>
        <w:tc>
          <w:tcPr>
            <w:tcW w:w="15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62E055">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冠昊生物科技股份有限公司</w:t>
            </w:r>
          </w:p>
        </w:tc>
        <w:tc>
          <w:tcPr>
            <w:tcW w:w="1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23D5F6">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21,000,000.00</w:t>
            </w:r>
          </w:p>
        </w:tc>
        <w:tc>
          <w:tcPr>
            <w:tcW w:w="12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E78B1D">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202</w:t>
            </w:r>
            <w:r>
              <w:rPr>
                <w:rFonts w:hint="eastAsia" w:cs="Times New Roman"/>
                <w:i w:val="0"/>
                <w:iCs w:val="0"/>
                <w:color w:val="000000"/>
                <w:sz w:val="18"/>
                <w:szCs w:val="18"/>
                <w:lang w:val="en-US" w:eastAsia="zh-CN"/>
              </w:rPr>
              <w:t>5</w:t>
            </w:r>
            <w:r>
              <w:rPr>
                <w:rFonts w:hint="default" w:ascii="Times New Roman" w:hAnsi="Times New Roman" w:eastAsia="宋体" w:cs="Times New Roman"/>
                <w:i w:val="0"/>
                <w:iCs w:val="0"/>
                <w:color w:val="000000"/>
                <w:sz w:val="18"/>
                <w:szCs w:val="18"/>
              </w:rPr>
              <w:t>-9-</w:t>
            </w:r>
            <w:r>
              <w:rPr>
                <w:rFonts w:hint="eastAsia" w:cs="Times New Roman"/>
                <w:i w:val="0"/>
                <w:iCs w:val="0"/>
                <w:color w:val="000000"/>
                <w:sz w:val="18"/>
                <w:szCs w:val="18"/>
                <w:lang w:val="en-US" w:eastAsia="zh-CN"/>
              </w:rPr>
              <w:t>12</w:t>
            </w:r>
          </w:p>
        </w:tc>
        <w:tc>
          <w:tcPr>
            <w:tcW w:w="12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D3D5C5">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202</w:t>
            </w:r>
            <w:r>
              <w:rPr>
                <w:rFonts w:hint="eastAsia" w:cs="Times New Roman"/>
                <w:i w:val="0"/>
                <w:iCs w:val="0"/>
                <w:color w:val="000000"/>
                <w:sz w:val="18"/>
                <w:szCs w:val="18"/>
                <w:lang w:val="en-US" w:eastAsia="zh-CN"/>
              </w:rPr>
              <w:t>8</w:t>
            </w:r>
            <w:r>
              <w:rPr>
                <w:rFonts w:hint="default" w:ascii="Times New Roman" w:hAnsi="Times New Roman" w:eastAsia="宋体" w:cs="Times New Roman"/>
                <w:i w:val="0"/>
                <w:iCs w:val="0"/>
                <w:color w:val="000000"/>
                <w:sz w:val="18"/>
                <w:szCs w:val="18"/>
              </w:rPr>
              <w:t>-9-11</w:t>
            </w:r>
          </w:p>
        </w:tc>
        <w:tc>
          <w:tcPr>
            <w:tcW w:w="13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059E3E">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是</w:t>
            </w:r>
          </w:p>
        </w:tc>
      </w:tr>
      <w:tr w14:paraId="77BFD4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3" w:hRule="atLeast"/>
        </w:trPr>
        <w:tc>
          <w:tcPr>
            <w:tcW w:w="18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695C17">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广东冠昊再生医学科技开发有限公司</w:t>
            </w:r>
          </w:p>
        </w:tc>
        <w:tc>
          <w:tcPr>
            <w:tcW w:w="15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0E8A6E">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冠昊生物科技股份有限公司</w:t>
            </w:r>
          </w:p>
        </w:tc>
        <w:tc>
          <w:tcPr>
            <w:tcW w:w="1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656F79">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10,000,000.00</w:t>
            </w:r>
          </w:p>
        </w:tc>
        <w:tc>
          <w:tcPr>
            <w:tcW w:w="12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26D67B">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202</w:t>
            </w:r>
            <w:r>
              <w:rPr>
                <w:rFonts w:hint="eastAsia" w:cs="Times New Roman"/>
                <w:i w:val="0"/>
                <w:iCs w:val="0"/>
                <w:color w:val="000000"/>
                <w:sz w:val="18"/>
                <w:szCs w:val="18"/>
                <w:lang w:val="en-US" w:eastAsia="zh-CN"/>
              </w:rPr>
              <w:t>6</w:t>
            </w:r>
            <w:r>
              <w:rPr>
                <w:rFonts w:hint="default" w:ascii="Times New Roman" w:hAnsi="Times New Roman" w:eastAsia="宋体" w:cs="Times New Roman"/>
                <w:i w:val="0"/>
                <w:iCs w:val="0"/>
                <w:color w:val="000000"/>
                <w:sz w:val="18"/>
                <w:szCs w:val="18"/>
              </w:rPr>
              <w:t>-9-</w:t>
            </w:r>
            <w:r>
              <w:rPr>
                <w:rFonts w:hint="eastAsia" w:cs="Times New Roman"/>
                <w:i w:val="0"/>
                <w:iCs w:val="0"/>
                <w:color w:val="000000"/>
                <w:sz w:val="18"/>
                <w:szCs w:val="18"/>
                <w:lang w:val="en-US" w:eastAsia="zh-CN"/>
              </w:rPr>
              <w:t>9</w:t>
            </w:r>
          </w:p>
        </w:tc>
        <w:tc>
          <w:tcPr>
            <w:tcW w:w="12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42F32C">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202</w:t>
            </w:r>
            <w:r>
              <w:rPr>
                <w:rFonts w:hint="eastAsia" w:cs="Times New Roman"/>
                <w:i w:val="0"/>
                <w:iCs w:val="0"/>
                <w:color w:val="000000"/>
                <w:sz w:val="18"/>
                <w:szCs w:val="18"/>
                <w:lang w:val="en-US" w:eastAsia="zh-CN"/>
              </w:rPr>
              <w:t>9</w:t>
            </w:r>
            <w:r>
              <w:rPr>
                <w:rFonts w:hint="default" w:ascii="Times New Roman" w:hAnsi="Times New Roman" w:eastAsia="宋体" w:cs="Times New Roman"/>
                <w:i w:val="0"/>
                <w:iCs w:val="0"/>
                <w:color w:val="000000"/>
                <w:sz w:val="18"/>
                <w:szCs w:val="18"/>
              </w:rPr>
              <w:t>-9-8</w:t>
            </w:r>
          </w:p>
        </w:tc>
        <w:tc>
          <w:tcPr>
            <w:tcW w:w="13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E49FFD">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否</w:t>
            </w:r>
          </w:p>
        </w:tc>
      </w:tr>
      <w:tr w14:paraId="131BE5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3" w:hRule="atLeast"/>
        </w:trPr>
        <w:tc>
          <w:tcPr>
            <w:tcW w:w="18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BFD64A">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冠昊生命健康科技园有限公司</w:t>
            </w:r>
          </w:p>
        </w:tc>
        <w:tc>
          <w:tcPr>
            <w:tcW w:w="15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72567B">
            <w:pPr>
              <w:pStyle w:val="6"/>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冠昊生物科技股份有限公司</w:t>
            </w:r>
          </w:p>
        </w:tc>
        <w:tc>
          <w:tcPr>
            <w:tcW w:w="1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F46E81">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10,000,000.00</w:t>
            </w:r>
          </w:p>
        </w:tc>
        <w:tc>
          <w:tcPr>
            <w:tcW w:w="12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85D223">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i w:val="0"/>
                <w:iCs w:val="0"/>
                <w:color w:val="000000"/>
                <w:sz w:val="18"/>
                <w:szCs w:val="18"/>
                <w:lang w:eastAsia="zh-CN"/>
              </w:rPr>
            </w:pPr>
            <w:r>
              <w:rPr>
                <w:rFonts w:hint="default" w:ascii="Times New Roman" w:hAnsi="Times New Roman" w:eastAsia="宋体" w:cs="Times New Roman"/>
                <w:i w:val="0"/>
                <w:iCs w:val="0"/>
                <w:color w:val="000000"/>
                <w:sz w:val="18"/>
                <w:szCs w:val="18"/>
              </w:rPr>
              <w:t>202</w:t>
            </w:r>
            <w:r>
              <w:rPr>
                <w:rFonts w:hint="eastAsia" w:cs="Times New Roman"/>
                <w:i w:val="0"/>
                <w:iCs w:val="0"/>
                <w:color w:val="000000"/>
                <w:sz w:val="18"/>
                <w:szCs w:val="18"/>
                <w:lang w:val="en-US" w:eastAsia="zh-CN"/>
              </w:rPr>
              <w:t>6</w:t>
            </w:r>
            <w:r>
              <w:rPr>
                <w:rFonts w:hint="default" w:ascii="Times New Roman" w:hAnsi="Times New Roman" w:eastAsia="宋体" w:cs="Times New Roman"/>
                <w:i w:val="0"/>
                <w:iCs w:val="0"/>
                <w:color w:val="000000"/>
                <w:sz w:val="18"/>
                <w:szCs w:val="18"/>
              </w:rPr>
              <w:t>-9-</w:t>
            </w:r>
            <w:r>
              <w:rPr>
                <w:rFonts w:hint="eastAsia" w:cs="Times New Roman"/>
                <w:i w:val="0"/>
                <w:iCs w:val="0"/>
                <w:color w:val="000000"/>
                <w:sz w:val="18"/>
                <w:szCs w:val="18"/>
                <w:lang w:val="en-US" w:eastAsia="zh-CN"/>
              </w:rPr>
              <w:t>9</w:t>
            </w:r>
          </w:p>
        </w:tc>
        <w:tc>
          <w:tcPr>
            <w:tcW w:w="12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0864C5">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2029-9-8</w:t>
            </w:r>
          </w:p>
        </w:tc>
        <w:tc>
          <w:tcPr>
            <w:tcW w:w="13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E8CEA6">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否</w:t>
            </w:r>
          </w:p>
        </w:tc>
      </w:tr>
    </w:tbl>
    <w:p w14:paraId="0828757C">
      <w:pPr>
        <w:pStyle w:val="6"/>
        <w:keepNext w:val="0"/>
        <w:keepLines w:val="0"/>
        <w:widowControl/>
        <w:suppressLineNumbers w:val="0"/>
        <w:spacing w:before="0" w:beforeAutospacing="1" w:after="157" w:afterAutospacing="0" w:line="360" w:lineRule="atLeast"/>
        <w:ind w:left="0" w:right="0" w:firstLine="360"/>
        <w:jc w:val="both"/>
      </w:pPr>
      <w:r>
        <w:rPr>
          <w:rFonts w:hint="eastAsia" w:ascii="宋体" w:hAnsi="宋体" w:eastAsia="宋体" w:cs="宋体"/>
          <w:sz w:val="18"/>
          <w:szCs w:val="18"/>
        </w:rPr>
        <w:t>关联担保情况说明：（</w:t>
      </w:r>
      <w:r>
        <w:rPr>
          <w:rFonts w:hint="default" w:ascii="Times New Roman" w:hAnsi="Times New Roman" w:eastAsia="Arial Narrow" w:cs="Times New Roman"/>
          <w:sz w:val="18"/>
          <w:szCs w:val="18"/>
        </w:rPr>
        <w:t>1</w:t>
      </w:r>
      <w:r>
        <w:rPr>
          <w:rFonts w:hint="eastAsia" w:ascii="宋体" w:hAnsi="宋体" w:eastAsia="宋体" w:cs="宋体"/>
          <w:sz w:val="18"/>
          <w:szCs w:val="18"/>
        </w:rPr>
        <w:t>）</w:t>
      </w:r>
      <w:r>
        <w:rPr>
          <w:rFonts w:hint="eastAsia" w:ascii="Times New Roman" w:hAnsi="Times New Roman" w:eastAsia="宋体" w:cs="Times New Roman"/>
          <w:sz w:val="18"/>
          <w:szCs w:val="18"/>
        </w:rPr>
        <w:t>2023年6月26</w:t>
      </w:r>
      <w:r>
        <w:rPr>
          <w:rFonts w:hint="eastAsia" w:ascii="宋体" w:hAnsi="宋体" w:eastAsia="宋体" w:cs="宋体"/>
          <w:sz w:val="18"/>
          <w:szCs w:val="18"/>
        </w:rPr>
        <w:t>日，冠昊生物科技股份有限公司与交通银行股份有限公司中山分行签署了《保证合同》（合同编号：中交银</w:t>
      </w:r>
      <w:r>
        <w:rPr>
          <w:rFonts w:hint="eastAsia" w:ascii="Times New Roman" w:hAnsi="Times New Roman" w:eastAsia="宋体" w:cs="Times New Roman"/>
          <w:sz w:val="18"/>
          <w:szCs w:val="18"/>
        </w:rPr>
        <w:t>保字第32301015</w:t>
      </w:r>
      <w:r>
        <w:rPr>
          <w:rFonts w:hint="eastAsia" w:ascii="宋体" w:hAnsi="宋体" w:eastAsia="宋体" w:cs="宋体"/>
          <w:sz w:val="18"/>
          <w:szCs w:val="18"/>
        </w:rPr>
        <w:t>号）为本公司子公司广东天昊药业有限公司（以下简称“广东天昊”）与交通银行股份有限公司中山分行的债权承担连带责任保证。所担保的主债权为交通银行股份有限公司中山分行依据其与广东天昊于</w:t>
      </w:r>
      <w:r>
        <w:rPr>
          <w:rFonts w:hint="eastAsia" w:ascii="Times New Roman" w:hAnsi="Times New Roman" w:eastAsia="宋体" w:cs="Times New Roman"/>
          <w:sz w:val="18"/>
          <w:szCs w:val="18"/>
        </w:rPr>
        <w:t>2023年5月4日</w:t>
      </w:r>
      <w:r>
        <w:rPr>
          <w:rFonts w:hint="eastAsia" w:ascii="宋体" w:hAnsi="宋体" w:eastAsia="宋体" w:cs="宋体"/>
          <w:sz w:val="18"/>
          <w:szCs w:val="18"/>
        </w:rPr>
        <w:t>签订的主合同（合同编号：中交银固</w:t>
      </w:r>
      <w:r>
        <w:rPr>
          <w:rFonts w:hint="eastAsia" w:ascii="Times New Roman" w:hAnsi="Times New Roman" w:eastAsia="宋体" w:cs="Times New Roman"/>
          <w:sz w:val="18"/>
          <w:szCs w:val="18"/>
        </w:rPr>
        <w:t>贷字第02301023号</w:t>
      </w:r>
      <w:r>
        <w:rPr>
          <w:rFonts w:hint="eastAsia" w:ascii="宋体" w:hAnsi="宋体" w:eastAsia="宋体" w:cs="宋体"/>
          <w:sz w:val="18"/>
          <w:szCs w:val="18"/>
        </w:rPr>
        <w:t>）而享有的债权，主债权的金额为人民币</w:t>
      </w:r>
      <w:r>
        <w:rPr>
          <w:rFonts w:hint="default" w:ascii="Times New Roman" w:hAnsi="Times New Roman" w:eastAsia="宋体" w:cs="Times New Roman"/>
          <w:i w:val="0"/>
          <w:iCs w:val="0"/>
          <w:color w:val="000000"/>
          <w:sz w:val="18"/>
          <w:szCs w:val="18"/>
        </w:rPr>
        <w:t>18,000.00</w:t>
      </w:r>
      <w:r>
        <w:rPr>
          <w:rFonts w:hint="eastAsia" w:ascii="宋体" w:hAnsi="宋体" w:eastAsia="宋体" w:cs="宋体"/>
          <w:sz w:val="18"/>
          <w:szCs w:val="18"/>
        </w:rPr>
        <w:t>万元整，截止本报告期末尚未还款。主债权的期间为</w:t>
      </w:r>
      <w:r>
        <w:rPr>
          <w:rFonts w:hint="eastAsia" w:ascii="Times New Roman" w:hAnsi="Times New Roman" w:eastAsia="宋体" w:cs="Times New Roman"/>
          <w:sz w:val="18"/>
          <w:szCs w:val="18"/>
        </w:rPr>
        <w:t>2023年5月4日至2036年4月18</w:t>
      </w:r>
      <w:r>
        <w:rPr>
          <w:rFonts w:hint="eastAsia" w:ascii="宋体" w:hAnsi="宋体" w:eastAsia="宋体" w:cs="宋体"/>
          <w:sz w:val="18"/>
          <w:szCs w:val="18"/>
        </w:rPr>
        <w:t>日。保证担保范围包括主合同项下本金及利息、复利、罚息、违约金、损害赔偿金、质权人保管质物和实现债权的费用。保证期间为债务履行期限届满之日起三年。</w:t>
      </w:r>
    </w:p>
    <w:p w14:paraId="3CC2F399">
      <w:pPr>
        <w:pStyle w:val="6"/>
        <w:keepNext w:val="0"/>
        <w:keepLines w:val="0"/>
        <w:widowControl/>
        <w:suppressLineNumbers w:val="0"/>
        <w:spacing w:before="0" w:beforeAutospacing="1" w:after="157" w:afterAutospacing="0" w:line="360" w:lineRule="atLeast"/>
        <w:ind w:left="0" w:right="0" w:firstLine="360"/>
        <w:jc w:val="both"/>
      </w:pPr>
      <w:r>
        <w:rPr>
          <w:rFonts w:hint="eastAsia" w:ascii="宋体" w:hAnsi="宋体" w:eastAsia="宋体" w:cs="宋体"/>
          <w:sz w:val="18"/>
          <w:szCs w:val="18"/>
        </w:rPr>
        <w:t>（</w:t>
      </w:r>
      <w:r>
        <w:rPr>
          <w:rFonts w:hint="default" w:ascii="Times New Roman" w:hAnsi="Times New Roman" w:eastAsia="Arial Narrow" w:cs="Times New Roman"/>
          <w:sz w:val="18"/>
          <w:szCs w:val="18"/>
        </w:rPr>
        <w:t>2</w:t>
      </w:r>
      <w:r>
        <w:rPr>
          <w:rFonts w:hint="eastAsia" w:ascii="宋体" w:hAnsi="宋体" w:eastAsia="宋体" w:cs="宋体"/>
          <w:sz w:val="18"/>
          <w:szCs w:val="18"/>
        </w:rPr>
        <w:t>）</w:t>
      </w:r>
      <w:r>
        <w:rPr>
          <w:rFonts w:hint="default" w:ascii="Times New Roman" w:hAnsi="Times New Roman" w:eastAsia="Arial Narrow" w:cs="Times New Roman"/>
          <w:sz w:val="18"/>
          <w:szCs w:val="18"/>
        </w:rPr>
        <w:t>2024</w:t>
      </w:r>
      <w:r>
        <w:rPr>
          <w:rFonts w:hint="eastAsia" w:ascii="宋体" w:hAnsi="宋体" w:eastAsia="宋体" w:cs="宋体"/>
          <w:sz w:val="18"/>
          <w:szCs w:val="18"/>
        </w:rPr>
        <w:t>年</w:t>
      </w:r>
      <w:r>
        <w:rPr>
          <w:rFonts w:hint="default" w:ascii="Times New Roman" w:hAnsi="Times New Roman" w:eastAsia="Arial Narrow" w:cs="Times New Roman"/>
          <w:sz w:val="18"/>
          <w:szCs w:val="18"/>
        </w:rPr>
        <w:t>9</w:t>
      </w:r>
      <w:r>
        <w:rPr>
          <w:rFonts w:hint="eastAsia" w:ascii="宋体" w:hAnsi="宋体" w:eastAsia="宋体" w:cs="宋体"/>
          <w:sz w:val="18"/>
          <w:szCs w:val="18"/>
        </w:rPr>
        <w:t>月</w:t>
      </w:r>
      <w:r>
        <w:rPr>
          <w:rFonts w:hint="default" w:ascii="Times New Roman" w:hAnsi="Times New Roman" w:eastAsia="Arial Narrow" w:cs="Times New Roman"/>
          <w:sz w:val="18"/>
          <w:szCs w:val="18"/>
        </w:rPr>
        <w:t>14</w:t>
      </w:r>
      <w:r>
        <w:rPr>
          <w:rFonts w:hint="eastAsia" w:ascii="宋体" w:hAnsi="宋体" w:eastAsia="宋体" w:cs="宋体"/>
          <w:sz w:val="18"/>
          <w:szCs w:val="18"/>
        </w:rPr>
        <w:t>日，本公司子公司广东冠昊再生医学科技开发有限公司与中国工商银行股份有限公司天平架支行签署了《保证合同》（合同编号：</w:t>
      </w:r>
      <w:r>
        <w:rPr>
          <w:rFonts w:hint="default" w:ascii="Times New Roman" w:hAnsi="Times New Roman" w:eastAsia="Arial Narrow" w:cs="Times New Roman"/>
          <w:sz w:val="18"/>
          <w:szCs w:val="18"/>
        </w:rPr>
        <w:t>0360200179</w:t>
      </w:r>
      <w:r>
        <w:rPr>
          <w:rFonts w:hint="default" w:ascii="Arial Narrow" w:hAnsi="Arial Narrow" w:eastAsia="Arial Narrow" w:cs="Arial Narrow"/>
          <w:sz w:val="18"/>
          <w:szCs w:val="18"/>
        </w:rPr>
        <w:t>-</w:t>
      </w:r>
      <w:r>
        <w:rPr>
          <w:rFonts w:hint="default" w:ascii="Times New Roman" w:hAnsi="Times New Roman" w:eastAsia="Arial Narrow" w:cs="Times New Roman"/>
          <w:sz w:val="18"/>
          <w:szCs w:val="18"/>
        </w:rPr>
        <w:t>2024</w:t>
      </w:r>
      <w:r>
        <w:rPr>
          <w:rFonts w:hint="eastAsia" w:ascii="宋体" w:hAnsi="宋体" w:eastAsia="宋体" w:cs="宋体"/>
          <w:sz w:val="18"/>
          <w:szCs w:val="18"/>
        </w:rPr>
        <w:t>年天平（保）字</w:t>
      </w:r>
      <w:r>
        <w:rPr>
          <w:rFonts w:hint="default" w:ascii="Times New Roman" w:hAnsi="Times New Roman" w:eastAsia="Arial Narrow" w:cs="Times New Roman"/>
          <w:sz w:val="18"/>
          <w:szCs w:val="18"/>
        </w:rPr>
        <w:t>0255</w:t>
      </w:r>
      <w:r>
        <w:rPr>
          <w:rFonts w:hint="eastAsia" w:ascii="宋体" w:hAnsi="宋体" w:eastAsia="宋体" w:cs="宋体"/>
          <w:sz w:val="18"/>
          <w:szCs w:val="18"/>
        </w:rPr>
        <w:t>号）为本公司与中国工商银行股份有限公司天平架支行的债权承担连带责任保证。所担保的主债权为中国工商银行股份有限公司天平架支行依据其与本公司于</w:t>
      </w:r>
      <w:r>
        <w:rPr>
          <w:rFonts w:hint="default" w:ascii="Times New Roman" w:hAnsi="Times New Roman" w:eastAsia="Arial Narrow" w:cs="Times New Roman"/>
          <w:sz w:val="18"/>
          <w:szCs w:val="18"/>
        </w:rPr>
        <w:t>2024</w:t>
      </w:r>
      <w:r>
        <w:rPr>
          <w:rFonts w:hint="eastAsia" w:ascii="宋体" w:hAnsi="宋体" w:eastAsia="宋体" w:cs="宋体"/>
          <w:sz w:val="18"/>
          <w:szCs w:val="18"/>
        </w:rPr>
        <w:t>年</w:t>
      </w:r>
      <w:r>
        <w:rPr>
          <w:rFonts w:hint="default" w:ascii="Times New Roman" w:hAnsi="Times New Roman" w:eastAsia="Arial Narrow" w:cs="Times New Roman"/>
          <w:sz w:val="18"/>
          <w:szCs w:val="18"/>
        </w:rPr>
        <w:t>9</w:t>
      </w:r>
      <w:r>
        <w:rPr>
          <w:rFonts w:hint="eastAsia" w:ascii="宋体" w:hAnsi="宋体" w:eastAsia="宋体" w:cs="宋体"/>
          <w:sz w:val="18"/>
          <w:szCs w:val="18"/>
        </w:rPr>
        <w:t>月</w:t>
      </w:r>
      <w:r>
        <w:rPr>
          <w:rFonts w:hint="default" w:ascii="Times New Roman" w:hAnsi="Times New Roman" w:eastAsia="Arial Narrow" w:cs="Times New Roman"/>
          <w:sz w:val="18"/>
          <w:szCs w:val="18"/>
        </w:rPr>
        <w:t>14</w:t>
      </w:r>
      <w:r>
        <w:rPr>
          <w:rFonts w:hint="eastAsia" w:ascii="宋体" w:hAnsi="宋体" w:eastAsia="宋体" w:cs="宋体"/>
          <w:sz w:val="18"/>
          <w:szCs w:val="18"/>
        </w:rPr>
        <w:t>日签订的主合同（合同编号：</w:t>
      </w:r>
      <w:r>
        <w:rPr>
          <w:rFonts w:hint="default" w:ascii="Times New Roman" w:hAnsi="Times New Roman" w:eastAsia="Arial Narrow" w:cs="Times New Roman"/>
          <w:sz w:val="18"/>
          <w:szCs w:val="18"/>
        </w:rPr>
        <w:t>0360200179</w:t>
      </w:r>
      <w:r>
        <w:rPr>
          <w:rFonts w:hint="default" w:ascii="Arial Narrow" w:hAnsi="Arial Narrow" w:eastAsia="Arial Narrow" w:cs="Arial Narrow"/>
          <w:sz w:val="18"/>
          <w:szCs w:val="18"/>
        </w:rPr>
        <w:t>-</w:t>
      </w:r>
      <w:r>
        <w:rPr>
          <w:rFonts w:hint="default" w:ascii="Times New Roman" w:hAnsi="Times New Roman" w:eastAsia="Arial Narrow" w:cs="Times New Roman"/>
          <w:sz w:val="18"/>
          <w:szCs w:val="18"/>
        </w:rPr>
        <w:t>2024</w:t>
      </w:r>
      <w:r>
        <w:rPr>
          <w:rFonts w:hint="eastAsia" w:ascii="宋体" w:hAnsi="宋体" w:eastAsia="宋体" w:cs="宋体"/>
          <w:sz w:val="18"/>
          <w:szCs w:val="18"/>
        </w:rPr>
        <w:t>年（天平）字</w:t>
      </w:r>
      <w:r>
        <w:rPr>
          <w:rFonts w:hint="default" w:ascii="Times New Roman" w:hAnsi="Times New Roman" w:eastAsia="Arial Narrow" w:cs="Times New Roman"/>
          <w:sz w:val="18"/>
          <w:szCs w:val="18"/>
        </w:rPr>
        <w:t>01262</w:t>
      </w:r>
      <w:r>
        <w:rPr>
          <w:rFonts w:hint="eastAsia" w:ascii="宋体" w:hAnsi="宋体" w:eastAsia="宋体" w:cs="宋体"/>
          <w:sz w:val="18"/>
          <w:szCs w:val="18"/>
        </w:rPr>
        <w:t>号）而享有的债权，主债权的金额为人民币</w:t>
      </w:r>
      <w:r>
        <w:rPr>
          <w:rFonts w:hint="default" w:ascii="Times New Roman" w:hAnsi="Times New Roman" w:eastAsia="宋体" w:cs="Times New Roman"/>
          <w:i w:val="0"/>
          <w:iCs w:val="0"/>
          <w:color w:val="000000"/>
          <w:sz w:val="18"/>
          <w:szCs w:val="18"/>
        </w:rPr>
        <w:t>2,100.00</w:t>
      </w:r>
      <w:r>
        <w:rPr>
          <w:rFonts w:hint="eastAsia" w:ascii="Times New Roman" w:hAnsi="Times New Roman" w:eastAsia="宋体" w:cs="Times New Roman"/>
          <w:i w:val="0"/>
          <w:iCs w:val="0"/>
          <w:color w:val="000000"/>
          <w:sz w:val="18"/>
          <w:szCs w:val="18"/>
        </w:rPr>
        <w:t>万</w:t>
      </w:r>
      <w:r>
        <w:rPr>
          <w:rFonts w:hint="eastAsia" w:ascii="宋体" w:hAnsi="宋体" w:eastAsia="宋体" w:cs="宋体"/>
          <w:sz w:val="18"/>
          <w:szCs w:val="18"/>
        </w:rPr>
        <w:t>元整，截止本报告期末已全部偿还。主债权的期间为</w:t>
      </w:r>
      <w:r>
        <w:rPr>
          <w:rFonts w:hint="default" w:ascii="Times New Roman" w:hAnsi="Times New Roman" w:eastAsia="Arial Narrow" w:cs="Times New Roman"/>
          <w:sz w:val="18"/>
          <w:szCs w:val="18"/>
        </w:rPr>
        <w:t>2024</w:t>
      </w:r>
      <w:r>
        <w:rPr>
          <w:rFonts w:hint="eastAsia" w:ascii="宋体" w:hAnsi="宋体" w:eastAsia="宋体" w:cs="宋体"/>
          <w:sz w:val="18"/>
          <w:szCs w:val="18"/>
        </w:rPr>
        <w:t>年</w:t>
      </w:r>
      <w:r>
        <w:rPr>
          <w:rFonts w:hint="default" w:ascii="Times New Roman" w:hAnsi="Times New Roman" w:eastAsia="Arial Narrow" w:cs="Times New Roman"/>
          <w:sz w:val="18"/>
          <w:szCs w:val="18"/>
        </w:rPr>
        <w:t>9</w:t>
      </w:r>
      <w:r>
        <w:rPr>
          <w:rFonts w:hint="eastAsia" w:ascii="宋体" w:hAnsi="宋体" w:eastAsia="宋体" w:cs="宋体"/>
          <w:sz w:val="18"/>
          <w:szCs w:val="18"/>
        </w:rPr>
        <w:t>月</w:t>
      </w:r>
      <w:r>
        <w:rPr>
          <w:rFonts w:hint="default" w:ascii="Times New Roman" w:hAnsi="Times New Roman" w:eastAsia="Arial Narrow" w:cs="Times New Roman"/>
          <w:sz w:val="18"/>
          <w:szCs w:val="18"/>
        </w:rPr>
        <w:t>19</w:t>
      </w:r>
      <w:r>
        <w:rPr>
          <w:rFonts w:hint="eastAsia" w:ascii="宋体" w:hAnsi="宋体" w:eastAsia="宋体" w:cs="宋体"/>
          <w:sz w:val="18"/>
          <w:szCs w:val="18"/>
        </w:rPr>
        <w:t>日至</w:t>
      </w:r>
      <w:r>
        <w:rPr>
          <w:rFonts w:hint="default" w:ascii="Times New Roman" w:hAnsi="Times New Roman" w:eastAsia="Arial Narrow" w:cs="Times New Roman"/>
          <w:sz w:val="18"/>
          <w:szCs w:val="18"/>
        </w:rPr>
        <w:t>2025</w:t>
      </w:r>
      <w:r>
        <w:rPr>
          <w:rFonts w:hint="eastAsia" w:ascii="宋体" w:hAnsi="宋体" w:eastAsia="宋体" w:cs="宋体"/>
          <w:sz w:val="18"/>
          <w:szCs w:val="18"/>
        </w:rPr>
        <w:t>年</w:t>
      </w:r>
      <w:r>
        <w:rPr>
          <w:rFonts w:hint="default" w:ascii="Times New Roman" w:hAnsi="Times New Roman" w:eastAsia="Arial Narrow" w:cs="Times New Roman"/>
          <w:sz w:val="18"/>
          <w:szCs w:val="18"/>
        </w:rPr>
        <w:t>9</w:t>
      </w:r>
      <w:r>
        <w:rPr>
          <w:rFonts w:hint="eastAsia" w:ascii="宋体" w:hAnsi="宋体" w:eastAsia="宋体" w:cs="宋体"/>
          <w:sz w:val="18"/>
          <w:szCs w:val="18"/>
        </w:rPr>
        <w:t>月</w:t>
      </w:r>
      <w:r>
        <w:rPr>
          <w:rFonts w:hint="default" w:ascii="Times New Roman" w:hAnsi="Times New Roman" w:eastAsia="Arial Narrow" w:cs="Times New Roman"/>
          <w:sz w:val="18"/>
          <w:szCs w:val="18"/>
        </w:rPr>
        <w:t>11</w:t>
      </w:r>
      <w:r>
        <w:rPr>
          <w:rFonts w:hint="eastAsia" w:ascii="宋体" w:hAnsi="宋体" w:eastAsia="宋体" w:cs="宋体"/>
          <w:sz w:val="18"/>
          <w:szCs w:val="18"/>
        </w:rPr>
        <w:t>日。保证担保范围包括主合同项下本金及利息、复利、罚息、违约金、损害赔偿金、质权人保管质物和实现债权的费用。保证期间为债务履行期限届满之次日起三年。</w:t>
      </w:r>
    </w:p>
    <w:p w14:paraId="73710197">
      <w:pPr>
        <w:pStyle w:val="6"/>
        <w:keepNext w:val="0"/>
        <w:keepLines w:val="0"/>
        <w:widowControl/>
        <w:suppressLineNumbers w:val="0"/>
        <w:spacing w:before="0" w:beforeAutospacing="1" w:after="157" w:afterAutospacing="0" w:line="360" w:lineRule="atLeast"/>
        <w:ind w:left="0" w:right="0" w:firstLine="360"/>
        <w:jc w:val="both"/>
      </w:pPr>
      <w:r>
        <w:rPr>
          <w:rFonts w:hint="eastAsia" w:ascii="宋体" w:hAnsi="宋体" w:eastAsia="宋体" w:cs="宋体"/>
          <w:sz w:val="18"/>
          <w:szCs w:val="18"/>
        </w:rPr>
        <w:t>（</w:t>
      </w:r>
      <w:r>
        <w:rPr>
          <w:rFonts w:hint="default" w:ascii="Times New Roman" w:hAnsi="Times New Roman" w:eastAsia="Arial Narrow" w:cs="Times New Roman"/>
          <w:sz w:val="18"/>
          <w:szCs w:val="18"/>
        </w:rPr>
        <w:t>3</w:t>
      </w:r>
      <w:r>
        <w:rPr>
          <w:rFonts w:hint="eastAsia" w:ascii="宋体" w:hAnsi="宋体" w:eastAsia="宋体" w:cs="宋体"/>
          <w:sz w:val="18"/>
          <w:szCs w:val="18"/>
        </w:rPr>
        <w:t>）</w:t>
      </w:r>
      <w:r>
        <w:rPr>
          <w:rFonts w:hint="default" w:ascii="Times New Roman" w:hAnsi="Times New Roman" w:eastAsia="Arial Narrow" w:cs="Times New Roman"/>
          <w:sz w:val="18"/>
          <w:szCs w:val="18"/>
        </w:rPr>
        <w:t>2024</w:t>
      </w:r>
      <w:r>
        <w:rPr>
          <w:rFonts w:hint="eastAsia" w:ascii="宋体" w:hAnsi="宋体" w:eastAsia="宋体" w:cs="宋体"/>
          <w:sz w:val="18"/>
          <w:szCs w:val="18"/>
        </w:rPr>
        <w:t>年</w:t>
      </w:r>
      <w:r>
        <w:rPr>
          <w:rFonts w:hint="default" w:ascii="Times New Roman" w:hAnsi="Times New Roman" w:eastAsia="Arial Narrow" w:cs="Times New Roman"/>
          <w:sz w:val="18"/>
          <w:szCs w:val="18"/>
        </w:rPr>
        <w:t>9</w:t>
      </w:r>
      <w:r>
        <w:rPr>
          <w:rFonts w:hint="eastAsia" w:ascii="宋体" w:hAnsi="宋体" w:eastAsia="宋体" w:cs="宋体"/>
          <w:sz w:val="18"/>
          <w:szCs w:val="18"/>
        </w:rPr>
        <w:t>月</w:t>
      </w:r>
      <w:r>
        <w:rPr>
          <w:rFonts w:hint="default" w:ascii="Times New Roman" w:hAnsi="Times New Roman" w:eastAsia="Arial Narrow" w:cs="Times New Roman"/>
          <w:sz w:val="18"/>
          <w:szCs w:val="18"/>
        </w:rPr>
        <w:t>14</w:t>
      </w:r>
      <w:r>
        <w:rPr>
          <w:rFonts w:hint="eastAsia" w:ascii="宋体" w:hAnsi="宋体" w:eastAsia="宋体" w:cs="宋体"/>
          <w:sz w:val="18"/>
          <w:szCs w:val="18"/>
        </w:rPr>
        <w:t>日，本公司子公司冠昊生命健康科技园有限公司与中国工商银行股份有限公司天平架支行签署了《保证合同》（合同编号：</w:t>
      </w:r>
      <w:r>
        <w:rPr>
          <w:rFonts w:hint="default" w:ascii="Times New Roman" w:hAnsi="Times New Roman" w:eastAsia="Arial Narrow" w:cs="Times New Roman"/>
          <w:sz w:val="18"/>
          <w:szCs w:val="18"/>
        </w:rPr>
        <w:t>0360200179</w:t>
      </w:r>
      <w:r>
        <w:rPr>
          <w:rFonts w:hint="default" w:ascii="Arial Narrow" w:hAnsi="Arial Narrow" w:eastAsia="Arial Narrow" w:cs="Arial Narrow"/>
          <w:sz w:val="18"/>
          <w:szCs w:val="18"/>
        </w:rPr>
        <w:t>-</w:t>
      </w:r>
      <w:r>
        <w:rPr>
          <w:rFonts w:hint="default" w:ascii="Times New Roman" w:hAnsi="Times New Roman" w:eastAsia="Arial Narrow" w:cs="Times New Roman"/>
          <w:sz w:val="18"/>
          <w:szCs w:val="18"/>
        </w:rPr>
        <w:t>2024</w:t>
      </w:r>
      <w:r>
        <w:rPr>
          <w:rFonts w:hint="eastAsia" w:ascii="宋体" w:hAnsi="宋体" w:eastAsia="宋体" w:cs="宋体"/>
          <w:sz w:val="18"/>
          <w:szCs w:val="18"/>
        </w:rPr>
        <w:t>年天平（保）字</w:t>
      </w:r>
      <w:r>
        <w:rPr>
          <w:rFonts w:hint="default" w:ascii="Times New Roman" w:hAnsi="Times New Roman" w:eastAsia="Arial Narrow" w:cs="Times New Roman"/>
          <w:sz w:val="18"/>
          <w:szCs w:val="18"/>
        </w:rPr>
        <w:t>0256</w:t>
      </w:r>
      <w:r>
        <w:rPr>
          <w:rFonts w:hint="eastAsia" w:ascii="宋体" w:hAnsi="宋体" w:eastAsia="宋体" w:cs="宋体"/>
          <w:sz w:val="18"/>
          <w:szCs w:val="18"/>
        </w:rPr>
        <w:t>号）为本公司与中国工商银行股份有限公司天平架支行的债权承担连带责任保证。所担保的主债权为中国工商银行股份有限公司天平架支行依据其与本公司于</w:t>
      </w:r>
      <w:r>
        <w:rPr>
          <w:rFonts w:hint="default" w:ascii="Times New Roman" w:hAnsi="Times New Roman" w:eastAsia="Arial Narrow" w:cs="Times New Roman"/>
          <w:sz w:val="18"/>
          <w:szCs w:val="18"/>
        </w:rPr>
        <w:t>2024</w:t>
      </w:r>
      <w:r>
        <w:rPr>
          <w:rFonts w:hint="eastAsia" w:ascii="宋体" w:hAnsi="宋体" w:eastAsia="宋体" w:cs="宋体"/>
          <w:sz w:val="18"/>
          <w:szCs w:val="18"/>
        </w:rPr>
        <w:t>年</w:t>
      </w:r>
      <w:r>
        <w:rPr>
          <w:rFonts w:hint="default" w:ascii="Times New Roman" w:hAnsi="Times New Roman" w:eastAsia="Arial Narrow" w:cs="Times New Roman"/>
          <w:sz w:val="18"/>
          <w:szCs w:val="18"/>
        </w:rPr>
        <w:t>9</w:t>
      </w:r>
      <w:r>
        <w:rPr>
          <w:rFonts w:hint="eastAsia" w:ascii="宋体" w:hAnsi="宋体" w:eastAsia="宋体" w:cs="宋体"/>
          <w:sz w:val="18"/>
          <w:szCs w:val="18"/>
        </w:rPr>
        <w:t>月</w:t>
      </w:r>
      <w:r>
        <w:rPr>
          <w:rFonts w:hint="default" w:ascii="Times New Roman" w:hAnsi="Times New Roman" w:eastAsia="Arial Narrow" w:cs="Times New Roman"/>
          <w:sz w:val="18"/>
          <w:szCs w:val="18"/>
        </w:rPr>
        <w:t>14</w:t>
      </w:r>
      <w:r>
        <w:rPr>
          <w:rFonts w:hint="eastAsia" w:ascii="宋体" w:hAnsi="宋体" w:eastAsia="宋体" w:cs="宋体"/>
          <w:sz w:val="18"/>
          <w:szCs w:val="18"/>
        </w:rPr>
        <w:t>日签订的主合同（合同编号：</w:t>
      </w:r>
      <w:r>
        <w:rPr>
          <w:rFonts w:hint="default" w:ascii="Times New Roman" w:hAnsi="Times New Roman" w:eastAsia="Arial Narrow" w:cs="Times New Roman"/>
          <w:sz w:val="18"/>
          <w:szCs w:val="18"/>
        </w:rPr>
        <w:t>0360200179</w:t>
      </w:r>
      <w:r>
        <w:rPr>
          <w:rFonts w:hint="default" w:ascii="Arial Narrow" w:hAnsi="Arial Narrow" w:eastAsia="Arial Narrow" w:cs="Arial Narrow"/>
          <w:sz w:val="18"/>
          <w:szCs w:val="18"/>
        </w:rPr>
        <w:t>-</w:t>
      </w:r>
      <w:r>
        <w:rPr>
          <w:rFonts w:hint="default" w:ascii="Times New Roman" w:hAnsi="Times New Roman" w:eastAsia="Arial Narrow" w:cs="Times New Roman"/>
          <w:sz w:val="18"/>
          <w:szCs w:val="18"/>
        </w:rPr>
        <w:t>2024</w:t>
      </w:r>
      <w:r>
        <w:rPr>
          <w:rFonts w:hint="eastAsia" w:ascii="宋体" w:hAnsi="宋体" w:eastAsia="宋体" w:cs="宋体"/>
          <w:sz w:val="18"/>
          <w:szCs w:val="18"/>
        </w:rPr>
        <w:t>年（天平）字</w:t>
      </w:r>
      <w:r>
        <w:rPr>
          <w:rFonts w:hint="default" w:ascii="Times New Roman" w:hAnsi="Times New Roman" w:eastAsia="Arial Narrow" w:cs="Times New Roman"/>
          <w:sz w:val="18"/>
          <w:szCs w:val="18"/>
        </w:rPr>
        <w:t>01262</w:t>
      </w:r>
      <w:r>
        <w:rPr>
          <w:rFonts w:hint="eastAsia" w:ascii="宋体" w:hAnsi="宋体" w:eastAsia="宋体" w:cs="宋体"/>
          <w:sz w:val="18"/>
          <w:szCs w:val="18"/>
        </w:rPr>
        <w:t>号）而享有的债权，主债权的金额为人民币</w:t>
      </w:r>
      <w:r>
        <w:rPr>
          <w:rFonts w:hint="default" w:ascii="Times New Roman" w:hAnsi="Times New Roman" w:eastAsia="宋体" w:cs="Times New Roman"/>
          <w:i w:val="0"/>
          <w:iCs w:val="0"/>
          <w:color w:val="000000"/>
          <w:sz w:val="18"/>
          <w:szCs w:val="18"/>
        </w:rPr>
        <w:t>2,100.00</w:t>
      </w:r>
      <w:r>
        <w:rPr>
          <w:rFonts w:hint="eastAsia" w:ascii="Times New Roman" w:hAnsi="Times New Roman" w:eastAsia="宋体" w:cs="Times New Roman"/>
          <w:i w:val="0"/>
          <w:iCs w:val="0"/>
          <w:color w:val="000000"/>
          <w:sz w:val="18"/>
          <w:szCs w:val="18"/>
        </w:rPr>
        <w:t>万元</w:t>
      </w:r>
      <w:r>
        <w:rPr>
          <w:rFonts w:hint="eastAsia" w:ascii="宋体" w:hAnsi="宋体" w:eastAsia="宋体" w:cs="宋体"/>
          <w:sz w:val="18"/>
          <w:szCs w:val="18"/>
        </w:rPr>
        <w:t>整，截止本报告期末已全部偿还。主债权的期间为</w:t>
      </w:r>
      <w:r>
        <w:rPr>
          <w:rFonts w:hint="default" w:ascii="Times New Roman" w:hAnsi="Times New Roman" w:eastAsia="Arial Narrow" w:cs="Times New Roman"/>
          <w:sz w:val="18"/>
          <w:szCs w:val="18"/>
        </w:rPr>
        <w:t>2024</w:t>
      </w:r>
      <w:r>
        <w:rPr>
          <w:rFonts w:hint="eastAsia" w:ascii="宋体" w:hAnsi="宋体" w:eastAsia="宋体" w:cs="宋体"/>
          <w:sz w:val="18"/>
          <w:szCs w:val="18"/>
        </w:rPr>
        <w:t>年</w:t>
      </w:r>
      <w:r>
        <w:rPr>
          <w:rFonts w:hint="default" w:ascii="Times New Roman" w:hAnsi="Times New Roman" w:eastAsia="Arial Narrow" w:cs="Times New Roman"/>
          <w:sz w:val="18"/>
          <w:szCs w:val="18"/>
        </w:rPr>
        <w:t>9</w:t>
      </w:r>
      <w:r>
        <w:rPr>
          <w:rFonts w:hint="eastAsia" w:ascii="宋体" w:hAnsi="宋体" w:eastAsia="宋体" w:cs="宋体"/>
          <w:sz w:val="18"/>
          <w:szCs w:val="18"/>
        </w:rPr>
        <w:t>月</w:t>
      </w:r>
      <w:r>
        <w:rPr>
          <w:rFonts w:hint="default" w:ascii="Times New Roman" w:hAnsi="Times New Roman" w:eastAsia="Arial Narrow" w:cs="Times New Roman"/>
          <w:sz w:val="18"/>
          <w:szCs w:val="18"/>
        </w:rPr>
        <w:t>19</w:t>
      </w:r>
      <w:r>
        <w:rPr>
          <w:rFonts w:hint="eastAsia" w:ascii="宋体" w:hAnsi="宋体" w:eastAsia="宋体" w:cs="宋体"/>
          <w:sz w:val="18"/>
          <w:szCs w:val="18"/>
        </w:rPr>
        <w:t>日至</w:t>
      </w:r>
      <w:r>
        <w:rPr>
          <w:rFonts w:hint="default" w:ascii="Times New Roman" w:hAnsi="Times New Roman" w:eastAsia="Arial Narrow" w:cs="Times New Roman"/>
          <w:sz w:val="18"/>
          <w:szCs w:val="18"/>
        </w:rPr>
        <w:t>2025</w:t>
      </w:r>
      <w:r>
        <w:rPr>
          <w:rFonts w:hint="eastAsia" w:ascii="宋体" w:hAnsi="宋体" w:eastAsia="宋体" w:cs="宋体"/>
          <w:sz w:val="18"/>
          <w:szCs w:val="18"/>
        </w:rPr>
        <w:t>年</w:t>
      </w:r>
      <w:r>
        <w:rPr>
          <w:rFonts w:hint="default" w:ascii="Times New Roman" w:hAnsi="Times New Roman" w:eastAsia="Arial Narrow" w:cs="Times New Roman"/>
          <w:sz w:val="18"/>
          <w:szCs w:val="18"/>
        </w:rPr>
        <w:t>9</w:t>
      </w:r>
      <w:r>
        <w:rPr>
          <w:rFonts w:hint="eastAsia" w:ascii="宋体" w:hAnsi="宋体" w:eastAsia="宋体" w:cs="宋体"/>
          <w:sz w:val="18"/>
          <w:szCs w:val="18"/>
        </w:rPr>
        <w:t>月</w:t>
      </w:r>
      <w:r>
        <w:rPr>
          <w:rFonts w:hint="default" w:ascii="Times New Roman" w:hAnsi="Times New Roman" w:eastAsia="Arial Narrow" w:cs="Times New Roman"/>
          <w:sz w:val="18"/>
          <w:szCs w:val="18"/>
        </w:rPr>
        <w:t>11</w:t>
      </w:r>
      <w:r>
        <w:rPr>
          <w:rFonts w:hint="eastAsia" w:ascii="宋体" w:hAnsi="宋体" w:eastAsia="宋体" w:cs="宋体"/>
          <w:sz w:val="18"/>
          <w:szCs w:val="18"/>
        </w:rPr>
        <w:t>日。保证担保范围包括主合同项下本金及利息、复利、罚息、违约金、损害赔偿金、质权人保管质物和实现债权的费用。保证期间为债务履行期限届满之次日起三年。</w:t>
      </w:r>
    </w:p>
    <w:p w14:paraId="62FB8347">
      <w:pPr>
        <w:pStyle w:val="6"/>
        <w:keepNext w:val="0"/>
        <w:keepLines w:val="0"/>
        <w:widowControl/>
        <w:suppressLineNumbers w:val="0"/>
        <w:spacing w:before="0" w:beforeAutospacing="1" w:after="157" w:afterAutospacing="0" w:line="360" w:lineRule="atLeast"/>
        <w:ind w:left="0" w:right="0" w:firstLine="360"/>
        <w:jc w:val="both"/>
      </w:pPr>
      <w:r>
        <w:rPr>
          <w:rFonts w:hint="eastAsia" w:ascii="宋体" w:hAnsi="宋体" w:eastAsia="宋体" w:cs="宋体"/>
          <w:sz w:val="18"/>
          <w:szCs w:val="18"/>
        </w:rPr>
        <w:t>（</w:t>
      </w:r>
      <w:r>
        <w:rPr>
          <w:rFonts w:hint="default" w:ascii="Times New Roman" w:hAnsi="Times New Roman" w:eastAsia="Arial Narrow" w:cs="Times New Roman"/>
          <w:sz w:val="18"/>
          <w:szCs w:val="18"/>
        </w:rPr>
        <w:t>4</w:t>
      </w:r>
      <w:r>
        <w:rPr>
          <w:rFonts w:hint="eastAsia" w:ascii="宋体" w:hAnsi="宋体" w:eastAsia="宋体" w:cs="宋体"/>
          <w:sz w:val="18"/>
          <w:szCs w:val="18"/>
        </w:rPr>
        <w:t>）</w:t>
      </w:r>
      <w:r>
        <w:rPr>
          <w:rFonts w:hint="default" w:ascii="Times New Roman" w:hAnsi="Times New Roman" w:eastAsia="Arial Narrow" w:cs="Times New Roman"/>
          <w:sz w:val="18"/>
          <w:szCs w:val="18"/>
        </w:rPr>
        <w:t>2025</w:t>
      </w:r>
      <w:r>
        <w:rPr>
          <w:rFonts w:hint="eastAsia" w:ascii="宋体" w:hAnsi="宋体" w:eastAsia="宋体" w:cs="宋体"/>
          <w:sz w:val="18"/>
          <w:szCs w:val="18"/>
        </w:rPr>
        <w:t>年</w:t>
      </w:r>
      <w:r>
        <w:rPr>
          <w:rFonts w:hint="default" w:ascii="Times New Roman" w:hAnsi="Times New Roman" w:eastAsia="Arial Narrow" w:cs="Times New Roman"/>
          <w:sz w:val="18"/>
          <w:szCs w:val="18"/>
        </w:rPr>
        <w:t>9</w:t>
      </w:r>
      <w:r>
        <w:rPr>
          <w:rFonts w:hint="eastAsia" w:ascii="宋体" w:hAnsi="宋体" w:eastAsia="宋体" w:cs="宋体"/>
          <w:sz w:val="18"/>
          <w:szCs w:val="18"/>
        </w:rPr>
        <w:t>月</w:t>
      </w:r>
      <w:r>
        <w:rPr>
          <w:rFonts w:hint="default" w:ascii="Times New Roman" w:hAnsi="Times New Roman" w:eastAsia="Arial Narrow" w:cs="Times New Roman"/>
          <w:sz w:val="18"/>
          <w:szCs w:val="18"/>
        </w:rPr>
        <w:t>10</w:t>
      </w:r>
      <w:r>
        <w:rPr>
          <w:rFonts w:hint="eastAsia" w:ascii="宋体" w:hAnsi="宋体" w:eastAsia="宋体" w:cs="宋体"/>
          <w:sz w:val="18"/>
          <w:szCs w:val="18"/>
        </w:rPr>
        <w:t>日，本公司子公司广东冠昊再生医学科技开发有限公司与中国工商银行股份有限公司天平架支行签署了《保证合同》（合同编号：</w:t>
      </w:r>
      <w:r>
        <w:rPr>
          <w:rFonts w:hint="default" w:ascii="Times New Roman" w:hAnsi="Times New Roman" w:eastAsia="Arial Narrow" w:cs="Times New Roman"/>
          <w:sz w:val="18"/>
          <w:szCs w:val="18"/>
        </w:rPr>
        <w:t>0360200179</w:t>
      </w:r>
      <w:r>
        <w:rPr>
          <w:rFonts w:hint="default" w:ascii="Arial Narrow" w:hAnsi="Arial Narrow" w:eastAsia="Arial Narrow" w:cs="Arial Narrow"/>
          <w:sz w:val="18"/>
          <w:szCs w:val="18"/>
        </w:rPr>
        <w:t>-</w:t>
      </w:r>
      <w:r>
        <w:rPr>
          <w:rFonts w:hint="default" w:ascii="Times New Roman" w:hAnsi="Times New Roman" w:eastAsia="Arial Narrow" w:cs="Times New Roman"/>
          <w:sz w:val="18"/>
          <w:szCs w:val="18"/>
        </w:rPr>
        <w:t>2025</w:t>
      </w:r>
      <w:r>
        <w:rPr>
          <w:rFonts w:hint="eastAsia" w:ascii="宋体" w:hAnsi="宋体" w:eastAsia="宋体" w:cs="宋体"/>
          <w:sz w:val="18"/>
          <w:szCs w:val="18"/>
        </w:rPr>
        <w:t>年天平（保）字</w:t>
      </w:r>
      <w:r>
        <w:rPr>
          <w:rFonts w:hint="default" w:ascii="Times New Roman" w:hAnsi="Times New Roman" w:eastAsia="Arial Narrow" w:cs="Times New Roman"/>
          <w:sz w:val="18"/>
          <w:szCs w:val="18"/>
        </w:rPr>
        <w:t>0155</w:t>
      </w:r>
      <w:r>
        <w:rPr>
          <w:rFonts w:hint="eastAsia" w:ascii="宋体" w:hAnsi="宋体" w:eastAsia="宋体" w:cs="宋体"/>
          <w:sz w:val="18"/>
          <w:szCs w:val="18"/>
        </w:rPr>
        <w:t>号）为本公司与中国工商银行股份有限公司天平架支行的债权承担连带责任保证。所担保的主债权为中国工商银行股份有限公司天平架支行依据其与本公司于</w:t>
      </w:r>
      <w:r>
        <w:rPr>
          <w:rFonts w:hint="default" w:ascii="Times New Roman" w:hAnsi="Times New Roman" w:eastAsia="Arial Narrow" w:cs="Times New Roman"/>
          <w:sz w:val="18"/>
          <w:szCs w:val="18"/>
        </w:rPr>
        <w:t>2025</w:t>
      </w:r>
      <w:r>
        <w:rPr>
          <w:rFonts w:hint="eastAsia" w:ascii="宋体" w:hAnsi="宋体" w:eastAsia="宋体" w:cs="宋体"/>
          <w:sz w:val="18"/>
          <w:szCs w:val="18"/>
        </w:rPr>
        <w:t>年</w:t>
      </w:r>
      <w:r>
        <w:rPr>
          <w:rFonts w:hint="default" w:ascii="Times New Roman" w:hAnsi="Times New Roman" w:eastAsia="Arial Narrow" w:cs="Times New Roman"/>
          <w:sz w:val="18"/>
          <w:szCs w:val="18"/>
        </w:rPr>
        <w:t>9</w:t>
      </w:r>
      <w:r>
        <w:rPr>
          <w:rFonts w:hint="eastAsia" w:ascii="宋体" w:hAnsi="宋体" w:eastAsia="宋体" w:cs="宋体"/>
          <w:sz w:val="18"/>
          <w:szCs w:val="18"/>
        </w:rPr>
        <w:t>月</w:t>
      </w:r>
      <w:r>
        <w:rPr>
          <w:rFonts w:hint="default" w:ascii="Times New Roman" w:hAnsi="Times New Roman" w:eastAsia="Arial Narrow" w:cs="Times New Roman"/>
          <w:sz w:val="18"/>
          <w:szCs w:val="18"/>
        </w:rPr>
        <w:t>10</w:t>
      </w:r>
      <w:r>
        <w:rPr>
          <w:rFonts w:hint="eastAsia" w:ascii="宋体" w:hAnsi="宋体" w:eastAsia="宋体" w:cs="宋体"/>
          <w:sz w:val="18"/>
          <w:szCs w:val="18"/>
        </w:rPr>
        <w:t>日签订的主合同（合同编号：</w:t>
      </w:r>
      <w:r>
        <w:rPr>
          <w:rFonts w:hint="default" w:ascii="Times New Roman" w:hAnsi="Times New Roman" w:eastAsia="Arial Narrow" w:cs="Times New Roman"/>
          <w:sz w:val="18"/>
          <w:szCs w:val="18"/>
        </w:rPr>
        <w:t>0360200179</w:t>
      </w:r>
      <w:r>
        <w:rPr>
          <w:rFonts w:hint="default" w:ascii="Arial Narrow" w:hAnsi="Arial Narrow" w:eastAsia="Arial Narrow" w:cs="Arial Narrow"/>
          <w:sz w:val="18"/>
          <w:szCs w:val="18"/>
        </w:rPr>
        <w:t>-</w:t>
      </w:r>
      <w:r>
        <w:rPr>
          <w:rFonts w:hint="default" w:ascii="Times New Roman" w:hAnsi="Times New Roman" w:eastAsia="Arial Narrow" w:cs="Times New Roman"/>
          <w:sz w:val="18"/>
          <w:szCs w:val="18"/>
        </w:rPr>
        <w:t>2025</w:t>
      </w:r>
      <w:r>
        <w:rPr>
          <w:rFonts w:hint="eastAsia" w:ascii="宋体" w:hAnsi="宋体" w:eastAsia="宋体" w:cs="宋体"/>
          <w:sz w:val="18"/>
          <w:szCs w:val="18"/>
        </w:rPr>
        <w:t>年（天平）字</w:t>
      </w:r>
      <w:r>
        <w:rPr>
          <w:rFonts w:hint="default" w:ascii="Times New Roman" w:hAnsi="Times New Roman" w:eastAsia="Arial Narrow" w:cs="Times New Roman"/>
          <w:sz w:val="18"/>
          <w:szCs w:val="18"/>
        </w:rPr>
        <w:t>01398</w:t>
      </w:r>
      <w:r>
        <w:rPr>
          <w:rFonts w:hint="eastAsia" w:ascii="宋体" w:hAnsi="宋体" w:eastAsia="宋体" w:cs="宋体"/>
          <w:sz w:val="18"/>
          <w:szCs w:val="18"/>
        </w:rPr>
        <w:t>号）而享有的债权，主债权的金额为人民币</w:t>
      </w:r>
      <w:r>
        <w:rPr>
          <w:rFonts w:hint="default" w:ascii="Times New Roman" w:hAnsi="Times New Roman" w:eastAsia="宋体" w:cs="Times New Roman"/>
          <w:i w:val="0"/>
          <w:iCs w:val="0"/>
          <w:color w:val="000000"/>
          <w:sz w:val="18"/>
          <w:szCs w:val="18"/>
        </w:rPr>
        <w:t>1,000.00</w:t>
      </w:r>
      <w:r>
        <w:rPr>
          <w:rFonts w:hint="eastAsia" w:ascii="Times New Roman" w:hAnsi="Times New Roman" w:eastAsia="宋体" w:cs="Times New Roman"/>
          <w:i w:val="0"/>
          <w:iCs w:val="0"/>
          <w:color w:val="000000"/>
          <w:sz w:val="18"/>
          <w:szCs w:val="18"/>
        </w:rPr>
        <w:t>万</w:t>
      </w:r>
      <w:r>
        <w:rPr>
          <w:rFonts w:hint="eastAsia" w:ascii="宋体" w:hAnsi="宋体" w:eastAsia="宋体" w:cs="宋体"/>
          <w:sz w:val="18"/>
          <w:szCs w:val="18"/>
        </w:rPr>
        <w:t>元整，截止本报告期末已偿还</w:t>
      </w:r>
      <w:r>
        <w:rPr>
          <w:rFonts w:hint="default" w:ascii="Times New Roman" w:hAnsi="Times New Roman" w:eastAsia="Arial Narrow" w:cs="Times New Roman"/>
          <w:sz w:val="18"/>
          <w:szCs w:val="18"/>
        </w:rPr>
        <w:t>1</w:t>
      </w:r>
      <w:r>
        <w:rPr>
          <w:rFonts w:hint="default" w:ascii="Arial Narrow" w:hAnsi="Arial Narrow" w:eastAsia="Arial Narrow" w:cs="Arial Narrow"/>
          <w:sz w:val="18"/>
          <w:szCs w:val="18"/>
        </w:rPr>
        <w:t>.</w:t>
      </w:r>
      <w:r>
        <w:rPr>
          <w:rFonts w:hint="default" w:ascii="Times New Roman" w:hAnsi="Times New Roman" w:eastAsia="Arial Narrow" w:cs="Times New Roman"/>
          <w:sz w:val="18"/>
          <w:szCs w:val="18"/>
        </w:rPr>
        <w:t>00</w:t>
      </w:r>
      <w:r>
        <w:rPr>
          <w:rFonts w:hint="eastAsia" w:ascii="宋体" w:hAnsi="宋体" w:eastAsia="宋体" w:cs="宋体"/>
          <w:sz w:val="18"/>
          <w:szCs w:val="18"/>
        </w:rPr>
        <w:t>万元，</w:t>
      </w:r>
      <w:r>
        <w:rPr>
          <w:rFonts w:hint="default" w:ascii="Times New Roman" w:hAnsi="Times New Roman" w:eastAsia="Arial Narrow" w:cs="Times New Roman"/>
          <w:sz w:val="18"/>
          <w:szCs w:val="18"/>
        </w:rPr>
        <w:t>999</w:t>
      </w:r>
      <w:r>
        <w:rPr>
          <w:rFonts w:hint="default" w:ascii="Arial Narrow" w:hAnsi="Arial Narrow" w:eastAsia="Arial Narrow" w:cs="Arial Narrow"/>
          <w:sz w:val="18"/>
          <w:szCs w:val="18"/>
        </w:rPr>
        <w:t>.</w:t>
      </w:r>
      <w:r>
        <w:rPr>
          <w:rFonts w:hint="default" w:ascii="Times New Roman" w:hAnsi="Times New Roman" w:eastAsia="Arial Narrow" w:cs="Times New Roman"/>
          <w:sz w:val="18"/>
          <w:szCs w:val="18"/>
        </w:rPr>
        <w:t>00</w:t>
      </w:r>
      <w:r>
        <w:rPr>
          <w:rFonts w:hint="eastAsia" w:ascii="宋体" w:hAnsi="宋体" w:eastAsia="宋体" w:cs="宋体"/>
          <w:sz w:val="18"/>
          <w:szCs w:val="18"/>
        </w:rPr>
        <w:t>万元尚未偿还。主债权的期间为</w:t>
      </w:r>
      <w:r>
        <w:rPr>
          <w:rFonts w:hint="default" w:ascii="Times New Roman" w:hAnsi="Times New Roman" w:eastAsia="Arial Narrow" w:cs="Times New Roman"/>
          <w:sz w:val="18"/>
          <w:szCs w:val="18"/>
        </w:rPr>
        <w:t>2025</w:t>
      </w:r>
      <w:r>
        <w:rPr>
          <w:rFonts w:hint="eastAsia" w:ascii="宋体" w:hAnsi="宋体" w:eastAsia="宋体" w:cs="宋体"/>
          <w:sz w:val="18"/>
          <w:szCs w:val="18"/>
        </w:rPr>
        <w:t>年</w:t>
      </w:r>
      <w:r>
        <w:rPr>
          <w:rFonts w:hint="default" w:ascii="Times New Roman" w:hAnsi="Times New Roman" w:eastAsia="Arial Narrow" w:cs="Times New Roman"/>
          <w:sz w:val="18"/>
          <w:szCs w:val="18"/>
        </w:rPr>
        <w:t>9</w:t>
      </w:r>
      <w:r>
        <w:rPr>
          <w:rFonts w:hint="eastAsia" w:ascii="宋体" w:hAnsi="宋体" w:eastAsia="宋体" w:cs="宋体"/>
          <w:sz w:val="18"/>
          <w:szCs w:val="18"/>
        </w:rPr>
        <w:t>月</w:t>
      </w:r>
      <w:r>
        <w:rPr>
          <w:rFonts w:hint="default" w:ascii="Times New Roman" w:hAnsi="Times New Roman" w:eastAsia="Arial Narrow" w:cs="Times New Roman"/>
          <w:sz w:val="18"/>
          <w:szCs w:val="18"/>
        </w:rPr>
        <w:t>11</w:t>
      </w:r>
      <w:r>
        <w:rPr>
          <w:rFonts w:hint="eastAsia" w:ascii="宋体" w:hAnsi="宋体" w:eastAsia="宋体" w:cs="宋体"/>
          <w:sz w:val="18"/>
          <w:szCs w:val="18"/>
        </w:rPr>
        <w:t>日至</w:t>
      </w:r>
      <w:r>
        <w:rPr>
          <w:rFonts w:hint="default" w:ascii="Times New Roman" w:hAnsi="Times New Roman" w:eastAsia="Arial Narrow" w:cs="Times New Roman"/>
          <w:sz w:val="18"/>
          <w:szCs w:val="18"/>
        </w:rPr>
        <w:t>2026</w:t>
      </w:r>
      <w:r>
        <w:rPr>
          <w:rFonts w:hint="eastAsia" w:ascii="宋体" w:hAnsi="宋体" w:eastAsia="宋体" w:cs="宋体"/>
          <w:sz w:val="18"/>
          <w:szCs w:val="18"/>
        </w:rPr>
        <w:t>年</w:t>
      </w:r>
      <w:r>
        <w:rPr>
          <w:rFonts w:hint="default" w:ascii="Times New Roman" w:hAnsi="Times New Roman" w:eastAsia="Arial Narrow" w:cs="Times New Roman"/>
          <w:sz w:val="18"/>
          <w:szCs w:val="18"/>
        </w:rPr>
        <w:t>9</w:t>
      </w:r>
      <w:r>
        <w:rPr>
          <w:rFonts w:hint="eastAsia" w:ascii="宋体" w:hAnsi="宋体" w:eastAsia="宋体" w:cs="宋体"/>
          <w:sz w:val="18"/>
          <w:szCs w:val="18"/>
        </w:rPr>
        <w:t>月</w:t>
      </w:r>
      <w:r>
        <w:rPr>
          <w:rFonts w:hint="default" w:ascii="Times New Roman" w:hAnsi="Times New Roman" w:eastAsia="Arial Narrow" w:cs="Times New Roman"/>
          <w:sz w:val="18"/>
          <w:szCs w:val="18"/>
        </w:rPr>
        <w:t>8</w:t>
      </w:r>
      <w:r>
        <w:rPr>
          <w:rFonts w:hint="eastAsia" w:ascii="宋体" w:hAnsi="宋体" w:eastAsia="宋体" w:cs="宋体"/>
          <w:sz w:val="18"/>
          <w:szCs w:val="18"/>
        </w:rPr>
        <w:t>日。保证担保范围包括主合同项下本金及利息、复利、罚息、违约金、损害赔偿金、质权人保管质物和实现债权的费用。保证期间为债务履行期限届满之次日起三年。</w:t>
      </w:r>
    </w:p>
    <w:p w14:paraId="51CACAE7">
      <w:pPr>
        <w:pStyle w:val="6"/>
        <w:keepNext w:val="0"/>
        <w:keepLines w:val="0"/>
        <w:widowControl/>
        <w:suppressLineNumbers w:val="0"/>
      </w:pPr>
      <w:r>
        <w:rPr>
          <w:rFonts w:hint="eastAsia" w:ascii="宋体" w:hAnsi="宋体" w:eastAsia="宋体" w:cs="宋体"/>
          <w:sz w:val="18"/>
          <w:szCs w:val="18"/>
        </w:rPr>
        <w:t>（</w:t>
      </w:r>
      <w:r>
        <w:rPr>
          <w:rFonts w:hint="default" w:ascii="Times New Roman" w:hAnsi="Times New Roman" w:eastAsia="Arial Narrow" w:cs="Times New Roman"/>
          <w:sz w:val="18"/>
          <w:szCs w:val="18"/>
        </w:rPr>
        <w:t>5</w:t>
      </w:r>
      <w:r>
        <w:rPr>
          <w:rFonts w:hint="eastAsia" w:ascii="宋体" w:hAnsi="宋体" w:eastAsia="宋体" w:cs="宋体"/>
          <w:sz w:val="18"/>
          <w:szCs w:val="18"/>
        </w:rPr>
        <w:t>）</w:t>
      </w:r>
      <w:r>
        <w:rPr>
          <w:rFonts w:hint="default" w:ascii="Times New Roman" w:hAnsi="Times New Roman" w:eastAsia="Arial Narrow" w:cs="Times New Roman"/>
          <w:sz w:val="18"/>
          <w:szCs w:val="18"/>
        </w:rPr>
        <w:t>2025</w:t>
      </w:r>
      <w:r>
        <w:rPr>
          <w:rFonts w:hint="eastAsia" w:ascii="宋体" w:hAnsi="宋体" w:eastAsia="宋体" w:cs="宋体"/>
          <w:sz w:val="18"/>
          <w:szCs w:val="18"/>
        </w:rPr>
        <w:t>年</w:t>
      </w:r>
      <w:r>
        <w:rPr>
          <w:rFonts w:hint="default" w:ascii="Times New Roman" w:hAnsi="Times New Roman" w:eastAsia="Arial Narrow" w:cs="Times New Roman"/>
          <w:sz w:val="18"/>
          <w:szCs w:val="18"/>
        </w:rPr>
        <w:t>9</w:t>
      </w:r>
      <w:r>
        <w:rPr>
          <w:rFonts w:hint="eastAsia" w:ascii="宋体" w:hAnsi="宋体" w:eastAsia="宋体" w:cs="宋体"/>
          <w:sz w:val="18"/>
          <w:szCs w:val="18"/>
        </w:rPr>
        <w:t>月</w:t>
      </w:r>
      <w:r>
        <w:rPr>
          <w:rFonts w:hint="default" w:ascii="Times New Roman" w:hAnsi="Times New Roman" w:eastAsia="Arial Narrow" w:cs="Times New Roman"/>
          <w:sz w:val="18"/>
          <w:szCs w:val="18"/>
        </w:rPr>
        <w:t>10</w:t>
      </w:r>
      <w:r>
        <w:rPr>
          <w:rFonts w:hint="eastAsia" w:ascii="宋体" w:hAnsi="宋体" w:eastAsia="宋体" w:cs="宋体"/>
          <w:sz w:val="18"/>
          <w:szCs w:val="18"/>
        </w:rPr>
        <w:t>日，本公司子公司冠昊生命健康科技园有限公司与中国工商银行股份有限公司天平架支行签署了《保证合同》（合同编号：</w:t>
      </w:r>
      <w:r>
        <w:rPr>
          <w:rFonts w:hint="default" w:ascii="Times New Roman" w:hAnsi="Times New Roman" w:eastAsia="Arial Narrow" w:cs="Times New Roman"/>
          <w:sz w:val="18"/>
          <w:szCs w:val="18"/>
        </w:rPr>
        <w:t>0360200179</w:t>
      </w:r>
      <w:r>
        <w:rPr>
          <w:rFonts w:hint="default" w:ascii="Arial Narrow" w:hAnsi="Arial Narrow" w:eastAsia="Arial Narrow" w:cs="Arial Narrow"/>
          <w:sz w:val="18"/>
          <w:szCs w:val="18"/>
        </w:rPr>
        <w:t>-</w:t>
      </w:r>
      <w:r>
        <w:rPr>
          <w:rFonts w:hint="default" w:ascii="Times New Roman" w:hAnsi="Times New Roman" w:eastAsia="Arial Narrow" w:cs="Times New Roman"/>
          <w:sz w:val="18"/>
          <w:szCs w:val="18"/>
        </w:rPr>
        <w:t>2025</w:t>
      </w:r>
      <w:r>
        <w:rPr>
          <w:rFonts w:hint="eastAsia" w:ascii="宋体" w:hAnsi="宋体" w:eastAsia="宋体" w:cs="宋体"/>
          <w:sz w:val="18"/>
          <w:szCs w:val="18"/>
        </w:rPr>
        <w:t>年天平（保）字</w:t>
      </w:r>
      <w:r>
        <w:rPr>
          <w:rFonts w:hint="default" w:ascii="Times New Roman" w:hAnsi="Times New Roman" w:eastAsia="Arial Narrow" w:cs="Times New Roman"/>
          <w:sz w:val="18"/>
          <w:szCs w:val="18"/>
        </w:rPr>
        <w:t>0156</w:t>
      </w:r>
      <w:r>
        <w:rPr>
          <w:rFonts w:hint="eastAsia" w:ascii="宋体" w:hAnsi="宋体" w:eastAsia="宋体" w:cs="宋体"/>
          <w:sz w:val="18"/>
          <w:szCs w:val="18"/>
        </w:rPr>
        <w:t>号）为本公司与中国工商银行股份有限公司天平架支行的债权承担连带责任保证。所担保的主债权为中国工商银行股份有限公司天平架支行依据其与本公司于</w:t>
      </w:r>
      <w:r>
        <w:rPr>
          <w:rFonts w:hint="default" w:ascii="Times New Roman" w:hAnsi="Times New Roman" w:eastAsia="Arial Narrow" w:cs="Times New Roman"/>
          <w:sz w:val="18"/>
          <w:szCs w:val="18"/>
        </w:rPr>
        <w:t>2025</w:t>
      </w:r>
      <w:r>
        <w:rPr>
          <w:rFonts w:hint="eastAsia" w:ascii="宋体" w:hAnsi="宋体" w:eastAsia="宋体" w:cs="宋体"/>
          <w:sz w:val="18"/>
          <w:szCs w:val="18"/>
        </w:rPr>
        <w:t>年</w:t>
      </w:r>
      <w:r>
        <w:rPr>
          <w:rFonts w:hint="default" w:ascii="Times New Roman" w:hAnsi="Times New Roman" w:eastAsia="Arial Narrow" w:cs="Times New Roman"/>
          <w:sz w:val="18"/>
          <w:szCs w:val="18"/>
        </w:rPr>
        <w:t>9</w:t>
      </w:r>
      <w:r>
        <w:rPr>
          <w:rFonts w:hint="eastAsia" w:ascii="宋体" w:hAnsi="宋体" w:eastAsia="宋体" w:cs="宋体"/>
          <w:sz w:val="18"/>
          <w:szCs w:val="18"/>
        </w:rPr>
        <w:t>月</w:t>
      </w:r>
      <w:r>
        <w:rPr>
          <w:rFonts w:hint="default" w:ascii="Times New Roman" w:hAnsi="Times New Roman" w:eastAsia="Arial Narrow" w:cs="Times New Roman"/>
          <w:sz w:val="18"/>
          <w:szCs w:val="18"/>
        </w:rPr>
        <w:t>10</w:t>
      </w:r>
      <w:r>
        <w:rPr>
          <w:rFonts w:hint="eastAsia" w:ascii="宋体" w:hAnsi="宋体" w:eastAsia="宋体" w:cs="宋体"/>
          <w:sz w:val="18"/>
          <w:szCs w:val="18"/>
        </w:rPr>
        <w:t>日签订的主合同（合同编号：</w:t>
      </w:r>
      <w:r>
        <w:rPr>
          <w:rFonts w:hint="default" w:ascii="Times New Roman" w:hAnsi="Times New Roman" w:eastAsia="Arial Narrow" w:cs="Times New Roman"/>
          <w:sz w:val="18"/>
          <w:szCs w:val="18"/>
        </w:rPr>
        <w:t>0360200179</w:t>
      </w:r>
      <w:r>
        <w:rPr>
          <w:rFonts w:hint="default" w:ascii="Arial Narrow" w:hAnsi="Arial Narrow" w:eastAsia="Arial Narrow" w:cs="Arial Narrow"/>
          <w:sz w:val="18"/>
          <w:szCs w:val="18"/>
        </w:rPr>
        <w:t>-</w:t>
      </w:r>
      <w:r>
        <w:rPr>
          <w:rFonts w:hint="default" w:ascii="Times New Roman" w:hAnsi="Times New Roman" w:eastAsia="Arial Narrow" w:cs="Times New Roman"/>
          <w:sz w:val="18"/>
          <w:szCs w:val="18"/>
        </w:rPr>
        <w:t>2025</w:t>
      </w:r>
      <w:r>
        <w:rPr>
          <w:rFonts w:hint="eastAsia" w:ascii="宋体" w:hAnsi="宋体" w:eastAsia="宋体" w:cs="宋体"/>
          <w:sz w:val="18"/>
          <w:szCs w:val="18"/>
        </w:rPr>
        <w:t>年（天平）字</w:t>
      </w:r>
      <w:r>
        <w:rPr>
          <w:rFonts w:hint="default" w:ascii="Times New Roman" w:hAnsi="Times New Roman" w:eastAsia="Arial Narrow" w:cs="Times New Roman"/>
          <w:sz w:val="18"/>
          <w:szCs w:val="18"/>
        </w:rPr>
        <w:t>01398</w:t>
      </w:r>
      <w:r>
        <w:rPr>
          <w:rFonts w:hint="eastAsia" w:ascii="宋体" w:hAnsi="宋体" w:eastAsia="宋体" w:cs="宋体"/>
          <w:sz w:val="18"/>
          <w:szCs w:val="18"/>
        </w:rPr>
        <w:t>号）而享有的债权，主债权的金额为人民币</w:t>
      </w:r>
      <w:r>
        <w:rPr>
          <w:rFonts w:hint="default" w:ascii="Times New Roman" w:hAnsi="Times New Roman" w:eastAsia="宋体" w:cs="Times New Roman"/>
          <w:i w:val="0"/>
          <w:iCs w:val="0"/>
          <w:color w:val="000000"/>
          <w:sz w:val="18"/>
          <w:szCs w:val="18"/>
        </w:rPr>
        <w:t>1,000.00</w:t>
      </w:r>
      <w:r>
        <w:rPr>
          <w:rFonts w:hint="eastAsia" w:ascii="宋体" w:hAnsi="宋体" w:eastAsia="宋体" w:cs="宋体"/>
          <w:sz w:val="18"/>
          <w:szCs w:val="18"/>
        </w:rPr>
        <w:t>万元整，截止本报告期末已偿还</w:t>
      </w:r>
      <w:r>
        <w:rPr>
          <w:rFonts w:hint="default" w:ascii="Times New Roman" w:hAnsi="Times New Roman" w:eastAsia="Arial Narrow" w:cs="Times New Roman"/>
          <w:sz w:val="18"/>
          <w:szCs w:val="18"/>
        </w:rPr>
        <w:t>1</w:t>
      </w:r>
      <w:r>
        <w:rPr>
          <w:rFonts w:hint="default" w:ascii="Arial Narrow" w:hAnsi="Arial Narrow" w:eastAsia="Arial Narrow" w:cs="Arial Narrow"/>
          <w:sz w:val="18"/>
          <w:szCs w:val="18"/>
        </w:rPr>
        <w:t>.</w:t>
      </w:r>
      <w:r>
        <w:rPr>
          <w:rFonts w:hint="default" w:ascii="Times New Roman" w:hAnsi="Times New Roman" w:eastAsia="Arial Narrow" w:cs="Times New Roman"/>
          <w:sz w:val="18"/>
          <w:szCs w:val="18"/>
        </w:rPr>
        <w:t>00</w:t>
      </w:r>
      <w:r>
        <w:rPr>
          <w:rFonts w:hint="eastAsia" w:ascii="宋体" w:hAnsi="宋体" w:eastAsia="宋体" w:cs="宋体"/>
          <w:sz w:val="18"/>
          <w:szCs w:val="18"/>
        </w:rPr>
        <w:t>万元，</w:t>
      </w:r>
      <w:r>
        <w:rPr>
          <w:rFonts w:hint="default" w:ascii="Times New Roman" w:hAnsi="Times New Roman" w:eastAsia="Arial Narrow" w:cs="Times New Roman"/>
          <w:sz w:val="18"/>
          <w:szCs w:val="18"/>
        </w:rPr>
        <w:t>999</w:t>
      </w:r>
      <w:r>
        <w:rPr>
          <w:rFonts w:hint="default" w:ascii="Arial Narrow" w:hAnsi="Arial Narrow" w:eastAsia="Arial Narrow" w:cs="Arial Narrow"/>
          <w:sz w:val="18"/>
          <w:szCs w:val="18"/>
        </w:rPr>
        <w:t>.</w:t>
      </w:r>
      <w:r>
        <w:rPr>
          <w:rFonts w:hint="default" w:ascii="Times New Roman" w:hAnsi="Times New Roman" w:eastAsia="Arial Narrow" w:cs="Times New Roman"/>
          <w:sz w:val="18"/>
          <w:szCs w:val="18"/>
        </w:rPr>
        <w:t>00</w:t>
      </w:r>
      <w:r>
        <w:rPr>
          <w:rFonts w:hint="eastAsia" w:ascii="宋体" w:hAnsi="宋体" w:eastAsia="宋体" w:cs="宋体"/>
          <w:sz w:val="18"/>
          <w:szCs w:val="18"/>
        </w:rPr>
        <w:t>万元尚未偿还。主债权的期间为</w:t>
      </w:r>
      <w:r>
        <w:rPr>
          <w:rFonts w:hint="default" w:ascii="Times New Roman" w:hAnsi="Times New Roman" w:eastAsia="Arial Narrow" w:cs="Times New Roman"/>
          <w:sz w:val="18"/>
          <w:szCs w:val="18"/>
        </w:rPr>
        <w:t>2025</w:t>
      </w:r>
      <w:r>
        <w:rPr>
          <w:rFonts w:hint="eastAsia" w:ascii="宋体" w:hAnsi="宋体" w:eastAsia="宋体" w:cs="宋体"/>
          <w:sz w:val="18"/>
          <w:szCs w:val="18"/>
        </w:rPr>
        <w:t>年</w:t>
      </w:r>
      <w:r>
        <w:rPr>
          <w:rFonts w:hint="default" w:ascii="Times New Roman" w:hAnsi="Times New Roman" w:eastAsia="Arial Narrow" w:cs="Times New Roman"/>
          <w:sz w:val="18"/>
          <w:szCs w:val="18"/>
        </w:rPr>
        <w:t>9</w:t>
      </w:r>
      <w:r>
        <w:rPr>
          <w:rFonts w:hint="eastAsia" w:ascii="宋体" w:hAnsi="宋体" w:eastAsia="宋体" w:cs="宋体"/>
          <w:sz w:val="18"/>
          <w:szCs w:val="18"/>
        </w:rPr>
        <w:t>月</w:t>
      </w:r>
      <w:r>
        <w:rPr>
          <w:rFonts w:hint="default" w:ascii="Times New Roman" w:hAnsi="Times New Roman" w:eastAsia="Arial Narrow" w:cs="Times New Roman"/>
          <w:sz w:val="18"/>
          <w:szCs w:val="18"/>
        </w:rPr>
        <w:t>11</w:t>
      </w:r>
      <w:r>
        <w:rPr>
          <w:rFonts w:hint="eastAsia" w:ascii="宋体" w:hAnsi="宋体" w:eastAsia="宋体" w:cs="宋体"/>
          <w:sz w:val="18"/>
          <w:szCs w:val="18"/>
        </w:rPr>
        <w:t>日至</w:t>
      </w:r>
      <w:r>
        <w:rPr>
          <w:rFonts w:hint="default" w:ascii="Times New Roman" w:hAnsi="Times New Roman" w:eastAsia="Arial Narrow" w:cs="Times New Roman"/>
          <w:sz w:val="18"/>
          <w:szCs w:val="18"/>
        </w:rPr>
        <w:t>2026</w:t>
      </w:r>
      <w:r>
        <w:rPr>
          <w:rFonts w:hint="eastAsia" w:ascii="宋体" w:hAnsi="宋体" w:eastAsia="宋体" w:cs="宋体"/>
          <w:sz w:val="18"/>
          <w:szCs w:val="18"/>
        </w:rPr>
        <w:t>年</w:t>
      </w:r>
      <w:r>
        <w:rPr>
          <w:rFonts w:hint="default" w:ascii="Times New Roman" w:hAnsi="Times New Roman" w:eastAsia="Arial Narrow" w:cs="Times New Roman"/>
          <w:sz w:val="18"/>
          <w:szCs w:val="18"/>
        </w:rPr>
        <w:t>9</w:t>
      </w:r>
      <w:r>
        <w:rPr>
          <w:rFonts w:hint="eastAsia" w:ascii="宋体" w:hAnsi="宋体" w:eastAsia="宋体" w:cs="宋体"/>
          <w:sz w:val="18"/>
          <w:szCs w:val="18"/>
        </w:rPr>
        <w:t>月</w:t>
      </w:r>
      <w:r>
        <w:rPr>
          <w:rFonts w:hint="default" w:ascii="Times New Roman" w:hAnsi="Times New Roman" w:eastAsia="Arial Narrow" w:cs="Times New Roman"/>
          <w:sz w:val="18"/>
          <w:szCs w:val="18"/>
        </w:rPr>
        <w:t>8</w:t>
      </w:r>
      <w:r>
        <w:rPr>
          <w:rFonts w:hint="eastAsia" w:ascii="宋体" w:hAnsi="宋体" w:eastAsia="宋体" w:cs="宋体"/>
          <w:sz w:val="18"/>
          <w:szCs w:val="18"/>
        </w:rPr>
        <w:t>日。保证担保范围包括主合同项下本金及利息、复利、罚息、违约金、损害赔偿金、质权人保管质物和实现债权的费用。保证期间为债务履行期限届满之次日起三年。</w:t>
      </w:r>
    </w:p>
    <w:p w14:paraId="66A5DA1E">
      <w:pPr>
        <w:keepNext/>
        <w:keepLines/>
        <w:spacing w:before="300" w:after="300" w:line="280" w:lineRule="exact"/>
        <w:jc w:val="left"/>
        <w:outlineLvl w:val="3"/>
        <w:rPr>
          <w:rFonts w:ascii="宋体" w:hAnsi="宋体" w:eastAsia="宋体" w:cs="宋体"/>
          <w:b/>
          <w:bCs/>
          <w:sz w:val="21"/>
          <w:szCs w:val="21"/>
        </w:rPr>
      </w:pPr>
      <w:bookmarkStart w:id="425" w:name="_Toc989227"/>
      <w:r>
        <w:rPr>
          <w:rFonts w:ascii="宋体" w:hAnsi="宋体" w:eastAsia="宋体" w:cs="宋体"/>
          <w:b/>
          <w:bCs/>
          <w:sz w:val="21"/>
          <w:szCs w:val="21"/>
        </w:rPr>
        <w:t>（4） 关键管理人员报酬</w:t>
      </w:r>
      <w:bookmarkEnd w:id="425"/>
    </w:p>
    <w:p w14:paraId="27C4334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F166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91D109">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A11D2A">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251B3C">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2CFFB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0166088">
            <w:pPr>
              <w:spacing w:before="0" w:after="0" w:line="240" w:lineRule="exact"/>
              <w:jc w:val="left"/>
              <w:rPr>
                <w:rFonts w:ascii="宋体" w:hAnsi="宋体" w:eastAsia="宋体" w:cs="宋体"/>
                <w:sz w:val="18"/>
                <w:szCs w:val="18"/>
              </w:rPr>
            </w:pPr>
            <w:r>
              <w:rPr>
                <w:rFonts w:ascii="宋体" w:hAnsi="宋体" w:eastAsia="宋体" w:cs="宋体"/>
                <w:sz w:val="18"/>
                <w:szCs w:val="18"/>
              </w:rPr>
              <w:t>关键管理人员报酬</w:t>
            </w:r>
          </w:p>
        </w:tc>
        <w:tc>
          <w:tcPr>
            <w:tcW w:w="3213" w:type="dxa"/>
            <w:tcBorders>
              <w:top w:val="single" w:color="auto" w:sz="2" w:space="0"/>
              <w:left w:val="single" w:color="auto" w:sz="2" w:space="0"/>
              <w:bottom w:val="single" w:color="auto" w:sz="2" w:space="0"/>
              <w:right w:val="single" w:color="auto" w:sz="2" w:space="0"/>
            </w:tcBorders>
            <w:vAlign w:val="center"/>
          </w:tcPr>
          <w:p w14:paraId="127FB424">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8,921,013.85</w:t>
            </w:r>
          </w:p>
        </w:tc>
        <w:tc>
          <w:tcPr>
            <w:tcW w:w="3213" w:type="dxa"/>
            <w:tcBorders>
              <w:top w:val="single" w:color="auto" w:sz="2" w:space="0"/>
              <w:left w:val="single" w:color="auto" w:sz="2" w:space="0"/>
              <w:bottom w:val="single" w:color="auto" w:sz="2" w:space="0"/>
              <w:right w:val="single" w:color="auto" w:sz="2" w:space="0"/>
            </w:tcBorders>
            <w:vAlign w:val="center"/>
          </w:tcPr>
          <w:p w14:paraId="62D76972">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7,830,709.71</w:t>
            </w:r>
          </w:p>
        </w:tc>
      </w:tr>
    </w:tbl>
    <w:p w14:paraId="3B854ADE">
      <w:pPr>
        <w:pStyle w:val="3"/>
        <w:keepNext/>
        <w:keepLines/>
        <w:spacing w:before="300" w:after="300" w:line="280" w:lineRule="exact"/>
        <w:jc w:val="left"/>
        <w:outlineLvl w:val="2"/>
        <w:rPr>
          <w:rFonts w:ascii="宋体" w:hAnsi="宋体" w:eastAsia="宋体" w:cs="宋体"/>
          <w:b/>
          <w:bCs/>
          <w:sz w:val="21"/>
          <w:szCs w:val="21"/>
        </w:rPr>
      </w:pPr>
      <w:bookmarkStart w:id="426" w:name="_Toc989228"/>
      <w:r>
        <w:rPr>
          <w:rFonts w:hint="default" w:ascii="Times New Roman" w:hAnsi="Times New Roman" w:eastAsia="宋体" w:cs="Times New Roman"/>
          <w:b/>
          <w:bCs/>
          <w:sz w:val="21"/>
          <w:szCs w:val="21"/>
        </w:rPr>
        <w:t>6</w:t>
      </w:r>
      <w:r>
        <w:rPr>
          <w:rFonts w:ascii="宋体" w:hAnsi="宋体" w:eastAsia="宋体" w:cs="宋体"/>
          <w:b/>
          <w:bCs/>
          <w:sz w:val="21"/>
          <w:szCs w:val="21"/>
        </w:rPr>
        <w:t>、关联方应收应付款项</w:t>
      </w:r>
      <w:bookmarkEnd w:id="426"/>
    </w:p>
    <w:p w14:paraId="094F9838">
      <w:pPr>
        <w:keepNext/>
        <w:keepLines/>
        <w:spacing w:before="300" w:after="300" w:line="280" w:lineRule="exact"/>
        <w:jc w:val="left"/>
        <w:outlineLvl w:val="3"/>
        <w:rPr>
          <w:rFonts w:ascii="宋体" w:hAnsi="宋体" w:eastAsia="宋体" w:cs="宋体"/>
          <w:b/>
          <w:bCs/>
          <w:sz w:val="21"/>
          <w:szCs w:val="21"/>
        </w:rPr>
      </w:pPr>
      <w:bookmarkStart w:id="427" w:name="_Toc989229"/>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应收项目</w:t>
      </w:r>
      <w:bookmarkEnd w:id="427"/>
    </w:p>
    <w:p w14:paraId="5BCD1C4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67458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98F7FC0">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1BA988F">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C44D645">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03414AB">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6A7A2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08480EE"/>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040BF35"/>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753C414">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D3FAB29">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1BC94DE">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880B389">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r>
      <w:tr w14:paraId="65F39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9C72026">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29747195">
            <w:pPr>
              <w:spacing w:before="0" w:after="0" w:line="240" w:lineRule="exact"/>
              <w:jc w:val="left"/>
              <w:rPr>
                <w:rFonts w:ascii="宋体" w:hAnsi="宋体" w:eastAsia="宋体" w:cs="宋体"/>
                <w:sz w:val="18"/>
                <w:szCs w:val="18"/>
              </w:rPr>
            </w:pPr>
            <w:r>
              <w:rPr>
                <w:rFonts w:ascii="宋体" w:hAnsi="宋体" w:eastAsia="宋体" w:cs="宋体"/>
                <w:sz w:val="18"/>
                <w:szCs w:val="18"/>
              </w:rPr>
              <w:t>广东知光生物科技有限公司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32FE9EB9">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191,041.32</w:t>
            </w:r>
          </w:p>
        </w:tc>
        <w:tc>
          <w:tcPr>
            <w:tcW w:w="1606" w:type="dxa"/>
            <w:tcBorders>
              <w:top w:val="single" w:color="auto" w:sz="2" w:space="0"/>
              <w:left w:val="single" w:color="auto" w:sz="2" w:space="0"/>
              <w:bottom w:val="single" w:color="auto" w:sz="2" w:space="0"/>
              <w:right w:val="single" w:color="auto" w:sz="2" w:space="0"/>
            </w:tcBorders>
            <w:vAlign w:val="center"/>
          </w:tcPr>
          <w:p w14:paraId="63EE0E41">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191,041.32</w:t>
            </w:r>
          </w:p>
        </w:tc>
        <w:tc>
          <w:tcPr>
            <w:tcW w:w="1606" w:type="dxa"/>
            <w:tcBorders>
              <w:top w:val="single" w:color="auto" w:sz="2" w:space="0"/>
              <w:left w:val="single" w:color="auto" w:sz="2" w:space="0"/>
              <w:bottom w:val="single" w:color="auto" w:sz="2" w:space="0"/>
              <w:right w:val="single" w:color="auto" w:sz="2" w:space="0"/>
            </w:tcBorders>
            <w:vAlign w:val="center"/>
          </w:tcPr>
          <w:p w14:paraId="30C6489C">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191,041.32</w:t>
            </w:r>
          </w:p>
        </w:tc>
        <w:tc>
          <w:tcPr>
            <w:tcW w:w="1606" w:type="dxa"/>
            <w:tcBorders>
              <w:top w:val="single" w:color="auto" w:sz="2" w:space="0"/>
              <w:left w:val="single" w:color="auto" w:sz="2" w:space="0"/>
              <w:bottom w:val="single" w:color="auto" w:sz="2" w:space="0"/>
              <w:right w:val="single" w:color="auto" w:sz="2" w:space="0"/>
            </w:tcBorders>
            <w:vAlign w:val="center"/>
          </w:tcPr>
          <w:p w14:paraId="3F472384">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191,041.32</w:t>
            </w:r>
          </w:p>
        </w:tc>
      </w:tr>
      <w:tr w14:paraId="51E2C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53319BA">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591E4612">
            <w:pPr>
              <w:spacing w:before="0" w:after="0" w:line="240" w:lineRule="exact"/>
              <w:jc w:val="left"/>
              <w:rPr>
                <w:rFonts w:ascii="宋体" w:hAnsi="宋体" w:eastAsia="宋体" w:cs="宋体"/>
                <w:sz w:val="18"/>
                <w:szCs w:val="18"/>
              </w:rPr>
            </w:pPr>
            <w:r>
              <w:rPr>
                <w:rFonts w:ascii="宋体" w:hAnsi="宋体" w:eastAsia="宋体" w:cs="宋体"/>
                <w:sz w:val="18"/>
                <w:szCs w:val="18"/>
              </w:rPr>
              <w:t>广州优得清生物科技有限公司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1CE0AF2F">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2,744,528.47</w:t>
            </w:r>
          </w:p>
        </w:tc>
        <w:tc>
          <w:tcPr>
            <w:tcW w:w="1606" w:type="dxa"/>
            <w:tcBorders>
              <w:top w:val="single" w:color="auto" w:sz="2" w:space="0"/>
              <w:left w:val="single" w:color="auto" w:sz="2" w:space="0"/>
              <w:bottom w:val="single" w:color="auto" w:sz="2" w:space="0"/>
              <w:right w:val="single" w:color="auto" w:sz="2" w:space="0"/>
            </w:tcBorders>
            <w:vAlign w:val="center"/>
          </w:tcPr>
          <w:p w14:paraId="3F393DBA">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2,744,528.47</w:t>
            </w:r>
          </w:p>
        </w:tc>
        <w:tc>
          <w:tcPr>
            <w:tcW w:w="1606" w:type="dxa"/>
            <w:tcBorders>
              <w:top w:val="single" w:color="auto" w:sz="2" w:space="0"/>
              <w:left w:val="single" w:color="auto" w:sz="2" w:space="0"/>
              <w:bottom w:val="single" w:color="auto" w:sz="2" w:space="0"/>
              <w:right w:val="single" w:color="auto" w:sz="2" w:space="0"/>
            </w:tcBorders>
            <w:vAlign w:val="center"/>
          </w:tcPr>
          <w:p w14:paraId="52FC5614">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2,744,528.47</w:t>
            </w:r>
          </w:p>
        </w:tc>
        <w:tc>
          <w:tcPr>
            <w:tcW w:w="1606" w:type="dxa"/>
            <w:tcBorders>
              <w:top w:val="single" w:color="auto" w:sz="2" w:space="0"/>
              <w:left w:val="single" w:color="auto" w:sz="2" w:space="0"/>
              <w:bottom w:val="single" w:color="auto" w:sz="2" w:space="0"/>
              <w:right w:val="single" w:color="auto" w:sz="2" w:space="0"/>
            </w:tcBorders>
            <w:vAlign w:val="center"/>
          </w:tcPr>
          <w:p w14:paraId="67B85AD8">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2,744,528.47</w:t>
            </w:r>
          </w:p>
        </w:tc>
      </w:tr>
      <w:tr w14:paraId="6B0AE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05A2314">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484C728B">
            <w:pPr>
              <w:spacing w:before="0" w:after="0" w:line="240" w:lineRule="exact"/>
              <w:jc w:val="left"/>
              <w:rPr>
                <w:rFonts w:ascii="宋体" w:hAnsi="宋体" w:eastAsia="宋体" w:cs="宋体"/>
                <w:sz w:val="18"/>
                <w:szCs w:val="18"/>
              </w:rPr>
            </w:pPr>
            <w:r>
              <w:rPr>
                <w:rFonts w:ascii="宋体" w:hAnsi="宋体" w:eastAsia="宋体" w:cs="宋体"/>
                <w:sz w:val="18"/>
                <w:szCs w:val="18"/>
              </w:rPr>
              <w:t>上海昊爱生物科技有限公司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6DBD45FC">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1,587,981.20</w:t>
            </w:r>
          </w:p>
        </w:tc>
        <w:tc>
          <w:tcPr>
            <w:tcW w:w="1606" w:type="dxa"/>
            <w:tcBorders>
              <w:top w:val="single" w:color="auto" w:sz="2" w:space="0"/>
              <w:left w:val="single" w:color="auto" w:sz="2" w:space="0"/>
              <w:bottom w:val="single" w:color="auto" w:sz="2" w:space="0"/>
              <w:right w:val="single" w:color="auto" w:sz="2" w:space="0"/>
            </w:tcBorders>
            <w:vAlign w:val="center"/>
          </w:tcPr>
          <w:p w14:paraId="180AA31A">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1,587,981.20</w:t>
            </w:r>
          </w:p>
        </w:tc>
        <w:tc>
          <w:tcPr>
            <w:tcW w:w="1606" w:type="dxa"/>
            <w:tcBorders>
              <w:top w:val="single" w:color="auto" w:sz="2" w:space="0"/>
              <w:left w:val="single" w:color="auto" w:sz="2" w:space="0"/>
              <w:bottom w:val="single" w:color="auto" w:sz="2" w:space="0"/>
              <w:right w:val="single" w:color="auto" w:sz="2" w:space="0"/>
            </w:tcBorders>
            <w:vAlign w:val="center"/>
          </w:tcPr>
          <w:p w14:paraId="3F2FF3BB">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1,630,611.20</w:t>
            </w:r>
          </w:p>
        </w:tc>
        <w:tc>
          <w:tcPr>
            <w:tcW w:w="1606" w:type="dxa"/>
            <w:tcBorders>
              <w:top w:val="single" w:color="auto" w:sz="2" w:space="0"/>
              <w:left w:val="single" w:color="auto" w:sz="2" w:space="0"/>
              <w:bottom w:val="single" w:color="auto" w:sz="2" w:space="0"/>
              <w:right w:val="single" w:color="auto" w:sz="2" w:space="0"/>
            </w:tcBorders>
            <w:vAlign w:val="center"/>
          </w:tcPr>
          <w:p w14:paraId="0A1E851C">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1,630,611.20</w:t>
            </w:r>
          </w:p>
        </w:tc>
      </w:tr>
      <w:tr w14:paraId="60799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4F6B01D">
            <w:pPr>
              <w:spacing w:before="0" w:after="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14:paraId="57B1BB99">
            <w:pPr>
              <w:spacing w:before="0" w:after="0" w:line="240" w:lineRule="exact"/>
              <w:jc w:val="left"/>
              <w:rPr>
                <w:rFonts w:ascii="宋体" w:hAnsi="宋体" w:eastAsia="宋体" w:cs="宋体"/>
                <w:sz w:val="18"/>
                <w:szCs w:val="18"/>
              </w:rPr>
            </w:pPr>
            <w:r>
              <w:rPr>
                <w:rFonts w:ascii="宋体" w:hAnsi="宋体" w:eastAsia="宋体" w:cs="宋体"/>
                <w:sz w:val="18"/>
                <w:szCs w:val="18"/>
              </w:rPr>
              <w:t>广州优得清生物科技有限公司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742A5D8E">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404,327.46</w:t>
            </w:r>
          </w:p>
        </w:tc>
        <w:tc>
          <w:tcPr>
            <w:tcW w:w="1606" w:type="dxa"/>
            <w:tcBorders>
              <w:top w:val="single" w:color="auto" w:sz="2" w:space="0"/>
              <w:left w:val="single" w:color="auto" w:sz="2" w:space="0"/>
              <w:bottom w:val="single" w:color="auto" w:sz="2" w:space="0"/>
              <w:right w:val="single" w:color="auto" w:sz="2" w:space="0"/>
            </w:tcBorders>
            <w:vAlign w:val="center"/>
          </w:tcPr>
          <w:p w14:paraId="26D8E516">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182,093.19</w:t>
            </w:r>
          </w:p>
        </w:tc>
        <w:tc>
          <w:tcPr>
            <w:tcW w:w="1606" w:type="dxa"/>
            <w:tcBorders>
              <w:top w:val="single" w:color="auto" w:sz="2" w:space="0"/>
              <w:left w:val="single" w:color="auto" w:sz="2" w:space="0"/>
              <w:bottom w:val="single" w:color="auto" w:sz="2" w:space="0"/>
              <w:right w:val="single" w:color="auto" w:sz="2" w:space="0"/>
            </w:tcBorders>
            <w:vAlign w:val="center"/>
          </w:tcPr>
          <w:p w14:paraId="1A2D7B0F">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344,393.85</w:t>
            </w:r>
          </w:p>
        </w:tc>
        <w:tc>
          <w:tcPr>
            <w:tcW w:w="1606" w:type="dxa"/>
            <w:tcBorders>
              <w:top w:val="single" w:color="auto" w:sz="2" w:space="0"/>
              <w:left w:val="single" w:color="auto" w:sz="2" w:space="0"/>
              <w:bottom w:val="single" w:color="auto" w:sz="2" w:space="0"/>
              <w:right w:val="single" w:color="auto" w:sz="2" w:space="0"/>
            </w:tcBorders>
            <w:vAlign w:val="center"/>
          </w:tcPr>
          <w:p w14:paraId="17072331">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165,203.85</w:t>
            </w:r>
          </w:p>
        </w:tc>
      </w:tr>
      <w:tr w14:paraId="50382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66B54B2">
            <w:pPr>
              <w:spacing w:before="0" w:after="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14:paraId="4B341012">
            <w:pPr>
              <w:spacing w:before="0" w:after="0" w:line="240" w:lineRule="exact"/>
              <w:jc w:val="left"/>
              <w:rPr>
                <w:rFonts w:ascii="宋体" w:hAnsi="宋体" w:eastAsia="宋体" w:cs="宋体"/>
                <w:sz w:val="18"/>
                <w:szCs w:val="18"/>
              </w:rPr>
            </w:pPr>
            <w:r>
              <w:rPr>
                <w:rFonts w:ascii="宋体" w:hAnsi="宋体" w:eastAsia="宋体" w:cs="宋体"/>
                <w:sz w:val="18"/>
                <w:szCs w:val="18"/>
              </w:rPr>
              <w:t>上海昊爱生物科技有限公司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06D5DDAC">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2,100,000.00</w:t>
            </w:r>
          </w:p>
        </w:tc>
        <w:tc>
          <w:tcPr>
            <w:tcW w:w="1606" w:type="dxa"/>
            <w:tcBorders>
              <w:top w:val="single" w:color="auto" w:sz="2" w:space="0"/>
              <w:left w:val="single" w:color="auto" w:sz="2" w:space="0"/>
              <w:bottom w:val="single" w:color="auto" w:sz="2" w:space="0"/>
              <w:right w:val="single" w:color="auto" w:sz="2" w:space="0"/>
            </w:tcBorders>
            <w:vAlign w:val="center"/>
          </w:tcPr>
          <w:p w14:paraId="2F1427E3">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2,100,000.00</w:t>
            </w:r>
          </w:p>
        </w:tc>
        <w:tc>
          <w:tcPr>
            <w:tcW w:w="1606" w:type="dxa"/>
            <w:tcBorders>
              <w:top w:val="single" w:color="auto" w:sz="2" w:space="0"/>
              <w:left w:val="single" w:color="auto" w:sz="2" w:space="0"/>
              <w:bottom w:val="single" w:color="auto" w:sz="2" w:space="0"/>
              <w:right w:val="single" w:color="auto" w:sz="2" w:space="0"/>
            </w:tcBorders>
            <w:vAlign w:val="center"/>
          </w:tcPr>
          <w:p w14:paraId="6B6BC72F">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2,100,000.00</w:t>
            </w:r>
          </w:p>
        </w:tc>
        <w:tc>
          <w:tcPr>
            <w:tcW w:w="1606" w:type="dxa"/>
            <w:tcBorders>
              <w:top w:val="single" w:color="auto" w:sz="2" w:space="0"/>
              <w:left w:val="single" w:color="auto" w:sz="2" w:space="0"/>
              <w:bottom w:val="single" w:color="auto" w:sz="2" w:space="0"/>
              <w:right w:val="single" w:color="auto" w:sz="2" w:space="0"/>
            </w:tcBorders>
            <w:vAlign w:val="center"/>
          </w:tcPr>
          <w:p w14:paraId="27BC75EE">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18"/>
                <w:szCs w:val="18"/>
              </w:rPr>
            </w:pPr>
            <w:r>
              <w:rPr>
                <w:rFonts w:hint="default" w:ascii="Times New Roman" w:hAnsi="Times New Roman" w:eastAsia="宋体" w:cs="Times New Roman"/>
                <w:i w:val="0"/>
                <w:iCs w:val="0"/>
                <w:color w:val="000000"/>
                <w:sz w:val="18"/>
                <w:szCs w:val="18"/>
              </w:rPr>
              <w:t>2,100,000.00</w:t>
            </w:r>
          </w:p>
        </w:tc>
      </w:tr>
    </w:tbl>
    <w:p w14:paraId="7852EF87">
      <w:pPr>
        <w:keepNext/>
        <w:keepLines/>
        <w:spacing w:before="300" w:after="300" w:line="280" w:lineRule="exact"/>
        <w:jc w:val="left"/>
        <w:outlineLvl w:val="3"/>
        <w:rPr>
          <w:rFonts w:ascii="宋体" w:hAnsi="宋体" w:eastAsia="宋体" w:cs="宋体"/>
          <w:b/>
          <w:bCs/>
          <w:sz w:val="21"/>
          <w:szCs w:val="21"/>
        </w:rPr>
      </w:pPr>
      <w:bookmarkStart w:id="428" w:name="_Toc989230"/>
      <w:r>
        <w:rPr>
          <w:rFonts w:ascii="宋体" w:hAnsi="宋体" w:eastAsia="宋体" w:cs="宋体"/>
          <w:b/>
          <w:bCs/>
          <w:sz w:val="21"/>
          <w:szCs w:val="21"/>
        </w:rPr>
        <w:t>（</w:t>
      </w:r>
      <w:r>
        <w:rPr>
          <w:rFonts w:hint="default" w:ascii="Times New Roman" w:hAnsi="Times New Roman" w:eastAsia="宋体" w:cs="Times New Roman"/>
          <w:b/>
          <w:bCs/>
          <w:sz w:val="21"/>
          <w:szCs w:val="21"/>
        </w:rPr>
        <w:t>2</w:t>
      </w:r>
      <w:r>
        <w:rPr>
          <w:rFonts w:ascii="宋体" w:hAnsi="宋体" w:eastAsia="宋体" w:cs="宋体"/>
          <w:b/>
          <w:bCs/>
          <w:sz w:val="21"/>
          <w:szCs w:val="21"/>
        </w:rPr>
        <w:t>） 应付项目</w:t>
      </w:r>
      <w:bookmarkEnd w:id="428"/>
    </w:p>
    <w:p w14:paraId="5E9EA11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5C81C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F8059BF">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1F22CD1">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F749C95">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D0973E1">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449F6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DEE7572">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2135EC03">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张永明</w:t>
            </w:r>
          </w:p>
        </w:tc>
        <w:tc>
          <w:tcPr>
            <w:tcW w:w="2410" w:type="dxa"/>
            <w:tcBorders>
              <w:top w:val="single" w:color="auto" w:sz="2" w:space="0"/>
              <w:left w:val="single" w:color="auto" w:sz="2" w:space="0"/>
              <w:bottom w:val="single" w:color="auto" w:sz="2" w:space="0"/>
              <w:right w:val="single" w:color="auto" w:sz="2" w:space="0"/>
            </w:tcBorders>
            <w:vAlign w:val="center"/>
          </w:tcPr>
          <w:p w14:paraId="381AC2C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2,554,998.00</w:t>
            </w:r>
          </w:p>
        </w:tc>
        <w:tc>
          <w:tcPr>
            <w:tcW w:w="2410" w:type="dxa"/>
            <w:tcBorders>
              <w:top w:val="single" w:color="auto" w:sz="2" w:space="0"/>
              <w:left w:val="single" w:color="auto" w:sz="2" w:space="0"/>
              <w:bottom w:val="single" w:color="auto" w:sz="2" w:space="0"/>
              <w:right w:val="single" w:color="auto" w:sz="2" w:space="0"/>
            </w:tcBorders>
            <w:vAlign w:val="center"/>
          </w:tcPr>
          <w:p w14:paraId="7C62F30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2,554,998.00</w:t>
            </w:r>
          </w:p>
        </w:tc>
      </w:tr>
      <w:tr w14:paraId="7A6B3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6C6C1C7">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38114196">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北京天佑投资有限公司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6B2D969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6,465,433.20</w:t>
            </w:r>
          </w:p>
        </w:tc>
        <w:tc>
          <w:tcPr>
            <w:tcW w:w="2410" w:type="dxa"/>
            <w:tcBorders>
              <w:top w:val="single" w:color="auto" w:sz="2" w:space="0"/>
              <w:left w:val="single" w:color="auto" w:sz="2" w:space="0"/>
              <w:bottom w:val="single" w:color="auto" w:sz="2" w:space="0"/>
              <w:right w:val="single" w:color="auto" w:sz="2" w:space="0"/>
            </w:tcBorders>
            <w:vAlign w:val="center"/>
          </w:tcPr>
          <w:p w14:paraId="6B43522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2,554,998.00</w:t>
            </w:r>
          </w:p>
        </w:tc>
      </w:tr>
    </w:tbl>
    <w:p w14:paraId="7BDC967E">
      <w:pPr>
        <w:pStyle w:val="2"/>
        <w:keepNext/>
        <w:keepLines/>
        <w:spacing w:before="300" w:after="300" w:line="320" w:lineRule="exact"/>
        <w:jc w:val="left"/>
        <w:outlineLvl w:val="1"/>
        <w:rPr>
          <w:rFonts w:ascii="宋体" w:hAnsi="宋体" w:eastAsia="宋体" w:cs="宋体"/>
          <w:b/>
          <w:bCs/>
          <w:sz w:val="24"/>
          <w:szCs w:val="24"/>
        </w:rPr>
      </w:pPr>
      <w:bookmarkStart w:id="429" w:name="_Toc989231"/>
      <w:bookmarkStart w:id="430" w:name="_Toc22103"/>
      <w:r>
        <w:rPr>
          <w:rFonts w:hint="default" w:ascii="Times New Roman" w:hAnsi="Times New Roman" w:eastAsia="宋体" w:cs="Times New Roman"/>
          <w:b/>
          <w:bCs/>
          <w:sz w:val="24"/>
          <w:szCs w:val="24"/>
        </w:rPr>
        <w:t>十六、股份支付</w:t>
      </w:r>
      <w:bookmarkEnd w:id="429"/>
      <w:bookmarkEnd w:id="430"/>
    </w:p>
    <w:p w14:paraId="60383A5E">
      <w:pPr>
        <w:pStyle w:val="3"/>
        <w:keepNext/>
        <w:keepLines/>
        <w:spacing w:before="300" w:after="300" w:line="280" w:lineRule="exact"/>
        <w:jc w:val="left"/>
        <w:outlineLvl w:val="2"/>
        <w:rPr>
          <w:rFonts w:ascii="宋体" w:hAnsi="宋体" w:eastAsia="宋体" w:cs="宋体"/>
          <w:b/>
          <w:bCs/>
          <w:sz w:val="21"/>
          <w:szCs w:val="21"/>
        </w:rPr>
      </w:pPr>
      <w:bookmarkStart w:id="431" w:name="_Toc989232"/>
      <w:r>
        <w:rPr>
          <w:rFonts w:hint="default" w:ascii="Times New Roman" w:hAnsi="Times New Roman" w:eastAsia="宋体" w:cs="Times New Roman"/>
          <w:b/>
          <w:bCs/>
          <w:sz w:val="21"/>
          <w:szCs w:val="21"/>
        </w:rPr>
        <w:t>1</w:t>
      </w:r>
      <w:r>
        <w:rPr>
          <w:rFonts w:ascii="宋体" w:hAnsi="宋体" w:eastAsia="宋体" w:cs="宋体"/>
          <w:b/>
          <w:bCs/>
          <w:sz w:val="21"/>
          <w:szCs w:val="21"/>
        </w:rPr>
        <w:t xml:space="preserve">、其他 </w:t>
      </w:r>
      <w:bookmarkEnd w:id="431"/>
    </w:p>
    <w:p w14:paraId="5EA9F213">
      <w:pPr>
        <w:pStyle w:val="6"/>
        <w:keepNext w:val="0"/>
        <w:keepLines w:val="0"/>
        <w:widowControl/>
        <w:suppressLineNumbers w:val="0"/>
        <w:spacing w:before="0" w:beforeAutospacing="1" w:after="0" w:afterAutospacing="1"/>
        <w:ind w:left="0" w:right="0"/>
      </w:pPr>
      <w:r>
        <w:rPr>
          <w:rFonts w:hint="eastAsia" w:ascii="宋体" w:hAnsi="宋体" w:eastAsia="宋体" w:cs="宋体"/>
          <w:sz w:val="21"/>
          <w:szCs w:val="21"/>
        </w:rPr>
        <w:t>公司本期无股份支付事项。</w:t>
      </w:r>
    </w:p>
    <w:p w14:paraId="778CC18D">
      <w:pPr>
        <w:pStyle w:val="2"/>
        <w:keepNext/>
        <w:keepLines/>
        <w:spacing w:before="300" w:after="300" w:line="320" w:lineRule="exact"/>
        <w:jc w:val="left"/>
        <w:outlineLvl w:val="1"/>
        <w:rPr>
          <w:rFonts w:ascii="宋体" w:hAnsi="宋体" w:eastAsia="宋体" w:cs="宋体"/>
          <w:b/>
          <w:bCs/>
          <w:sz w:val="24"/>
          <w:szCs w:val="24"/>
        </w:rPr>
      </w:pPr>
      <w:bookmarkStart w:id="432" w:name="_Toc10138"/>
      <w:bookmarkStart w:id="433" w:name="_Toc989233"/>
      <w:r>
        <w:rPr>
          <w:rFonts w:ascii="宋体" w:hAnsi="宋体" w:eastAsia="宋体" w:cs="宋体"/>
          <w:b/>
          <w:bCs/>
          <w:sz w:val="24"/>
          <w:szCs w:val="24"/>
        </w:rPr>
        <w:t>十七、承诺及或有事项</w:t>
      </w:r>
      <w:bookmarkEnd w:id="432"/>
      <w:bookmarkEnd w:id="433"/>
    </w:p>
    <w:p w14:paraId="2DF70203">
      <w:pPr>
        <w:pStyle w:val="3"/>
        <w:keepNext/>
        <w:keepLines/>
        <w:spacing w:before="300" w:after="300" w:line="280" w:lineRule="exact"/>
        <w:jc w:val="left"/>
        <w:outlineLvl w:val="2"/>
        <w:rPr>
          <w:rFonts w:ascii="宋体" w:hAnsi="宋体" w:eastAsia="宋体" w:cs="宋体"/>
          <w:b/>
          <w:bCs/>
          <w:sz w:val="21"/>
          <w:szCs w:val="21"/>
        </w:rPr>
      </w:pPr>
      <w:bookmarkStart w:id="434" w:name="_Toc989234"/>
      <w:r>
        <w:rPr>
          <w:rFonts w:hint="default" w:ascii="Times New Roman" w:hAnsi="Times New Roman" w:eastAsia="宋体" w:cs="Times New Roman"/>
          <w:b/>
          <w:bCs/>
          <w:sz w:val="21"/>
          <w:szCs w:val="21"/>
        </w:rPr>
        <w:t>1</w:t>
      </w:r>
      <w:r>
        <w:rPr>
          <w:rFonts w:ascii="宋体" w:hAnsi="宋体" w:eastAsia="宋体" w:cs="宋体"/>
          <w:b/>
          <w:bCs/>
          <w:sz w:val="21"/>
          <w:szCs w:val="21"/>
        </w:rPr>
        <w:t>、其他</w:t>
      </w:r>
      <w:bookmarkEnd w:id="434"/>
    </w:p>
    <w:p w14:paraId="625EE9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sz w:val="18"/>
          <w:szCs w:val="18"/>
        </w:rPr>
      </w:pPr>
      <w:r>
        <w:rPr>
          <w:rFonts w:hint="eastAsia" w:ascii="宋体" w:hAnsi="宋体" w:eastAsia="宋体" w:cs="宋体"/>
          <w:sz w:val="18"/>
          <w:szCs w:val="18"/>
        </w:rPr>
        <w:t>(一)承诺事项</w:t>
      </w:r>
    </w:p>
    <w:p w14:paraId="1E8389F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截</w:t>
      </w:r>
      <w:r>
        <w:rPr>
          <w:rFonts w:hint="eastAsia" w:ascii="宋体" w:hAnsi="宋体" w:cs="宋体"/>
          <w:sz w:val="18"/>
          <w:szCs w:val="18"/>
          <w:vertAlign w:val="baseline"/>
          <w:lang w:val="en-US" w:eastAsia="zh-CN"/>
        </w:rPr>
        <w:t>至</w:t>
      </w:r>
      <w:r>
        <w:rPr>
          <w:rFonts w:hint="eastAsia" w:ascii="宋体" w:hAnsi="宋体" w:eastAsia="宋体" w:cs="宋体"/>
          <w:sz w:val="18"/>
          <w:szCs w:val="18"/>
          <w:vertAlign w:val="baseline"/>
        </w:rPr>
        <w:t>报告日，公司无承诺事项。</w:t>
      </w:r>
    </w:p>
    <w:p w14:paraId="06956B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rPr>
          <w:sz w:val="18"/>
          <w:szCs w:val="18"/>
        </w:rPr>
      </w:pPr>
      <w:r>
        <w:rPr>
          <w:rFonts w:hint="eastAsia" w:ascii="宋体" w:hAnsi="宋体" w:eastAsia="宋体" w:cs="宋体"/>
          <w:sz w:val="18"/>
          <w:szCs w:val="18"/>
        </w:rPr>
        <w:t>(二)或有事项</w:t>
      </w:r>
    </w:p>
    <w:p w14:paraId="3D0FE8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rPr>
          <w:rFonts w:hint="default" w:ascii="Times New Roman" w:hAnsi="Times New Roman" w:cs="Times New Roman"/>
          <w:sz w:val="18"/>
          <w:szCs w:val="18"/>
        </w:rPr>
      </w:pPr>
      <w:r>
        <w:rPr>
          <w:rFonts w:hint="default" w:ascii="Times New Roman" w:hAnsi="Times New Roman" w:eastAsia="宋体" w:cs="Times New Roman"/>
          <w:sz w:val="18"/>
          <w:szCs w:val="18"/>
        </w:rPr>
        <w:t>1</w:t>
      </w:r>
      <w:r>
        <w:rPr>
          <w:rFonts w:hint="eastAsia" w:ascii="宋体" w:hAnsi="宋体" w:eastAsia="宋体" w:cs="宋体"/>
          <w:sz w:val="18"/>
          <w:szCs w:val="18"/>
        </w:rPr>
        <w:t>.合资、合作开发房地产合同纠纷案</w:t>
      </w:r>
    </w:p>
    <w:p w14:paraId="35B27C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rPr>
          <w:rFonts w:hint="default" w:ascii="Times New Roman" w:hAnsi="Times New Roman" w:cs="Times New Roman"/>
          <w:sz w:val="18"/>
          <w:szCs w:val="18"/>
        </w:rPr>
      </w:pPr>
      <w:r>
        <w:rPr>
          <w:rFonts w:hint="eastAsia" w:ascii="宋体" w:hAnsi="宋体" w:eastAsia="宋体" w:cs="宋体"/>
          <w:sz w:val="18"/>
          <w:szCs w:val="18"/>
        </w:rPr>
        <w:t>公司与广东坤隆科技集团有限公司（以下简称“坤隆科技”）因合作建房事项产生纠纷。坤隆科技于</w:t>
      </w:r>
      <w:r>
        <w:rPr>
          <w:rFonts w:hint="default" w:ascii="Times New Roman" w:hAnsi="Times New Roman" w:eastAsia="宋体" w:cs="Times New Roman"/>
          <w:sz w:val="18"/>
          <w:szCs w:val="18"/>
        </w:rPr>
        <w:t>2022</w:t>
      </w:r>
      <w:r>
        <w:rPr>
          <w:rFonts w:hint="eastAsia" w:ascii="宋体" w:hAnsi="宋体" w:eastAsia="宋体" w:cs="宋体"/>
          <w:sz w:val="18"/>
          <w:szCs w:val="18"/>
        </w:rPr>
        <w:t>年向法院提起诉讼，主张公司履行竣工验收及产权过户义务。该案经一审、二审，广州市中级人民法院于</w:t>
      </w:r>
      <w:r>
        <w:rPr>
          <w:rFonts w:hint="default" w:ascii="Times New Roman" w:hAnsi="Times New Roman" w:eastAsia="宋体" w:cs="Times New Roman"/>
          <w:sz w:val="18"/>
          <w:szCs w:val="18"/>
        </w:rPr>
        <w:t>2024</w:t>
      </w:r>
      <w:r>
        <w:rPr>
          <w:rFonts w:hint="eastAsia" w:ascii="宋体" w:hAnsi="宋体" w:eastAsia="宋体" w:cs="宋体"/>
          <w:sz w:val="18"/>
          <w:szCs w:val="18"/>
        </w:rPr>
        <w:t>年</w:t>
      </w:r>
      <w:r>
        <w:rPr>
          <w:rFonts w:hint="default" w:ascii="Times New Roman" w:hAnsi="Times New Roman" w:eastAsia="宋体" w:cs="Times New Roman"/>
          <w:sz w:val="18"/>
          <w:szCs w:val="18"/>
        </w:rPr>
        <w:t>8</w:t>
      </w:r>
      <w:r>
        <w:rPr>
          <w:rFonts w:hint="eastAsia" w:ascii="宋体" w:hAnsi="宋体" w:eastAsia="宋体" w:cs="宋体"/>
          <w:sz w:val="18"/>
          <w:szCs w:val="18"/>
        </w:rPr>
        <w:t>月作出终审判决，判决公司应及时办理工程竣工验收手续。终审判决后，公司积极推进竣工验收工作，于</w:t>
      </w:r>
      <w:r>
        <w:rPr>
          <w:rFonts w:hint="default" w:ascii="Times New Roman" w:hAnsi="Times New Roman" w:eastAsia="宋体" w:cs="Times New Roman"/>
          <w:sz w:val="18"/>
          <w:szCs w:val="18"/>
        </w:rPr>
        <w:t>2024</w:t>
      </w:r>
      <w:r>
        <w:rPr>
          <w:rFonts w:hint="eastAsia" w:ascii="宋体" w:hAnsi="宋体" w:eastAsia="宋体" w:cs="宋体"/>
          <w:sz w:val="18"/>
          <w:szCs w:val="18"/>
        </w:rPr>
        <w:t>年</w:t>
      </w:r>
      <w:r>
        <w:rPr>
          <w:rFonts w:hint="default" w:ascii="Times New Roman" w:hAnsi="Times New Roman" w:eastAsia="宋体" w:cs="Times New Roman"/>
          <w:sz w:val="18"/>
          <w:szCs w:val="18"/>
        </w:rPr>
        <w:t>9</w:t>
      </w:r>
      <w:r>
        <w:rPr>
          <w:rFonts w:hint="eastAsia" w:ascii="宋体" w:hAnsi="宋体" w:eastAsia="宋体" w:cs="宋体"/>
          <w:sz w:val="18"/>
          <w:szCs w:val="18"/>
        </w:rPr>
        <w:t>月组织验收会议，但因工程整改未全部完成等原因，本次验收未通过。其后，坤隆科技向法院申请强制执行，广州市黄埔区人民法院于</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月裁定驳回其强制执行申请。</w:t>
      </w:r>
    </w:p>
    <w:p w14:paraId="56B6D8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rPr>
          <w:rFonts w:hint="default" w:ascii="Times New Roman" w:hAnsi="Times New Roman" w:cs="Times New Roman"/>
          <w:sz w:val="18"/>
          <w:szCs w:val="18"/>
        </w:rPr>
      </w:pPr>
      <w:r>
        <w:rPr>
          <w:rFonts w:hint="eastAsia" w:ascii="宋体" w:hAnsi="宋体" w:eastAsia="宋体" w:cs="宋体"/>
          <w:sz w:val="18"/>
          <w:szCs w:val="18"/>
        </w:rPr>
        <w:t>公司积极持续推进工程整改及竣工验收工作，截至本报告披露日，尚未完成竣工验收手续。鉴于双方</w:t>
      </w:r>
      <w:r>
        <w:rPr>
          <w:rFonts w:hint="default" w:ascii="Times New Roman" w:hAnsi="Times New Roman" w:eastAsia="宋体" w:cs="Times New Roman"/>
          <w:sz w:val="18"/>
          <w:szCs w:val="18"/>
        </w:rPr>
        <w:t>2014</w:t>
      </w:r>
      <w:r>
        <w:rPr>
          <w:rFonts w:hint="eastAsia" w:ascii="宋体" w:hAnsi="宋体" w:eastAsia="宋体" w:cs="宋体"/>
          <w:sz w:val="18"/>
          <w:szCs w:val="18"/>
        </w:rPr>
        <w:t>年签署的《合作协议》约定的分配方案实际执行难度较高，项目后续推进安排仍存在不确定性，公司暂时无法判断上述事项对公司期后利润的最终影响。</w:t>
      </w:r>
    </w:p>
    <w:p w14:paraId="358A6637">
      <w:pPr>
        <w:pStyle w:val="2"/>
        <w:keepNext/>
        <w:keepLines/>
        <w:spacing w:before="300" w:after="300" w:line="320" w:lineRule="exact"/>
        <w:jc w:val="left"/>
        <w:outlineLvl w:val="1"/>
        <w:rPr>
          <w:rFonts w:ascii="宋体" w:hAnsi="宋体" w:eastAsia="宋体" w:cs="宋体"/>
          <w:b/>
          <w:bCs/>
          <w:sz w:val="24"/>
          <w:szCs w:val="24"/>
        </w:rPr>
      </w:pPr>
      <w:bookmarkStart w:id="435" w:name="_Toc19565"/>
      <w:bookmarkStart w:id="436" w:name="_Toc989235"/>
      <w:r>
        <w:rPr>
          <w:rFonts w:ascii="宋体" w:hAnsi="宋体" w:eastAsia="宋体" w:cs="宋体"/>
          <w:b/>
          <w:bCs/>
          <w:sz w:val="24"/>
          <w:szCs w:val="24"/>
        </w:rPr>
        <w:t>十八、资产负债表日后事项</w:t>
      </w:r>
      <w:bookmarkEnd w:id="435"/>
      <w:bookmarkEnd w:id="436"/>
    </w:p>
    <w:p w14:paraId="7464673E">
      <w:pPr>
        <w:pStyle w:val="3"/>
        <w:keepNext/>
        <w:keepLines/>
        <w:spacing w:before="300" w:after="300" w:line="280" w:lineRule="exact"/>
        <w:jc w:val="left"/>
        <w:outlineLvl w:val="2"/>
        <w:rPr>
          <w:rFonts w:ascii="宋体" w:hAnsi="宋体" w:eastAsia="宋体" w:cs="宋体"/>
          <w:b/>
          <w:bCs/>
          <w:sz w:val="21"/>
          <w:szCs w:val="21"/>
        </w:rPr>
      </w:pPr>
      <w:bookmarkStart w:id="437" w:name="_Toc989236"/>
      <w:r>
        <w:rPr>
          <w:rFonts w:hint="default" w:ascii="Times New Roman" w:hAnsi="Times New Roman" w:eastAsia="宋体" w:cs="Times New Roman"/>
          <w:b/>
          <w:bCs/>
          <w:sz w:val="21"/>
          <w:szCs w:val="21"/>
        </w:rPr>
        <w:t>1</w:t>
      </w:r>
      <w:r>
        <w:rPr>
          <w:rFonts w:ascii="宋体" w:hAnsi="宋体" w:eastAsia="宋体" w:cs="宋体"/>
          <w:b/>
          <w:bCs/>
          <w:sz w:val="21"/>
          <w:szCs w:val="21"/>
        </w:rPr>
        <w:t>、其他资产负债表日后事项说明</w:t>
      </w:r>
      <w:bookmarkEnd w:id="437"/>
    </w:p>
    <w:p w14:paraId="5A075C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2026年3月公司收到国家税务总局广州市黄埔区税务局萝岗税务所税务事项通知书（穗埔税萝岗税通[2026]2303号）,根据税务部门要求，对涉税事项开展自查。公司已按照要求自查于2026年3月16日将相关税款及滞纳金全部缴纳完毕，本次补缴税款事项不涉及行政处罚，也不会影响公司的正常经营。该事项属于资产负债表日后调整事项，相关影响已对2025年财务报表进行调整。</w:t>
      </w:r>
    </w:p>
    <w:p w14:paraId="56968359">
      <w:pPr>
        <w:pStyle w:val="2"/>
        <w:keepNext/>
        <w:keepLines/>
        <w:spacing w:before="300" w:after="300" w:line="320" w:lineRule="exact"/>
        <w:jc w:val="left"/>
        <w:outlineLvl w:val="1"/>
        <w:rPr>
          <w:rFonts w:ascii="宋体" w:hAnsi="宋体" w:eastAsia="宋体" w:cs="宋体"/>
          <w:b/>
          <w:bCs/>
          <w:sz w:val="24"/>
          <w:szCs w:val="24"/>
        </w:rPr>
      </w:pPr>
      <w:bookmarkStart w:id="438" w:name="_Toc989237"/>
      <w:bookmarkStart w:id="439" w:name="_Toc11788"/>
      <w:r>
        <w:rPr>
          <w:rFonts w:ascii="宋体" w:hAnsi="宋体" w:eastAsia="宋体" w:cs="宋体"/>
          <w:b/>
          <w:bCs/>
          <w:sz w:val="24"/>
          <w:szCs w:val="24"/>
        </w:rPr>
        <w:t>十九、其他重要事项</w:t>
      </w:r>
      <w:bookmarkEnd w:id="438"/>
      <w:bookmarkEnd w:id="439"/>
    </w:p>
    <w:p w14:paraId="156C7BFE">
      <w:pPr>
        <w:pStyle w:val="3"/>
        <w:keepNext/>
        <w:keepLines/>
        <w:spacing w:before="300" w:after="300" w:line="280" w:lineRule="exact"/>
        <w:jc w:val="left"/>
        <w:outlineLvl w:val="2"/>
        <w:rPr>
          <w:rFonts w:ascii="宋体" w:hAnsi="宋体" w:eastAsia="宋体" w:cs="宋体"/>
          <w:b/>
          <w:bCs/>
          <w:sz w:val="21"/>
          <w:szCs w:val="21"/>
        </w:rPr>
      </w:pPr>
      <w:bookmarkStart w:id="440" w:name="_Toc989238"/>
      <w:r>
        <w:rPr>
          <w:rFonts w:hint="default" w:ascii="Times New Roman" w:hAnsi="Times New Roman" w:eastAsia="宋体" w:cs="Times New Roman"/>
          <w:b/>
          <w:bCs/>
          <w:sz w:val="21"/>
          <w:szCs w:val="21"/>
        </w:rPr>
        <w:t>1</w:t>
      </w:r>
      <w:r>
        <w:rPr>
          <w:rFonts w:ascii="宋体" w:hAnsi="宋体" w:eastAsia="宋体" w:cs="宋体"/>
          <w:b/>
          <w:bCs/>
          <w:sz w:val="21"/>
          <w:szCs w:val="21"/>
        </w:rPr>
        <w:t>、分部信息</w:t>
      </w:r>
      <w:bookmarkEnd w:id="440"/>
    </w:p>
    <w:p w14:paraId="36B36D85">
      <w:pPr>
        <w:keepNext/>
        <w:keepLines/>
        <w:spacing w:before="300" w:after="300" w:line="280" w:lineRule="exact"/>
        <w:jc w:val="left"/>
        <w:outlineLvl w:val="3"/>
        <w:rPr>
          <w:rFonts w:ascii="宋体" w:hAnsi="宋体" w:eastAsia="宋体" w:cs="宋体"/>
          <w:b/>
          <w:bCs/>
          <w:sz w:val="21"/>
          <w:szCs w:val="21"/>
        </w:rPr>
      </w:pPr>
      <w:bookmarkStart w:id="441" w:name="_Toc989239"/>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公司无报告分部的，或者不能披露各报告分部的资产总额和负债总额的，应说明原因</w:t>
      </w:r>
      <w:bookmarkEnd w:id="441"/>
    </w:p>
    <w:p w14:paraId="56A92C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left"/>
        <w:textAlignment w:val="auto"/>
        <w:rPr>
          <w:rFonts w:hint="default" w:ascii="Times New Roman" w:hAnsi="Times New Roman" w:cs="Times New Roman"/>
          <w:sz w:val="18"/>
          <w:szCs w:val="18"/>
        </w:rPr>
      </w:pPr>
      <w:r>
        <w:rPr>
          <w:rFonts w:hint="eastAsia" w:ascii="宋体" w:hAnsi="宋体" w:eastAsia="宋体" w:cs="宋体"/>
          <w:sz w:val="18"/>
          <w:szCs w:val="18"/>
        </w:rPr>
        <w:t>本公司主要业务为生产和销售医疗器械、药品及提供细胞技术服务等，经营主体主要在国内，公司将业务视作为一个整体实施管理、评估经营成果。因此，本公司无需编制分部报告。</w:t>
      </w:r>
    </w:p>
    <w:p w14:paraId="6613DDFC">
      <w:pPr>
        <w:pStyle w:val="3"/>
        <w:keepNext/>
        <w:keepLines/>
        <w:spacing w:before="300" w:after="300" w:line="280" w:lineRule="exact"/>
        <w:jc w:val="left"/>
        <w:outlineLvl w:val="2"/>
        <w:rPr>
          <w:rFonts w:ascii="宋体" w:hAnsi="宋体" w:eastAsia="宋体" w:cs="宋体"/>
          <w:b/>
          <w:bCs/>
          <w:sz w:val="21"/>
          <w:szCs w:val="21"/>
        </w:rPr>
      </w:pPr>
      <w:bookmarkStart w:id="442" w:name="_Toc989240"/>
      <w:r>
        <w:rPr>
          <w:rFonts w:hint="default" w:ascii="Times New Roman" w:hAnsi="Times New Roman" w:eastAsia="宋体" w:cs="Times New Roman"/>
          <w:b/>
          <w:bCs/>
          <w:sz w:val="21"/>
          <w:szCs w:val="21"/>
        </w:rPr>
        <w:t>2</w:t>
      </w:r>
      <w:r>
        <w:rPr>
          <w:rFonts w:ascii="宋体" w:hAnsi="宋体" w:eastAsia="宋体" w:cs="宋体"/>
          <w:b/>
          <w:bCs/>
          <w:sz w:val="21"/>
          <w:szCs w:val="21"/>
        </w:rPr>
        <w:t>、终止经营</w:t>
      </w:r>
      <w:bookmarkEnd w:id="442"/>
    </w:p>
    <w:p w14:paraId="48431D78">
      <w:pPr>
        <w:pStyle w:val="6"/>
        <w:keepNext w:val="0"/>
        <w:keepLines w:val="0"/>
        <w:widowControl/>
        <w:suppressLineNumbers w:val="0"/>
        <w:spacing w:before="0" w:beforeAutospacing="1" w:after="0" w:afterAutospacing="1"/>
        <w:ind w:left="0" w:right="0" w:firstLine="0"/>
      </w:pPr>
      <w:r>
        <w:rPr>
          <w:rFonts w:hint="eastAsia" w:ascii="宋体" w:hAnsi="宋体" w:eastAsia="宋体" w:cs="宋体"/>
          <w:sz w:val="21"/>
          <w:szCs w:val="21"/>
        </w:rPr>
        <w:t>（</w:t>
      </w:r>
      <w:r>
        <w:rPr>
          <w:rFonts w:hint="eastAsia" w:ascii="宋体" w:hAnsi="宋体" w:cs="宋体"/>
          <w:sz w:val="21"/>
          <w:szCs w:val="21"/>
          <w:lang w:val="en-US" w:eastAsia="zh-CN"/>
        </w:rPr>
        <w:t>一</w:t>
      </w:r>
      <w:r>
        <w:rPr>
          <w:rFonts w:hint="eastAsia" w:ascii="宋体" w:hAnsi="宋体" w:eastAsia="宋体" w:cs="宋体"/>
          <w:sz w:val="21"/>
          <w:szCs w:val="21"/>
        </w:rPr>
        <w:t>）终止经营</w:t>
      </w:r>
    </w:p>
    <w:tbl>
      <w:tblPr>
        <w:tblStyle w:val="7"/>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128"/>
        <w:gridCol w:w="2882"/>
        <w:gridCol w:w="2843"/>
      </w:tblGrid>
      <w:tr w14:paraId="6AD77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209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3DB6A1">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项目</w:t>
            </w:r>
          </w:p>
        </w:tc>
        <w:tc>
          <w:tcPr>
            <w:tcW w:w="146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1786CA">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本期发生额</w:t>
            </w:r>
          </w:p>
        </w:tc>
        <w:tc>
          <w:tcPr>
            <w:tcW w:w="144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302AC2">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上期发生额</w:t>
            </w:r>
          </w:p>
        </w:tc>
      </w:tr>
      <w:tr w14:paraId="1AFBDC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209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B896B6">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color w:val="000000"/>
                <w:sz w:val="18"/>
                <w:szCs w:val="18"/>
              </w:rPr>
              <w:t>一、终止经营收入</w:t>
            </w:r>
          </w:p>
        </w:tc>
        <w:tc>
          <w:tcPr>
            <w:tcW w:w="14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BB546A">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p>
        </w:tc>
        <w:tc>
          <w:tcPr>
            <w:tcW w:w="14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9E9036">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p>
        </w:tc>
      </w:tr>
      <w:tr w14:paraId="7CA671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209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02FBFF">
            <w:pPr>
              <w:pStyle w:val="6"/>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1"/>
                <w:szCs w:val="21"/>
              </w:rPr>
            </w:pPr>
            <w:r>
              <w:rPr>
                <w:rFonts w:hint="eastAsia" w:ascii="宋体" w:hAnsi="宋体" w:eastAsia="宋体" w:cs="宋体"/>
                <w:color w:val="000000"/>
                <w:sz w:val="18"/>
                <w:szCs w:val="18"/>
              </w:rPr>
              <w:t>减：终止成本及经营费用</w:t>
            </w:r>
          </w:p>
        </w:tc>
        <w:tc>
          <w:tcPr>
            <w:tcW w:w="14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F31235">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-0.10 </w:t>
            </w:r>
          </w:p>
        </w:tc>
        <w:tc>
          <w:tcPr>
            <w:tcW w:w="14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66EB61">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296.18 </w:t>
            </w:r>
          </w:p>
        </w:tc>
      </w:tr>
      <w:tr w14:paraId="46E60D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29" w:hRule="atLeast"/>
          <w:jc w:val="center"/>
        </w:trPr>
        <w:tc>
          <w:tcPr>
            <w:tcW w:w="209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20E3F">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color w:val="000000"/>
                <w:sz w:val="18"/>
                <w:szCs w:val="18"/>
              </w:rPr>
              <w:t>二、来自已终止经营业务的利润总额</w:t>
            </w:r>
          </w:p>
        </w:tc>
        <w:tc>
          <w:tcPr>
            <w:tcW w:w="14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9FB712">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0.10 </w:t>
            </w:r>
          </w:p>
        </w:tc>
        <w:tc>
          <w:tcPr>
            <w:tcW w:w="14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5E4A78">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-296.18 </w:t>
            </w:r>
          </w:p>
        </w:tc>
      </w:tr>
      <w:tr w14:paraId="4B2C07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209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3CA774">
            <w:pPr>
              <w:pStyle w:val="6"/>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1"/>
                <w:szCs w:val="21"/>
              </w:rPr>
            </w:pPr>
            <w:r>
              <w:rPr>
                <w:rFonts w:hint="eastAsia" w:ascii="宋体" w:hAnsi="宋体" w:eastAsia="宋体" w:cs="宋体"/>
                <w:color w:val="000000"/>
                <w:sz w:val="18"/>
                <w:szCs w:val="18"/>
              </w:rPr>
              <w:t>减：终止经营所得税费用</w:t>
            </w:r>
          </w:p>
        </w:tc>
        <w:tc>
          <w:tcPr>
            <w:tcW w:w="14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2498D4">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p>
        </w:tc>
        <w:tc>
          <w:tcPr>
            <w:tcW w:w="14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54E8F1">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p>
        </w:tc>
      </w:tr>
      <w:tr w14:paraId="09FD60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jc w:val="center"/>
        </w:trPr>
        <w:tc>
          <w:tcPr>
            <w:tcW w:w="209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D9679A">
            <w:pPr>
              <w:keepNext w:val="0"/>
              <w:keepLines w:val="0"/>
              <w:widowControl/>
              <w:numPr>
                <w:ilvl w:val="-1"/>
                <w:numId w:val="0"/>
              </w:numPr>
              <w:suppressLineNumbers w:val="0"/>
              <w:spacing w:before="0" w:beforeAutospacing="1" w:after="0" w:afterAutospacing="1"/>
              <w:ind w:left="0" w:firstLine="0"/>
              <w:jc w:val="left"/>
            </w:pPr>
            <w:r>
              <w:rPr>
                <w:rFonts w:hint="eastAsia" w:ascii="宋体" w:hAnsi="宋体" w:eastAsia="宋体" w:cs="宋体"/>
                <w:color w:val="000000"/>
                <w:sz w:val="18"/>
                <w:szCs w:val="18"/>
              </w:rPr>
              <w:t>三、终止经营净利润</w:t>
            </w:r>
          </w:p>
        </w:tc>
        <w:tc>
          <w:tcPr>
            <w:tcW w:w="14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0D67D5">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0.10 </w:t>
            </w:r>
          </w:p>
        </w:tc>
        <w:tc>
          <w:tcPr>
            <w:tcW w:w="14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8E2FC7">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-296.18 </w:t>
            </w:r>
          </w:p>
        </w:tc>
      </w:tr>
      <w:tr w14:paraId="2C3C5C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209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5620AA">
            <w:pPr>
              <w:pStyle w:val="6"/>
              <w:keepNext w:val="0"/>
              <w:keepLines w:val="0"/>
              <w:widowControl/>
              <w:suppressLineNumbers w:val="0"/>
              <w:spacing w:before="0" w:beforeAutospacing="0" w:after="0" w:afterAutospacing="0"/>
              <w:ind w:left="360" w:right="0"/>
              <w:jc w:val="both"/>
              <w:rPr>
                <w:rFonts w:hint="default" w:ascii="Times New Roman" w:hAnsi="Times New Roman" w:cs="Times New Roman"/>
                <w:sz w:val="21"/>
                <w:szCs w:val="21"/>
              </w:rPr>
            </w:pPr>
            <w:r>
              <w:rPr>
                <w:rFonts w:hint="eastAsia" w:ascii="宋体" w:hAnsi="宋体" w:eastAsia="宋体" w:cs="宋体"/>
                <w:color w:val="000000"/>
                <w:sz w:val="18"/>
                <w:szCs w:val="18"/>
              </w:rPr>
              <w:t>其中：归属于母公司的终止经营净利润</w:t>
            </w:r>
          </w:p>
        </w:tc>
        <w:tc>
          <w:tcPr>
            <w:tcW w:w="14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00F562">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0.05 </w:t>
            </w:r>
          </w:p>
        </w:tc>
        <w:tc>
          <w:tcPr>
            <w:tcW w:w="14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DEAB80">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-142.17 </w:t>
            </w:r>
          </w:p>
        </w:tc>
      </w:tr>
      <w:tr w14:paraId="78A3A4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209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409C0E">
            <w:pPr>
              <w:pStyle w:val="6"/>
              <w:keepNext w:val="0"/>
              <w:keepLines w:val="0"/>
              <w:widowControl/>
              <w:suppressLineNumbers w:val="0"/>
              <w:spacing w:before="0" w:beforeAutospacing="0" w:after="0" w:afterAutospacing="0"/>
              <w:ind w:left="360" w:right="0"/>
              <w:jc w:val="both"/>
              <w:rPr>
                <w:rFonts w:hint="default" w:ascii="Times New Roman" w:hAnsi="Times New Roman" w:cs="Times New Roman"/>
                <w:sz w:val="21"/>
                <w:szCs w:val="21"/>
              </w:rPr>
            </w:pPr>
            <w:r>
              <w:rPr>
                <w:rFonts w:hint="eastAsia" w:ascii="宋体" w:hAnsi="宋体" w:eastAsia="宋体" w:cs="宋体"/>
                <w:color w:val="000000"/>
                <w:sz w:val="18"/>
                <w:szCs w:val="18"/>
              </w:rPr>
              <w:t>加：处置业务的净收益（税后）</w:t>
            </w:r>
          </w:p>
        </w:tc>
        <w:tc>
          <w:tcPr>
            <w:tcW w:w="14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A5CF3D">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p>
        </w:tc>
        <w:tc>
          <w:tcPr>
            <w:tcW w:w="14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ABA9B3">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p>
        </w:tc>
      </w:tr>
      <w:tr w14:paraId="03895E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jc w:val="center"/>
        </w:trPr>
        <w:tc>
          <w:tcPr>
            <w:tcW w:w="209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0F174D">
            <w:pPr>
              <w:pStyle w:val="6"/>
              <w:keepNext w:val="0"/>
              <w:keepLines w:val="0"/>
              <w:widowControl/>
              <w:suppressLineNumbers w:val="0"/>
              <w:spacing w:before="0" w:beforeAutospacing="0" w:after="0" w:afterAutospacing="0"/>
              <w:ind w:left="360" w:right="0"/>
              <w:jc w:val="both"/>
              <w:rPr>
                <w:rFonts w:hint="default" w:ascii="Times New Roman" w:hAnsi="Times New Roman" w:cs="Times New Roman"/>
                <w:sz w:val="21"/>
                <w:szCs w:val="21"/>
              </w:rPr>
            </w:pPr>
            <w:r>
              <w:rPr>
                <w:rFonts w:hint="eastAsia" w:ascii="宋体" w:hAnsi="宋体" w:eastAsia="宋体" w:cs="宋体"/>
                <w:color w:val="000000"/>
                <w:sz w:val="18"/>
                <w:szCs w:val="18"/>
              </w:rPr>
              <w:t>其中：处置损益总额</w:t>
            </w:r>
          </w:p>
        </w:tc>
        <w:tc>
          <w:tcPr>
            <w:tcW w:w="14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68297C">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p>
        </w:tc>
        <w:tc>
          <w:tcPr>
            <w:tcW w:w="14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CAB522">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p>
        </w:tc>
      </w:tr>
      <w:tr w14:paraId="6BC14D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209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90C408">
            <w:pPr>
              <w:pStyle w:val="6"/>
              <w:keepNext w:val="0"/>
              <w:keepLines w:val="0"/>
              <w:widowControl/>
              <w:suppressLineNumbers w:val="0"/>
              <w:spacing w:before="0" w:beforeAutospacing="0" w:after="0" w:afterAutospacing="0"/>
              <w:ind w:left="360" w:right="0"/>
              <w:jc w:val="both"/>
              <w:rPr>
                <w:rFonts w:hint="default" w:ascii="Times New Roman" w:hAnsi="Times New Roman" w:cs="Times New Roman"/>
                <w:sz w:val="21"/>
                <w:szCs w:val="21"/>
              </w:rPr>
            </w:pPr>
            <w:r>
              <w:rPr>
                <w:rFonts w:hint="eastAsia" w:ascii="宋体" w:hAnsi="宋体" w:eastAsia="宋体" w:cs="宋体"/>
                <w:color w:val="000000"/>
                <w:sz w:val="18"/>
                <w:szCs w:val="18"/>
              </w:rPr>
              <w:t>减：所得税费用（或收益）</w:t>
            </w:r>
          </w:p>
        </w:tc>
        <w:tc>
          <w:tcPr>
            <w:tcW w:w="14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E2825C">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p>
        </w:tc>
        <w:tc>
          <w:tcPr>
            <w:tcW w:w="14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A14BDC">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p>
        </w:tc>
      </w:tr>
      <w:tr w14:paraId="0374EC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jc w:val="center"/>
        </w:trPr>
        <w:tc>
          <w:tcPr>
            <w:tcW w:w="209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92E46B">
            <w:pPr>
              <w:keepNext w:val="0"/>
              <w:keepLines w:val="0"/>
              <w:widowControl/>
              <w:numPr>
                <w:ilvl w:val="-1"/>
                <w:numId w:val="0"/>
              </w:numPr>
              <w:suppressLineNumbers w:val="0"/>
              <w:spacing w:before="0" w:beforeAutospacing="1" w:after="0" w:afterAutospacing="1"/>
              <w:ind w:left="0" w:firstLine="0"/>
            </w:pPr>
            <w:r>
              <w:rPr>
                <w:rFonts w:hint="eastAsia" w:ascii="宋体" w:hAnsi="宋体" w:eastAsia="宋体" w:cs="宋体"/>
                <w:color w:val="000000"/>
                <w:sz w:val="18"/>
                <w:szCs w:val="18"/>
              </w:rPr>
              <w:t>四、来自已终止经营业务的净利润总计</w:t>
            </w:r>
          </w:p>
        </w:tc>
        <w:tc>
          <w:tcPr>
            <w:tcW w:w="14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1EEAC9">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0.10 </w:t>
            </w:r>
          </w:p>
        </w:tc>
        <w:tc>
          <w:tcPr>
            <w:tcW w:w="14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D49B48">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-296.18 </w:t>
            </w:r>
          </w:p>
        </w:tc>
      </w:tr>
      <w:tr w14:paraId="2AF7CE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209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9245CE">
            <w:pPr>
              <w:pStyle w:val="6"/>
              <w:keepNext w:val="0"/>
              <w:keepLines w:val="0"/>
              <w:widowControl/>
              <w:suppressLineNumbers w:val="0"/>
              <w:spacing w:before="0" w:beforeAutospacing="0" w:after="0" w:afterAutospacing="0"/>
              <w:ind w:left="360" w:right="0"/>
              <w:jc w:val="both"/>
              <w:rPr>
                <w:rFonts w:hint="default" w:ascii="Times New Roman" w:hAnsi="Times New Roman" w:cs="Times New Roman"/>
                <w:sz w:val="21"/>
                <w:szCs w:val="21"/>
              </w:rPr>
            </w:pPr>
            <w:r>
              <w:rPr>
                <w:rFonts w:hint="eastAsia" w:ascii="宋体" w:hAnsi="宋体" w:eastAsia="宋体" w:cs="宋体"/>
                <w:color w:val="000000"/>
                <w:sz w:val="18"/>
                <w:szCs w:val="18"/>
              </w:rPr>
              <w:t>其中：归属于母公司所有者的来自于</w:t>
            </w:r>
          </w:p>
          <w:p w14:paraId="40C46C27">
            <w:pPr>
              <w:pStyle w:val="6"/>
              <w:keepNext w:val="0"/>
              <w:keepLines w:val="0"/>
              <w:widowControl/>
              <w:suppressLineNumbers w:val="0"/>
              <w:spacing w:before="0" w:beforeAutospacing="0" w:after="0" w:afterAutospacing="0"/>
              <w:ind w:left="360" w:right="0"/>
              <w:jc w:val="both"/>
              <w:rPr>
                <w:rFonts w:hint="default" w:ascii="Times New Roman" w:hAnsi="Times New Roman" w:cs="Times New Roman"/>
                <w:sz w:val="21"/>
                <w:szCs w:val="21"/>
              </w:rPr>
            </w:pPr>
            <w:r>
              <w:rPr>
                <w:rFonts w:hint="eastAsia" w:ascii="宋体" w:hAnsi="宋体" w:eastAsia="宋体" w:cs="宋体"/>
                <w:color w:val="000000"/>
                <w:sz w:val="18"/>
                <w:szCs w:val="18"/>
              </w:rPr>
              <w:t>已终止经营业务的净利润总计</w:t>
            </w:r>
          </w:p>
        </w:tc>
        <w:tc>
          <w:tcPr>
            <w:tcW w:w="14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6AC09B">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0.05 </w:t>
            </w:r>
          </w:p>
        </w:tc>
        <w:tc>
          <w:tcPr>
            <w:tcW w:w="14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C166B9">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-142.17 </w:t>
            </w:r>
          </w:p>
        </w:tc>
      </w:tr>
      <w:tr w14:paraId="62178D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209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FE342B">
            <w:pPr>
              <w:keepNext w:val="0"/>
              <w:keepLines w:val="0"/>
              <w:widowControl/>
              <w:numPr>
                <w:ilvl w:val="-1"/>
                <w:numId w:val="0"/>
              </w:numPr>
              <w:suppressLineNumbers w:val="0"/>
              <w:spacing w:before="0" w:beforeAutospacing="1" w:after="0" w:afterAutospacing="1"/>
              <w:ind w:left="0" w:firstLine="0"/>
            </w:pPr>
            <w:r>
              <w:rPr>
                <w:rFonts w:hint="eastAsia" w:ascii="宋体" w:hAnsi="宋体" w:eastAsia="宋体" w:cs="宋体"/>
                <w:color w:val="000000"/>
                <w:sz w:val="18"/>
                <w:szCs w:val="18"/>
              </w:rPr>
              <w:t>五、终止经营的现金流量净额</w:t>
            </w:r>
          </w:p>
        </w:tc>
        <w:tc>
          <w:tcPr>
            <w:tcW w:w="14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388867">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-501.69 </w:t>
            </w:r>
          </w:p>
        </w:tc>
        <w:tc>
          <w:tcPr>
            <w:tcW w:w="14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8ABB10">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-295.18 </w:t>
            </w:r>
          </w:p>
        </w:tc>
      </w:tr>
      <w:tr w14:paraId="22A2EB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jc w:val="center"/>
        </w:trPr>
        <w:tc>
          <w:tcPr>
            <w:tcW w:w="209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60E37B">
            <w:pPr>
              <w:pStyle w:val="6"/>
              <w:keepNext w:val="0"/>
              <w:keepLines w:val="0"/>
              <w:widowControl/>
              <w:suppressLineNumbers w:val="0"/>
              <w:spacing w:before="0" w:beforeAutospacing="0" w:after="0" w:afterAutospacing="0"/>
              <w:ind w:left="360" w:right="0"/>
              <w:jc w:val="both"/>
              <w:rPr>
                <w:rFonts w:hint="default" w:ascii="Times New Roman" w:hAnsi="Times New Roman" w:cs="Times New Roman"/>
                <w:sz w:val="21"/>
                <w:szCs w:val="21"/>
              </w:rPr>
            </w:pPr>
            <w:r>
              <w:rPr>
                <w:rFonts w:hint="eastAsia" w:ascii="宋体" w:hAnsi="宋体" w:eastAsia="宋体" w:cs="宋体"/>
                <w:color w:val="000000"/>
                <w:sz w:val="18"/>
                <w:szCs w:val="18"/>
              </w:rPr>
              <w:t>其中：经营活动现金流量净额</w:t>
            </w:r>
          </w:p>
        </w:tc>
        <w:tc>
          <w:tcPr>
            <w:tcW w:w="14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CB7FAE">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-501.69 </w:t>
            </w:r>
          </w:p>
        </w:tc>
        <w:tc>
          <w:tcPr>
            <w:tcW w:w="14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6ECEF7">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eastAsia="Arial Narrow" w:cs="Times New Roman"/>
                <w:i w:val="0"/>
                <w:iCs w:val="0"/>
                <w:color w:val="000000"/>
                <w:sz w:val="18"/>
                <w:szCs w:val="18"/>
              </w:rPr>
              <w:t xml:space="preserve">-295.18 </w:t>
            </w:r>
          </w:p>
        </w:tc>
      </w:tr>
    </w:tbl>
    <w:p w14:paraId="5CC1482A">
      <w:pPr>
        <w:pStyle w:val="3"/>
        <w:keepNext/>
        <w:keepLines/>
        <w:spacing w:before="300" w:after="300" w:line="280" w:lineRule="exact"/>
        <w:jc w:val="left"/>
        <w:outlineLvl w:val="2"/>
        <w:rPr>
          <w:rFonts w:ascii="宋体" w:hAnsi="宋体" w:eastAsia="宋体" w:cs="宋体"/>
          <w:b/>
          <w:bCs/>
          <w:sz w:val="21"/>
          <w:szCs w:val="21"/>
        </w:rPr>
      </w:pPr>
      <w:bookmarkStart w:id="443" w:name="_Toc989241"/>
      <w:r>
        <w:rPr>
          <w:rFonts w:hint="default" w:ascii="Times New Roman" w:hAnsi="Times New Roman" w:eastAsia="宋体" w:cs="Times New Roman"/>
          <w:b/>
          <w:bCs/>
          <w:sz w:val="21"/>
          <w:szCs w:val="21"/>
        </w:rPr>
        <w:t>3</w:t>
      </w:r>
      <w:r>
        <w:rPr>
          <w:rFonts w:ascii="宋体" w:hAnsi="宋体" w:eastAsia="宋体" w:cs="宋体"/>
          <w:b/>
          <w:bCs/>
          <w:sz w:val="21"/>
          <w:szCs w:val="21"/>
        </w:rPr>
        <w:t>、其他</w:t>
      </w:r>
      <w:bookmarkEnd w:id="443"/>
    </w:p>
    <w:p w14:paraId="4518ED68">
      <w:pPr>
        <w:pStyle w:val="6"/>
        <w:keepNext w:val="0"/>
        <w:keepLines w:val="0"/>
        <w:widowControl/>
        <w:suppressLineNumbers w:val="0"/>
        <w:spacing w:before="0" w:beforeAutospacing="0" w:after="0" w:afterAutospacing="0" w:line="460" w:lineRule="atLeast"/>
        <w:ind w:left="0" w:right="0" w:firstLine="420"/>
        <w:jc w:val="both"/>
        <w:textAlignment w:val="baseline"/>
        <w:rPr>
          <w:rFonts w:hint="eastAsia" w:ascii="宋体" w:hAnsi="宋体" w:eastAsia="宋体" w:cs="宋体"/>
          <w:sz w:val="18"/>
          <w:szCs w:val="18"/>
        </w:rPr>
      </w:pPr>
      <w:r>
        <w:rPr>
          <w:rFonts w:hint="eastAsia" w:ascii="宋体" w:hAnsi="宋体" w:eastAsia="宋体" w:cs="宋体"/>
          <w:sz w:val="18"/>
          <w:szCs w:val="18"/>
          <w:vertAlign w:val="baseline"/>
        </w:rPr>
        <w:t>公司本期无其他重要事项。</w:t>
      </w:r>
    </w:p>
    <w:p w14:paraId="56336540">
      <w:pPr>
        <w:pStyle w:val="2"/>
        <w:keepNext/>
        <w:keepLines/>
        <w:spacing w:before="300" w:after="300" w:line="320" w:lineRule="exact"/>
        <w:jc w:val="left"/>
        <w:outlineLvl w:val="1"/>
        <w:rPr>
          <w:rFonts w:ascii="宋体" w:hAnsi="宋体" w:eastAsia="宋体" w:cs="宋体"/>
          <w:b/>
          <w:bCs/>
          <w:sz w:val="24"/>
          <w:szCs w:val="24"/>
        </w:rPr>
      </w:pPr>
      <w:bookmarkStart w:id="444" w:name="_Toc989242"/>
      <w:bookmarkStart w:id="445" w:name="_Toc2843"/>
      <w:r>
        <w:rPr>
          <w:rFonts w:ascii="宋体" w:hAnsi="宋体" w:eastAsia="宋体" w:cs="宋体"/>
          <w:b/>
          <w:bCs/>
          <w:sz w:val="24"/>
          <w:szCs w:val="24"/>
        </w:rPr>
        <w:t>二十、母公司财务报表主要项目注释</w:t>
      </w:r>
      <w:bookmarkEnd w:id="444"/>
      <w:bookmarkEnd w:id="445"/>
    </w:p>
    <w:p w14:paraId="5DAD67A3">
      <w:pPr>
        <w:pStyle w:val="3"/>
        <w:keepNext/>
        <w:keepLines/>
        <w:spacing w:before="300" w:after="300" w:line="280" w:lineRule="exact"/>
        <w:jc w:val="left"/>
        <w:outlineLvl w:val="2"/>
        <w:rPr>
          <w:rFonts w:ascii="宋体" w:hAnsi="宋体" w:eastAsia="宋体" w:cs="宋体"/>
          <w:b/>
          <w:bCs/>
          <w:sz w:val="21"/>
          <w:szCs w:val="21"/>
        </w:rPr>
      </w:pPr>
      <w:bookmarkStart w:id="446" w:name="_Toc989243"/>
      <w:r>
        <w:rPr>
          <w:rFonts w:hint="default" w:ascii="Times New Roman" w:hAnsi="Times New Roman" w:eastAsia="宋体" w:cs="Times New Roman"/>
          <w:b/>
          <w:bCs/>
          <w:sz w:val="21"/>
          <w:szCs w:val="21"/>
        </w:rPr>
        <w:t>1</w:t>
      </w:r>
      <w:r>
        <w:rPr>
          <w:rFonts w:ascii="宋体" w:hAnsi="宋体" w:eastAsia="宋体" w:cs="宋体"/>
          <w:b/>
          <w:bCs/>
          <w:sz w:val="21"/>
          <w:szCs w:val="21"/>
        </w:rPr>
        <w:t>、应收账款</w:t>
      </w:r>
      <w:bookmarkEnd w:id="446"/>
    </w:p>
    <w:p w14:paraId="3D65738C">
      <w:pPr>
        <w:keepNext/>
        <w:keepLines/>
        <w:spacing w:before="300" w:after="300" w:line="280" w:lineRule="exact"/>
        <w:jc w:val="left"/>
        <w:outlineLvl w:val="3"/>
        <w:rPr>
          <w:rFonts w:ascii="宋体" w:hAnsi="宋体" w:eastAsia="宋体" w:cs="宋体"/>
          <w:b/>
          <w:bCs/>
          <w:sz w:val="21"/>
          <w:szCs w:val="21"/>
        </w:rPr>
      </w:pPr>
      <w:bookmarkStart w:id="447" w:name="_Toc989244"/>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按账龄披露</w:t>
      </w:r>
      <w:bookmarkEnd w:id="447"/>
    </w:p>
    <w:p w14:paraId="2AB8A87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D01A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3AE909">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F6C83B">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1E04B2">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061D3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51B671">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年以内（含</w:t>
            </w:r>
            <w:r>
              <w:rPr>
                <w:rFonts w:hint="default" w:ascii="Times New Roman" w:hAnsi="Times New Roman" w:eastAsia="宋体" w:cs="Times New Roman"/>
                <w:sz w:val="18"/>
                <w:szCs w:val="18"/>
              </w:rPr>
              <w:t>1</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26B5C63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27,710,592.00</w:t>
            </w:r>
          </w:p>
        </w:tc>
        <w:tc>
          <w:tcPr>
            <w:tcW w:w="3213" w:type="dxa"/>
            <w:tcBorders>
              <w:top w:val="single" w:color="auto" w:sz="2" w:space="0"/>
              <w:left w:val="single" w:color="auto" w:sz="2" w:space="0"/>
              <w:bottom w:val="single" w:color="auto" w:sz="2" w:space="0"/>
              <w:right w:val="single" w:color="auto" w:sz="2" w:space="0"/>
            </w:tcBorders>
            <w:vAlign w:val="center"/>
          </w:tcPr>
          <w:p w14:paraId="07864C2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28,629,873.17</w:t>
            </w:r>
          </w:p>
        </w:tc>
      </w:tr>
      <w:tr w14:paraId="4EE54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7793B6">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至</w:t>
            </w:r>
            <w:r>
              <w:rPr>
                <w:rFonts w:hint="default" w:ascii="Times New Roman" w:hAnsi="Times New Roman" w:eastAsia="宋体" w:cs="Times New Roman"/>
                <w:sz w:val="18"/>
                <w:szCs w:val="18"/>
              </w:rPr>
              <w:t>2</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6EFD291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205,603.80</w:t>
            </w:r>
          </w:p>
        </w:tc>
        <w:tc>
          <w:tcPr>
            <w:tcW w:w="3213" w:type="dxa"/>
            <w:tcBorders>
              <w:top w:val="single" w:color="auto" w:sz="2" w:space="0"/>
              <w:left w:val="single" w:color="auto" w:sz="2" w:space="0"/>
              <w:bottom w:val="single" w:color="auto" w:sz="2" w:space="0"/>
              <w:right w:val="single" w:color="auto" w:sz="2" w:space="0"/>
            </w:tcBorders>
            <w:vAlign w:val="center"/>
          </w:tcPr>
          <w:p w14:paraId="2A41237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385,722.35</w:t>
            </w:r>
          </w:p>
        </w:tc>
      </w:tr>
      <w:tr w14:paraId="0B535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2F1E58">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至</w:t>
            </w:r>
            <w:r>
              <w:rPr>
                <w:rFonts w:hint="default" w:ascii="Times New Roman" w:hAnsi="Times New Roman" w:eastAsia="宋体" w:cs="Times New Roman"/>
                <w:sz w:val="18"/>
                <w:szCs w:val="18"/>
              </w:rPr>
              <w:t>3</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54CE999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231,849.50</w:t>
            </w:r>
          </w:p>
        </w:tc>
        <w:tc>
          <w:tcPr>
            <w:tcW w:w="3213" w:type="dxa"/>
            <w:tcBorders>
              <w:top w:val="single" w:color="auto" w:sz="2" w:space="0"/>
              <w:left w:val="single" w:color="auto" w:sz="2" w:space="0"/>
              <w:bottom w:val="single" w:color="auto" w:sz="2" w:space="0"/>
              <w:right w:val="single" w:color="auto" w:sz="2" w:space="0"/>
            </w:tcBorders>
            <w:vAlign w:val="center"/>
          </w:tcPr>
          <w:p w14:paraId="5BBAF54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78,709.10</w:t>
            </w:r>
          </w:p>
        </w:tc>
      </w:tr>
      <w:tr w14:paraId="334A5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CF5CE7">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年以上</w:t>
            </w:r>
          </w:p>
        </w:tc>
        <w:tc>
          <w:tcPr>
            <w:tcW w:w="3213" w:type="dxa"/>
            <w:tcBorders>
              <w:top w:val="single" w:color="auto" w:sz="2" w:space="0"/>
              <w:left w:val="single" w:color="auto" w:sz="2" w:space="0"/>
              <w:bottom w:val="single" w:color="auto" w:sz="2" w:space="0"/>
              <w:right w:val="single" w:color="auto" w:sz="2" w:space="0"/>
            </w:tcBorders>
            <w:vAlign w:val="center"/>
          </w:tcPr>
          <w:p w14:paraId="06F914F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30,798,729.70</w:t>
            </w:r>
          </w:p>
        </w:tc>
        <w:tc>
          <w:tcPr>
            <w:tcW w:w="3213" w:type="dxa"/>
            <w:tcBorders>
              <w:top w:val="single" w:color="auto" w:sz="2" w:space="0"/>
              <w:left w:val="single" w:color="auto" w:sz="2" w:space="0"/>
              <w:bottom w:val="single" w:color="auto" w:sz="2" w:space="0"/>
              <w:right w:val="single" w:color="auto" w:sz="2" w:space="0"/>
            </w:tcBorders>
            <w:vAlign w:val="center"/>
          </w:tcPr>
          <w:p w14:paraId="21C592B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30,720,020.60</w:t>
            </w:r>
          </w:p>
        </w:tc>
      </w:tr>
      <w:tr w14:paraId="55B21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0F4E9A">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至</w:t>
            </w:r>
            <w:r>
              <w:rPr>
                <w:rFonts w:hint="default" w:ascii="Times New Roman" w:hAnsi="Times New Roman" w:eastAsia="宋体" w:cs="Times New Roman"/>
                <w:sz w:val="18"/>
                <w:szCs w:val="18"/>
              </w:rPr>
              <w:t>4</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62ADA3F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78,709.10</w:t>
            </w:r>
          </w:p>
        </w:tc>
        <w:tc>
          <w:tcPr>
            <w:tcW w:w="3213" w:type="dxa"/>
            <w:tcBorders>
              <w:top w:val="single" w:color="auto" w:sz="2" w:space="0"/>
              <w:left w:val="single" w:color="auto" w:sz="2" w:space="0"/>
              <w:bottom w:val="single" w:color="auto" w:sz="2" w:space="0"/>
              <w:right w:val="single" w:color="auto" w:sz="2" w:space="0"/>
            </w:tcBorders>
            <w:vAlign w:val="center"/>
          </w:tcPr>
          <w:p w14:paraId="183FC20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5,984,256.07</w:t>
            </w:r>
          </w:p>
        </w:tc>
      </w:tr>
      <w:tr w14:paraId="61B44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169E9D">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至</w:t>
            </w:r>
            <w:r>
              <w:rPr>
                <w:rFonts w:hint="default" w:ascii="Times New Roman" w:hAnsi="Times New Roman" w:eastAsia="宋体" w:cs="Times New Roman"/>
                <w:sz w:val="18"/>
                <w:szCs w:val="18"/>
              </w:rPr>
              <w:t>5</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710AA98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5,984,256.07</w:t>
            </w:r>
          </w:p>
        </w:tc>
        <w:tc>
          <w:tcPr>
            <w:tcW w:w="3213" w:type="dxa"/>
            <w:tcBorders>
              <w:top w:val="single" w:color="auto" w:sz="2" w:space="0"/>
              <w:left w:val="single" w:color="auto" w:sz="2" w:space="0"/>
              <w:bottom w:val="single" w:color="auto" w:sz="2" w:space="0"/>
              <w:right w:val="single" w:color="auto" w:sz="2" w:space="0"/>
            </w:tcBorders>
            <w:vAlign w:val="center"/>
          </w:tcPr>
          <w:p w14:paraId="6D65B4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8,190,780.85</w:t>
            </w:r>
          </w:p>
        </w:tc>
      </w:tr>
      <w:tr w14:paraId="7421A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89777C">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5</w:t>
            </w:r>
            <w:r>
              <w:rPr>
                <w:rFonts w:ascii="宋体" w:hAnsi="宋体" w:eastAsia="宋体" w:cs="宋体"/>
                <w:sz w:val="18"/>
                <w:szCs w:val="18"/>
              </w:rPr>
              <w:t>年以上</w:t>
            </w:r>
          </w:p>
        </w:tc>
        <w:tc>
          <w:tcPr>
            <w:tcW w:w="3213" w:type="dxa"/>
            <w:tcBorders>
              <w:top w:val="single" w:color="auto" w:sz="2" w:space="0"/>
              <w:left w:val="single" w:color="auto" w:sz="2" w:space="0"/>
              <w:bottom w:val="single" w:color="auto" w:sz="2" w:space="0"/>
              <w:right w:val="single" w:color="auto" w:sz="2" w:space="0"/>
            </w:tcBorders>
            <w:vAlign w:val="center"/>
          </w:tcPr>
          <w:p w14:paraId="79291B9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24,735,764.53</w:t>
            </w:r>
          </w:p>
        </w:tc>
        <w:tc>
          <w:tcPr>
            <w:tcW w:w="3213" w:type="dxa"/>
            <w:tcBorders>
              <w:top w:val="single" w:color="auto" w:sz="2" w:space="0"/>
              <w:left w:val="single" w:color="auto" w:sz="2" w:space="0"/>
              <w:bottom w:val="single" w:color="auto" w:sz="2" w:space="0"/>
              <w:right w:val="single" w:color="auto" w:sz="2" w:space="0"/>
            </w:tcBorders>
            <w:vAlign w:val="center"/>
          </w:tcPr>
          <w:p w14:paraId="10BA6D5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16,544,983.68</w:t>
            </w:r>
          </w:p>
        </w:tc>
      </w:tr>
      <w:tr w14:paraId="7B8DF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AA5F24">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EF5A59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58,946,775.00</w:t>
            </w:r>
          </w:p>
        </w:tc>
        <w:tc>
          <w:tcPr>
            <w:tcW w:w="3213" w:type="dxa"/>
            <w:tcBorders>
              <w:top w:val="single" w:color="auto" w:sz="2" w:space="0"/>
              <w:left w:val="single" w:color="auto" w:sz="2" w:space="0"/>
              <w:bottom w:val="single" w:color="auto" w:sz="2" w:space="0"/>
              <w:right w:val="single" w:color="auto" w:sz="2" w:space="0"/>
            </w:tcBorders>
            <w:vAlign w:val="center"/>
          </w:tcPr>
          <w:p w14:paraId="2E38FD3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59,814,325.22</w:t>
            </w:r>
          </w:p>
        </w:tc>
      </w:tr>
    </w:tbl>
    <w:p w14:paraId="49B92BDF">
      <w:pPr>
        <w:keepNext/>
        <w:keepLines/>
        <w:spacing w:before="300" w:after="300" w:line="280" w:lineRule="exact"/>
        <w:jc w:val="left"/>
        <w:outlineLvl w:val="3"/>
        <w:rPr>
          <w:rFonts w:ascii="宋体" w:hAnsi="宋体" w:eastAsia="宋体" w:cs="宋体"/>
          <w:b/>
          <w:bCs/>
          <w:sz w:val="21"/>
          <w:szCs w:val="21"/>
        </w:rPr>
      </w:pPr>
      <w:bookmarkStart w:id="448" w:name="_Toc989245"/>
      <w:r>
        <w:rPr>
          <w:rFonts w:ascii="宋体" w:hAnsi="宋体" w:eastAsia="宋体" w:cs="宋体"/>
          <w:b/>
          <w:bCs/>
          <w:sz w:val="21"/>
          <w:szCs w:val="21"/>
        </w:rPr>
        <w:t>（</w:t>
      </w:r>
      <w:r>
        <w:rPr>
          <w:rFonts w:hint="default" w:ascii="Times New Roman" w:hAnsi="Times New Roman" w:eastAsia="宋体" w:cs="Times New Roman"/>
          <w:b/>
          <w:bCs/>
          <w:sz w:val="21"/>
          <w:szCs w:val="21"/>
        </w:rPr>
        <w:t>2</w:t>
      </w:r>
      <w:r>
        <w:rPr>
          <w:rFonts w:ascii="宋体" w:hAnsi="宋体" w:eastAsia="宋体" w:cs="宋体"/>
          <w:b/>
          <w:bCs/>
          <w:sz w:val="21"/>
          <w:szCs w:val="21"/>
        </w:rPr>
        <w:t>） 按坏账计提方法分类披露</w:t>
      </w:r>
      <w:bookmarkEnd w:id="448"/>
    </w:p>
    <w:p w14:paraId="470312F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14:paraId="177B0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9268AEC">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514C2DED">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030321C1">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69316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ABF05BE"/>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EE08622">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B3C70FC">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C587DD6">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E7A8464">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AFB3E63">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0690F7C">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7D3E9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CDBADB7"/>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8311CD8">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1D2EC59">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F788179">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265D33B">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692D471"/>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A938451">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025F5AC">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154D9F2">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4CE572D">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41E78C5"/>
        </w:tc>
      </w:tr>
      <w:tr w14:paraId="57417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29D5A70">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14:paraId="6D01FC8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209,712.00</w:t>
            </w:r>
          </w:p>
        </w:tc>
        <w:tc>
          <w:tcPr>
            <w:tcW w:w="876" w:type="dxa"/>
            <w:tcBorders>
              <w:top w:val="single" w:color="auto" w:sz="2" w:space="0"/>
              <w:left w:val="single" w:color="auto" w:sz="2" w:space="0"/>
              <w:bottom w:val="single" w:color="auto" w:sz="2" w:space="0"/>
              <w:right w:val="single" w:color="auto" w:sz="2" w:space="0"/>
            </w:tcBorders>
            <w:vAlign w:val="center"/>
          </w:tcPr>
          <w:p w14:paraId="13436F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0.36%</w:t>
            </w:r>
          </w:p>
        </w:tc>
        <w:tc>
          <w:tcPr>
            <w:tcW w:w="876" w:type="dxa"/>
            <w:tcBorders>
              <w:top w:val="single" w:color="auto" w:sz="2" w:space="0"/>
              <w:left w:val="single" w:color="auto" w:sz="2" w:space="0"/>
              <w:bottom w:val="single" w:color="auto" w:sz="2" w:space="0"/>
              <w:right w:val="single" w:color="auto" w:sz="2" w:space="0"/>
            </w:tcBorders>
            <w:vAlign w:val="center"/>
          </w:tcPr>
          <w:p w14:paraId="356300D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209,712.00</w:t>
            </w:r>
          </w:p>
        </w:tc>
        <w:tc>
          <w:tcPr>
            <w:tcW w:w="876" w:type="dxa"/>
            <w:tcBorders>
              <w:top w:val="single" w:color="auto" w:sz="2" w:space="0"/>
              <w:left w:val="single" w:color="auto" w:sz="2" w:space="0"/>
              <w:bottom w:val="single" w:color="auto" w:sz="2" w:space="0"/>
              <w:right w:val="single" w:color="auto" w:sz="2" w:space="0"/>
            </w:tcBorders>
            <w:vAlign w:val="center"/>
          </w:tcPr>
          <w:p w14:paraId="4F4506F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21CEEA4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876" w:type="dxa"/>
            <w:tcBorders>
              <w:top w:val="single" w:color="auto" w:sz="2" w:space="0"/>
              <w:left w:val="single" w:color="auto" w:sz="2" w:space="0"/>
              <w:bottom w:val="single" w:color="auto" w:sz="2" w:space="0"/>
              <w:right w:val="single" w:color="auto" w:sz="2" w:space="0"/>
            </w:tcBorders>
            <w:vAlign w:val="center"/>
          </w:tcPr>
          <w:p w14:paraId="003E99F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209,712.00</w:t>
            </w:r>
          </w:p>
        </w:tc>
        <w:tc>
          <w:tcPr>
            <w:tcW w:w="876" w:type="dxa"/>
            <w:tcBorders>
              <w:top w:val="single" w:color="auto" w:sz="2" w:space="0"/>
              <w:left w:val="single" w:color="auto" w:sz="2" w:space="0"/>
              <w:bottom w:val="single" w:color="auto" w:sz="2" w:space="0"/>
              <w:right w:val="single" w:color="auto" w:sz="2" w:space="0"/>
            </w:tcBorders>
            <w:vAlign w:val="center"/>
          </w:tcPr>
          <w:p w14:paraId="633BE6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0.35%</w:t>
            </w:r>
          </w:p>
        </w:tc>
        <w:tc>
          <w:tcPr>
            <w:tcW w:w="876" w:type="dxa"/>
            <w:tcBorders>
              <w:top w:val="single" w:color="auto" w:sz="2" w:space="0"/>
              <w:left w:val="single" w:color="auto" w:sz="2" w:space="0"/>
              <w:bottom w:val="single" w:color="auto" w:sz="2" w:space="0"/>
              <w:right w:val="single" w:color="auto" w:sz="2" w:space="0"/>
            </w:tcBorders>
            <w:vAlign w:val="center"/>
          </w:tcPr>
          <w:p w14:paraId="405809E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209,712.00</w:t>
            </w:r>
          </w:p>
        </w:tc>
        <w:tc>
          <w:tcPr>
            <w:tcW w:w="876" w:type="dxa"/>
            <w:tcBorders>
              <w:top w:val="single" w:color="auto" w:sz="2" w:space="0"/>
              <w:left w:val="single" w:color="auto" w:sz="2" w:space="0"/>
              <w:bottom w:val="single" w:color="auto" w:sz="2" w:space="0"/>
              <w:right w:val="single" w:color="auto" w:sz="2" w:space="0"/>
            </w:tcBorders>
            <w:vAlign w:val="center"/>
          </w:tcPr>
          <w:p w14:paraId="7BDFF0A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0582E02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14:paraId="3CFC6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8E87C08">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E4E7B2C">
            <w:pPr>
              <w:spacing w:before="0" w:after="0" w:line="240" w:lineRule="exact"/>
              <w:jc w:val="right"/>
              <w:rPr>
                <w:rFonts w:hint="default"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49CA7A8">
            <w:pPr>
              <w:spacing w:before="0" w:after="0" w:line="240" w:lineRule="exact"/>
              <w:jc w:val="right"/>
              <w:rPr>
                <w:rFonts w:hint="default"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1511E65">
            <w:pPr>
              <w:spacing w:before="0" w:after="0" w:line="240" w:lineRule="exact"/>
              <w:jc w:val="right"/>
              <w:rPr>
                <w:rFonts w:hint="default"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D1766C7">
            <w:pPr>
              <w:spacing w:before="0" w:after="0" w:line="240" w:lineRule="exact"/>
              <w:jc w:val="right"/>
              <w:rPr>
                <w:rFonts w:hint="default"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1E3F708">
            <w:pPr>
              <w:spacing w:before="0" w:after="0" w:line="240" w:lineRule="exact"/>
              <w:jc w:val="right"/>
              <w:rPr>
                <w:rFonts w:hint="default"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953849E">
            <w:pPr>
              <w:spacing w:before="0" w:after="0" w:line="240" w:lineRule="exact"/>
              <w:jc w:val="right"/>
              <w:rPr>
                <w:rFonts w:hint="default"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4D15CA1">
            <w:pPr>
              <w:spacing w:before="0" w:after="0" w:line="240" w:lineRule="exact"/>
              <w:jc w:val="right"/>
              <w:rPr>
                <w:rFonts w:hint="default"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6D02EED">
            <w:pPr>
              <w:spacing w:before="0" w:after="0" w:line="240" w:lineRule="exact"/>
              <w:jc w:val="right"/>
              <w:rPr>
                <w:rFonts w:hint="default"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687CF07">
            <w:pPr>
              <w:spacing w:before="0" w:after="0" w:line="240" w:lineRule="exact"/>
              <w:jc w:val="right"/>
              <w:rPr>
                <w:rFonts w:hint="default"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EDCAD1A">
            <w:pPr>
              <w:spacing w:before="0" w:after="0" w:line="240" w:lineRule="exact"/>
              <w:jc w:val="right"/>
              <w:rPr>
                <w:rFonts w:hint="default" w:ascii="Times New Roman" w:hAnsi="Times New Roman" w:eastAsia="宋体" w:cs="Times New Roman"/>
                <w:sz w:val="18"/>
                <w:szCs w:val="18"/>
              </w:rPr>
            </w:pPr>
          </w:p>
        </w:tc>
      </w:tr>
      <w:tr w14:paraId="6AA2C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B7E7AB1">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14:paraId="4EE286F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58,737,063.00</w:t>
            </w:r>
          </w:p>
        </w:tc>
        <w:tc>
          <w:tcPr>
            <w:tcW w:w="876" w:type="dxa"/>
            <w:tcBorders>
              <w:top w:val="single" w:color="auto" w:sz="2" w:space="0"/>
              <w:left w:val="single" w:color="auto" w:sz="2" w:space="0"/>
              <w:bottom w:val="single" w:color="auto" w:sz="2" w:space="0"/>
              <w:right w:val="single" w:color="auto" w:sz="2" w:space="0"/>
            </w:tcBorders>
            <w:vAlign w:val="center"/>
          </w:tcPr>
          <w:p w14:paraId="5402C42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99.64%</w:t>
            </w:r>
          </w:p>
        </w:tc>
        <w:tc>
          <w:tcPr>
            <w:tcW w:w="876" w:type="dxa"/>
            <w:tcBorders>
              <w:top w:val="single" w:color="auto" w:sz="2" w:space="0"/>
              <w:left w:val="single" w:color="auto" w:sz="2" w:space="0"/>
              <w:bottom w:val="single" w:color="auto" w:sz="2" w:space="0"/>
              <w:right w:val="single" w:color="auto" w:sz="2" w:space="0"/>
            </w:tcBorders>
            <w:vAlign w:val="center"/>
          </w:tcPr>
          <w:p w14:paraId="2DD9E20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29,696,159.48</w:t>
            </w:r>
          </w:p>
        </w:tc>
        <w:tc>
          <w:tcPr>
            <w:tcW w:w="876" w:type="dxa"/>
            <w:tcBorders>
              <w:top w:val="single" w:color="auto" w:sz="2" w:space="0"/>
              <w:left w:val="single" w:color="auto" w:sz="2" w:space="0"/>
              <w:bottom w:val="single" w:color="auto" w:sz="2" w:space="0"/>
              <w:right w:val="single" w:color="auto" w:sz="2" w:space="0"/>
            </w:tcBorders>
            <w:vAlign w:val="center"/>
          </w:tcPr>
          <w:p w14:paraId="0B3B740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50.56%</w:t>
            </w:r>
          </w:p>
        </w:tc>
        <w:tc>
          <w:tcPr>
            <w:tcW w:w="876" w:type="dxa"/>
            <w:tcBorders>
              <w:top w:val="single" w:color="auto" w:sz="2" w:space="0"/>
              <w:left w:val="single" w:color="auto" w:sz="2" w:space="0"/>
              <w:bottom w:val="single" w:color="auto" w:sz="2" w:space="0"/>
              <w:right w:val="single" w:color="auto" w:sz="2" w:space="0"/>
            </w:tcBorders>
            <w:vAlign w:val="center"/>
          </w:tcPr>
          <w:p w14:paraId="4D491C2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29,040,903.52</w:t>
            </w:r>
          </w:p>
        </w:tc>
        <w:tc>
          <w:tcPr>
            <w:tcW w:w="876" w:type="dxa"/>
            <w:tcBorders>
              <w:top w:val="single" w:color="auto" w:sz="2" w:space="0"/>
              <w:left w:val="single" w:color="auto" w:sz="2" w:space="0"/>
              <w:bottom w:val="single" w:color="auto" w:sz="2" w:space="0"/>
              <w:right w:val="single" w:color="auto" w:sz="2" w:space="0"/>
            </w:tcBorders>
            <w:vAlign w:val="center"/>
          </w:tcPr>
          <w:p w14:paraId="2ACC715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59,604,613.22</w:t>
            </w:r>
          </w:p>
        </w:tc>
        <w:tc>
          <w:tcPr>
            <w:tcW w:w="876" w:type="dxa"/>
            <w:tcBorders>
              <w:top w:val="single" w:color="auto" w:sz="2" w:space="0"/>
              <w:left w:val="single" w:color="auto" w:sz="2" w:space="0"/>
              <w:bottom w:val="single" w:color="auto" w:sz="2" w:space="0"/>
              <w:right w:val="single" w:color="auto" w:sz="2" w:space="0"/>
            </w:tcBorders>
            <w:vAlign w:val="center"/>
          </w:tcPr>
          <w:p w14:paraId="35B5360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99.65%</w:t>
            </w:r>
          </w:p>
        </w:tc>
        <w:tc>
          <w:tcPr>
            <w:tcW w:w="876" w:type="dxa"/>
            <w:tcBorders>
              <w:top w:val="single" w:color="auto" w:sz="2" w:space="0"/>
              <w:left w:val="single" w:color="auto" w:sz="2" w:space="0"/>
              <w:bottom w:val="single" w:color="auto" w:sz="2" w:space="0"/>
              <w:right w:val="single" w:color="auto" w:sz="2" w:space="0"/>
            </w:tcBorders>
            <w:vAlign w:val="center"/>
          </w:tcPr>
          <w:p w14:paraId="7AB285A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26,220,458.09</w:t>
            </w:r>
          </w:p>
        </w:tc>
        <w:tc>
          <w:tcPr>
            <w:tcW w:w="876" w:type="dxa"/>
            <w:tcBorders>
              <w:top w:val="single" w:color="auto" w:sz="2" w:space="0"/>
              <w:left w:val="single" w:color="auto" w:sz="2" w:space="0"/>
              <w:bottom w:val="single" w:color="auto" w:sz="2" w:space="0"/>
              <w:right w:val="single" w:color="auto" w:sz="2" w:space="0"/>
            </w:tcBorders>
            <w:vAlign w:val="center"/>
          </w:tcPr>
          <w:p w14:paraId="2982CFB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43.99%</w:t>
            </w:r>
          </w:p>
        </w:tc>
        <w:tc>
          <w:tcPr>
            <w:tcW w:w="876" w:type="dxa"/>
            <w:tcBorders>
              <w:top w:val="single" w:color="auto" w:sz="2" w:space="0"/>
              <w:left w:val="single" w:color="auto" w:sz="2" w:space="0"/>
              <w:bottom w:val="single" w:color="auto" w:sz="2" w:space="0"/>
              <w:right w:val="single" w:color="auto" w:sz="2" w:space="0"/>
            </w:tcBorders>
            <w:vAlign w:val="center"/>
          </w:tcPr>
          <w:p w14:paraId="571C292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33,384,155.13</w:t>
            </w:r>
          </w:p>
        </w:tc>
      </w:tr>
      <w:tr w14:paraId="4761B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64B872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D8B4B59"/>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EED4349"/>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1470EDF"/>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E581C23"/>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F435595"/>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26FF140"/>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C807F2E"/>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8E27814"/>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EB2E82A"/>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2AA0F70"/>
        </w:tc>
      </w:tr>
      <w:tr w14:paraId="4EDD6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5F61CBB3">
            <w:pPr>
              <w:spacing w:before="0" w:after="0" w:line="240" w:lineRule="exact"/>
              <w:jc w:val="left"/>
              <w:rPr>
                <w:rFonts w:ascii="宋体" w:hAnsi="宋体" w:eastAsia="宋体" w:cs="宋体"/>
                <w:sz w:val="18"/>
                <w:szCs w:val="18"/>
              </w:rPr>
            </w:pPr>
            <w:r>
              <w:rPr>
                <w:rFonts w:ascii="宋体" w:hAnsi="宋体" w:eastAsia="宋体" w:cs="宋体"/>
                <w:sz w:val="18"/>
                <w:szCs w:val="18"/>
              </w:rPr>
              <w:t>组合</w:t>
            </w:r>
            <w:r>
              <w:rPr>
                <w:rFonts w:hint="default" w:ascii="Times New Roman" w:hAnsi="Times New Roman" w:eastAsia="宋体" w:cs="Times New Roman"/>
                <w:sz w:val="18"/>
                <w:szCs w:val="18"/>
              </w:rPr>
              <w:t>1</w:t>
            </w:r>
            <w:r>
              <w:rPr>
                <w:rFonts w:ascii="宋体" w:hAnsi="宋体" w:eastAsia="宋体" w:cs="宋体"/>
                <w:sz w:val="18"/>
                <w:szCs w:val="18"/>
              </w:rPr>
              <w:t>：账龄分析组合</w:t>
            </w:r>
          </w:p>
        </w:tc>
        <w:tc>
          <w:tcPr>
            <w:tcW w:w="876" w:type="dxa"/>
            <w:tcBorders>
              <w:top w:val="single" w:color="auto" w:sz="2" w:space="0"/>
              <w:left w:val="single" w:color="auto" w:sz="2" w:space="0"/>
              <w:bottom w:val="single" w:color="auto" w:sz="2" w:space="0"/>
              <w:right w:val="single" w:color="auto" w:sz="2" w:space="0"/>
            </w:tcBorders>
            <w:vAlign w:val="center"/>
          </w:tcPr>
          <w:p w14:paraId="796A83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56,349,702.29</w:t>
            </w:r>
          </w:p>
        </w:tc>
        <w:tc>
          <w:tcPr>
            <w:tcW w:w="876" w:type="dxa"/>
            <w:tcBorders>
              <w:top w:val="single" w:color="auto" w:sz="2" w:space="0"/>
              <w:left w:val="single" w:color="auto" w:sz="2" w:space="0"/>
              <w:bottom w:val="single" w:color="auto" w:sz="2" w:space="0"/>
              <w:right w:val="single" w:color="auto" w:sz="2" w:space="0"/>
            </w:tcBorders>
            <w:vAlign w:val="center"/>
          </w:tcPr>
          <w:p w14:paraId="757E973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95.59%</w:t>
            </w:r>
          </w:p>
        </w:tc>
        <w:tc>
          <w:tcPr>
            <w:tcW w:w="876" w:type="dxa"/>
            <w:tcBorders>
              <w:top w:val="single" w:color="auto" w:sz="2" w:space="0"/>
              <w:left w:val="single" w:color="auto" w:sz="2" w:space="0"/>
              <w:bottom w:val="single" w:color="auto" w:sz="2" w:space="0"/>
              <w:right w:val="single" w:color="auto" w:sz="2" w:space="0"/>
            </w:tcBorders>
            <w:vAlign w:val="center"/>
          </w:tcPr>
          <w:p w14:paraId="4DAD830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29,696,159.48</w:t>
            </w:r>
          </w:p>
        </w:tc>
        <w:tc>
          <w:tcPr>
            <w:tcW w:w="876" w:type="dxa"/>
            <w:tcBorders>
              <w:top w:val="single" w:color="auto" w:sz="2" w:space="0"/>
              <w:left w:val="single" w:color="auto" w:sz="2" w:space="0"/>
              <w:bottom w:val="single" w:color="auto" w:sz="2" w:space="0"/>
              <w:right w:val="single" w:color="auto" w:sz="2" w:space="0"/>
            </w:tcBorders>
            <w:vAlign w:val="center"/>
          </w:tcPr>
          <w:p w14:paraId="11607FB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52.70%</w:t>
            </w:r>
          </w:p>
        </w:tc>
        <w:tc>
          <w:tcPr>
            <w:tcW w:w="876" w:type="dxa"/>
            <w:tcBorders>
              <w:top w:val="single" w:color="auto" w:sz="2" w:space="0"/>
              <w:left w:val="single" w:color="auto" w:sz="2" w:space="0"/>
              <w:bottom w:val="single" w:color="auto" w:sz="2" w:space="0"/>
              <w:right w:val="single" w:color="auto" w:sz="2" w:space="0"/>
            </w:tcBorders>
            <w:vAlign w:val="center"/>
          </w:tcPr>
          <w:p w14:paraId="25D8BBE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26,653,542.81</w:t>
            </w:r>
          </w:p>
        </w:tc>
        <w:tc>
          <w:tcPr>
            <w:tcW w:w="876" w:type="dxa"/>
            <w:tcBorders>
              <w:top w:val="single" w:color="auto" w:sz="2" w:space="0"/>
              <w:left w:val="single" w:color="auto" w:sz="2" w:space="0"/>
              <w:bottom w:val="single" w:color="auto" w:sz="2" w:space="0"/>
              <w:right w:val="single" w:color="auto" w:sz="2" w:space="0"/>
            </w:tcBorders>
            <w:vAlign w:val="center"/>
          </w:tcPr>
          <w:p w14:paraId="44F3B35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58,799,613.22</w:t>
            </w:r>
          </w:p>
        </w:tc>
        <w:tc>
          <w:tcPr>
            <w:tcW w:w="876" w:type="dxa"/>
            <w:tcBorders>
              <w:top w:val="single" w:color="auto" w:sz="2" w:space="0"/>
              <w:left w:val="single" w:color="auto" w:sz="2" w:space="0"/>
              <w:bottom w:val="single" w:color="auto" w:sz="2" w:space="0"/>
              <w:right w:val="single" w:color="auto" w:sz="2" w:space="0"/>
            </w:tcBorders>
            <w:vAlign w:val="center"/>
          </w:tcPr>
          <w:p w14:paraId="2304D85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98.30%</w:t>
            </w:r>
          </w:p>
        </w:tc>
        <w:tc>
          <w:tcPr>
            <w:tcW w:w="876" w:type="dxa"/>
            <w:tcBorders>
              <w:top w:val="single" w:color="auto" w:sz="2" w:space="0"/>
              <w:left w:val="single" w:color="auto" w:sz="2" w:space="0"/>
              <w:bottom w:val="single" w:color="auto" w:sz="2" w:space="0"/>
              <w:right w:val="single" w:color="auto" w:sz="2" w:space="0"/>
            </w:tcBorders>
            <w:vAlign w:val="center"/>
          </w:tcPr>
          <w:p w14:paraId="55A8767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26,220,458.09</w:t>
            </w:r>
          </w:p>
        </w:tc>
        <w:tc>
          <w:tcPr>
            <w:tcW w:w="876" w:type="dxa"/>
            <w:tcBorders>
              <w:top w:val="single" w:color="auto" w:sz="2" w:space="0"/>
              <w:left w:val="single" w:color="auto" w:sz="2" w:space="0"/>
              <w:bottom w:val="single" w:color="auto" w:sz="2" w:space="0"/>
              <w:right w:val="single" w:color="auto" w:sz="2" w:space="0"/>
            </w:tcBorders>
            <w:vAlign w:val="center"/>
          </w:tcPr>
          <w:p w14:paraId="129BC6C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44.59%</w:t>
            </w:r>
          </w:p>
        </w:tc>
        <w:tc>
          <w:tcPr>
            <w:tcW w:w="876" w:type="dxa"/>
            <w:tcBorders>
              <w:top w:val="single" w:color="auto" w:sz="2" w:space="0"/>
              <w:left w:val="single" w:color="auto" w:sz="2" w:space="0"/>
              <w:bottom w:val="single" w:color="auto" w:sz="2" w:space="0"/>
              <w:right w:val="single" w:color="auto" w:sz="2" w:space="0"/>
            </w:tcBorders>
            <w:vAlign w:val="center"/>
          </w:tcPr>
          <w:p w14:paraId="0009948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32,579,155.13</w:t>
            </w:r>
          </w:p>
        </w:tc>
      </w:tr>
      <w:tr w14:paraId="4A80E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1CD63293">
            <w:pPr>
              <w:spacing w:before="0" w:after="0" w:line="240" w:lineRule="exact"/>
              <w:jc w:val="left"/>
              <w:rPr>
                <w:rFonts w:ascii="宋体" w:hAnsi="宋体" w:eastAsia="宋体" w:cs="宋体"/>
                <w:sz w:val="18"/>
                <w:szCs w:val="18"/>
              </w:rPr>
            </w:pPr>
            <w:r>
              <w:rPr>
                <w:rFonts w:ascii="宋体" w:hAnsi="宋体" w:eastAsia="宋体" w:cs="宋体"/>
                <w:sz w:val="18"/>
                <w:szCs w:val="18"/>
              </w:rPr>
              <w:t>组合</w:t>
            </w:r>
            <w:r>
              <w:rPr>
                <w:rFonts w:hint="default" w:ascii="Times New Roman" w:hAnsi="Times New Roman" w:eastAsia="宋体" w:cs="Times New Roman"/>
                <w:sz w:val="18"/>
                <w:szCs w:val="18"/>
              </w:rPr>
              <w:t>2</w:t>
            </w:r>
            <w:r>
              <w:rPr>
                <w:rFonts w:ascii="宋体" w:hAnsi="宋体" w:eastAsia="宋体" w:cs="宋体"/>
                <w:sz w:val="18"/>
                <w:szCs w:val="18"/>
              </w:rPr>
              <w:t>：关联方组合</w:t>
            </w:r>
          </w:p>
        </w:tc>
        <w:tc>
          <w:tcPr>
            <w:tcW w:w="876" w:type="dxa"/>
            <w:tcBorders>
              <w:top w:val="single" w:color="auto" w:sz="2" w:space="0"/>
              <w:left w:val="single" w:color="auto" w:sz="2" w:space="0"/>
              <w:bottom w:val="single" w:color="auto" w:sz="2" w:space="0"/>
              <w:right w:val="single" w:color="auto" w:sz="2" w:space="0"/>
            </w:tcBorders>
            <w:vAlign w:val="center"/>
          </w:tcPr>
          <w:p w14:paraId="5AD1BB6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2,387,360.71</w:t>
            </w:r>
          </w:p>
        </w:tc>
        <w:tc>
          <w:tcPr>
            <w:tcW w:w="876" w:type="dxa"/>
            <w:tcBorders>
              <w:top w:val="single" w:color="auto" w:sz="2" w:space="0"/>
              <w:left w:val="single" w:color="auto" w:sz="2" w:space="0"/>
              <w:bottom w:val="single" w:color="auto" w:sz="2" w:space="0"/>
              <w:right w:val="single" w:color="auto" w:sz="2" w:space="0"/>
            </w:tcBorders>
            <w:vAlign w:val="center"/>
          </w:tcPr>
          <w:p w14:paraId="5992E9F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4.05%</w:t>
            </w:r>
          </w:p>
        </w:tc>
        <w:tc>
          <w:tcPr>
            <w:tcW w:w="876" w:type="dxa"/>
            <w:tcBorders>
              <w:top w:val="single" w:color="auto" w:sz="2" w:space="0"/>
              <w:left w:val="single" w:color="auto" w:sz="2" w:space="0"/>
              <w:bottom w:val="single" w:color="auto" w:sz="2" w:space="0"/>
              <w:right w:val="single" w:color="auto" w:sz="2" w:space="0"/>
            </w:tcBorders>
            <w:vAlign w:val="center"/>
          </w:tcPr>
          <w:p w14:paraId="3F00A15C">
            <w:pPr>
              <w:spacing w:before="0" w:after="0" w:line="240" w:lineRule="exact"/>
              <w:jc w:val="right"/>
              <w:rPr>
                <w:rFonts w:hint="default"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2409089">
            <w:pPr>
              <w:spacing w:before="0" w:after="0" w:line="240" w:lineRule="exact"/>
              <w:jc w:val="right"/>
              <w:rPr>
                <w:rFonts w:hint="default"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73D779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2,387,360.71</w:t>
            </w:r>
          </w:p>
        </w:tc>
        <w:tc>
          <w:tcPr>
            <w:tcW w:w="876" w:type="dxa"/>
            <w:tcBorders>
              <w:top w:val="single" w:color="auto" w:sz="2" w:space="0"/>
              <w:left w:val="single" w:color="auto" w:sz="2" w:space="0"/>
              <w:bottom w:val="single" w:color="auto" w:sz="2" w:space="0"/>
              <w:right w:val="single" w:color="auto" w:sz="2" w:space="0"/>
            </w:tcBorders>
            <w:vAlign w:val="center"/>
          </w:tcPr>
          <w:p w14:paraId="766896A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805,000.00</w:t>
            </w:r>
          </w:p>
        </w:tc>
        <w:tc>
          <w:tcPr>
            <w:tcW w:w="876" w:type="dxa"/>
            <w:tcBorders>
              <w:top w:val="single" w:color="auto" w:sz="2" w:space="0"/>
              <w:left w:val="single" w:color="auto" w:sz="2" w:space="0"/>
              <w:bottom w:val="single" w:color="auto" w:sz="2" w:space="0"/>
              <w:right w:val="single" w:color="auto" w:sz="2" w:space="0"/>
            </w:tcBorders>
            <w:vAlign w:val="center"/>
          </w:tcPr>
          <w:p w14:paraId="79A2FBF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1.35%</w:t>
            </w:r>
          </w:p>
        </w:tc>
        <w:tc>
          <w:tcPr>
            <w:tcW w:w="876" w:type="dxa"/>
            <w:tcBorders>
              <w:top w:val="single" w:color="auto" w:sz="2" w:space="0"/>
              <w:left w:val="single" w:color="auto" w:sz="2" w:space="0"/>
              <w:bottom w:val="single" w:color="auto" w:sz="2" w:space="0"/>
              <w:right w:val="single" w:color="auto" w:sz="2" w:space="0"/>
            </w:tcBorders>
            <w:vAlign w:val="center"/>
          </w:tcPr>
          <w:p w14:paraId="59B233C0">
            <w:pPr>
              <w:spacing w:before="0" w:after="0" w:line="240" w:lineRule="exact"/>
              <w:jc w:val="right"/>
              <w:rPr>
                <w:rFonts w:hint="default"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338E36F">
            <w:pPr>
              <w:spacing w:before="0" w:after="0" w:line="240" w:lineRule="exact"/>
              <w:jc w:val="right"/>
              <w:rPr>
                <w:rFonts w:hint="default"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36B530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805,000.00</w:t>
            </w:r>
          </w:p>
        </w:tc>
      </w:tr>
      <w:tr w14:paraId="51AFC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99C8A49">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14:paraId="64C578F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58,946,775.00</w:t>
            </w:r>
          </w:p>
        </w:tc>
        <w:tc>
          <w:tcPr>
            <w:tcW w:w="876" w:type="dxa"/>
            <w:tcBorders>
              <w:top w:val="single" w:color="auto" w:sz="2" w:space="0"/>
              <w:left w:val="single" w:color="auto" w:sz="2" w:space="0"/>
              <w:bottom w:val="single" w:color="auto" w:sz="2" w:space="0"/>
              <w:right w:val="single" w:color="auto" w:sz="2" w:space="0"/>
            </w:tcBorders>
            <w:vAlign w:val="center"/>
          </w:tcPr>
          <w:p w14:paraId="1C132A2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0DB69DF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29,905,871.48</w:t>
            </w:r>
          </w:p>
        </w:tc>
        <w:tc>
          <w:tcPr>
            <w:tcW w:w="876" w:type="dxa"/>
            <w:tcBorders>
              <w:top w:val="single" w:color="auto" w:sz="2" w:space="0"/>
              <w:left w:val="single" w:color="auto" w:sz="2" w:space="0"/>
              <w:bottom w:val="single" w:color="auto" w:sz="2" w:space="0"/>
              <w:right w:val="single" w:color="auto" w:sz="2" w:space="0"/>
            </w:tcBorders>
            <w:vAlign w:val="center"/>
          </w:tcPr>
          <w:p w14:paraId="26AFD38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50.73%</w:t>
            </w:r>
          </w:p>
        </w:tc>
        <w:tc>
          <w:tcPr>
            <w:tcW w:w="876" w:type="dxa"/>
            <w:tcBorders>
              <w:top w:val="single" w:color="auto" w:sz="2" w:space="0"/>
              <w:left w:val="single" w:color="auto" w:sz="2" w:space="0"/>
              <w:bottom w:val="single" w:color="auto" w:sz="2" w:space="0"/>
              <w:right w:val="single" w:color="auto" w:sz="2" w:space="0"/>
            </w:tcBorders>
            <w:vAlign w:val="center"/>
          </w:tcPr>
          <w:p w14:paraId="0BDDD89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29,040,903.52</w:t>
            </w:r>
          </w:p>
        </w:tc>
        <w:tc>
          <w:tcPr>
            <w:tcW w:w="876" w:type="dxa"/>
            <w:tcBorders>
              <w:top w:val="single" w:color="auto" w:sz="2" w:space="0"/>
              <w:left w:val="single" w:color="auto" w:sz="2" w:space="0"/>
              <w:bottom w:val="single" w:color="auto" w:sz="2" w:space="0"/>
              <w:right w:val="single" w:color="auto" w:sz="2" w:space="0"/>
            </w:tcBorders>
            <w:vAlign w:val="center"/>
          </w:tcPr>
          <w:p w14:paraId="2EB0111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59,814,325.22</w:t>
            </w:r>
          </w:p>
        </w:tc>
        <w:tc>
          <w:tcPr>
            <w:tcW w:w="876" w:type="dxa"/>
            <w:tcBorders>
              <w:top w:val="single" w:color="auto" w:sz="2" w:space="0"/>
              <w:left w:val="single" w:color="auto" w:sz="2" w:space="0"/>
              <w:bottom w:val="single" w:color="auto" w:sz="2" w:space="0"/>
              <w:right w:val="single" w:color="auto" w:sz="2" w:space="0"/>
            </w:tcBorders>
            <w:vAlign w:val="center"/>
          </w:tcPr>
          <w:p w14:paraId="545AD71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0B0E63F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26,430,170.09</w:t>
            </w:r>
          </w:p>
        </w:tc>
        <w:tc>
          <w:tcPr>
            <w:tcW w:w="876" w:type="dxa"/>
            <w:tcBorders>
              <w:top w:val="single" w:color="auto" w:sz="2" w:space="0"/>
              <w:left w:val="single" w:color="auto" w:sz="2" w:space="0"/>
              <w:bottom w:val="single" w:color="auto" w:sz="2" w:space="0"/>
              <w:right w:val="single" w:color="auto" w:sz="2" w:space="0"/>
            </w:tcBorders>
            <w:vAlign w:val="center"/>
          </w:tcPr>
          <w:p w14:paraId="1C270A3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44.19%</w:t>
            </w:r>
          </w:p>
        </w:tc>
        <w:tc>
          <w:tcPr>
            <w:tcW w:w="876" w:type="dxa"/>
            <w:tcBorders>
              <w:top w:val="single" w:color="auto" w:sz="2" w:space="0"/>
              <w:left w:val="single" w:color="auto" w:sz="2" w:space="0"/>
              <w:bottom w:val="single" w:color="auto" w:sz="2" w:space="0"/>
              <w:right w:val="single" w:color="auto" w:sz="2" w:space="0"/>
            </w:tcBorders>
            <w:vAlign w:val="center"/>
          </w:tcPr>
          <w:p w14:paraId="41F0FBD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33,384,155.13</w:t>
            </w:r>
          </w:p>
        </w:tc>
      </w:tr>
    </w:tbl>
    <w:p w14:paraId="102A678C">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r>
        <w:rPr>
          <w:rFonts w:hint="default" w:ascii="Times New Roman" w:hAnsi="Times New Roman" w:eastAsia="宋体" w:cs="Times New Roman"/>
          <w:sz w:val="18"/>
          <w:szCs w:val="18"/>
        </w:rPr>
        <w:t>209,712.00</w:t>
      </w:r>
      <w:r>
        <w:rPr>
          <w:rFonts w:ascii="宋体" w:hAnsi="宋体" w:eastAsia="宋体" w:cs="宋体"/>
          <w:sz w:val="18"/>
          <w:szCs w:val="18"/>
        </w:rPr>
        <w:t>元</w:t>
      </w:r>
    </w:p>
    <w:p w14:paraId="08C1B77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67167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4CAAB06">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72378C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75F249B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3F7A5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7DC1D7A"/>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2582E47">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88D0347">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97E0275">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A9914DF">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78B567D">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933F1C1">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14:paraId="1AC2A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CE62BBC">
            <w:pPr>
              <w:spacing w:before="0" w:after="0" w:line="240" w:lineRule="exact"/>
              <w:jc w:val="left"/>
              <w:rPr>
                <w:rFonts w:ascii="宋体" w:hAnsi="宋体" w:eastAsia="宋体" w:cs="宋体"/>
                <w:sz w:val="18"/>
                <w:szCs w:val="18"/>
              </w:rPr>
            </w:pPr>
            <w:r>
              <w:rPr>
                <w:rFonts w:ascii="宋体" w:hAnsi="宋体" w:eastAsia="宋体" w:cs="宋体"/>
                <w:sz w:val="18"/>
                <w:szCs w:val="18"/>
              </w:rPr>
              <w:t>上海昊爱生物科技有限公司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7D91A6D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209,712.00</w:t>
            </w:r>
          </w:p>
        </w:tc>
        <w:tc>
          <w:tcPr>
            <w:tcW w:w="1377" w:type="dxa"/>
            <w:tcBorders>
              <w:top w:val="single" w:color="auto" w:sz="2" w:space="0"/>
              <w:left w:val="single" w:color="auto" w:sz="2" w:space="0"/>
              <w:bottom w:val="single" w:color="auto" w:sz="2" w:space="0"/>
              <w:right w:val="single" w:color="auto" w:sz="2" w:space="0"/>
            </w:tcBorders>
            <w:vAlign w:val="center"/>
          </w:tcPr>
          <w:p w14:paraId="39B8872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209,712.00</w:t>
            </w:r>
          </w:p>
        </w:tc>
        <w:tc>
          <w:tcPr>
            <w:tcW w:w="1377" w:type="dxa"/>
            <w:tcBorders>
              <w:top w:val="single" w:color="auto" w:sz="2" w:space="0"/>
              <w:left w:val="single" w:color="auto" w:sz="2" w:space="0"/>
              <w:bottom w:val="single" w:color="auto" w:sz="2" w:space="0"/>
              <w:right w:val="single" w:color="auto" w:sz="2" w:space="0"/>
            </w:tcBorders>
            <w:vAlign w:val="center"/>
          </w:tcPr>
          <w:p w14:paraId="1AA7DA7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209,712.00</w:t>
            </w:r>
          </w:p>
        </w:tc>
        <w:tc>
          <w:tcPr>
            <w:tcW w:w="1377" w:type="dxa"/>
            <w:tcBorders>
              <w:top w:val="single" w:color="auto" w:sz="2" w:space="0"/>
              <w:left w:val="single" w:color="auto" w:sz="2" w:space="0"/>
              <w:bottom w:val="single" w:color="auto" w:sz="2" w:space="0"/>
              <w:right w:val="single" w:color="auto" w:sz="2" w:space="0"/>
            </w:tcBorders>
            <w:vAlign w:val="center"/>
          </w:tcPr>
          <w:p w14:paraId="5B416E9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209,712.00</w:t>
            </w:r>
          </w:p>
        </w:tc>
        <w:tc>
          <w:tcPr>
            <w:tcW w:w="1377" w:type="dxa"/>
            <w:tcBorders>
              <w:top w:val="single" w:color="auto" w:sz="2" w:space="0"/>
              <w:left w:val="single" w:color="auto" w:sz="2" w:space="0"/>
              <w:bottom w:val="single" w:color="auto" w:sz="2" w:space="0"/>
              <w:right w:val="single" w:color="auto" w:sz="2" w:space="0"/>
            </w:tcBorders>
            <w:vAlign w:val="center"/>
          </w:tcPr>
          <w:p w14:paraId="599C8B5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14:paraId="6EC14835">
            <w:pPr>
              <w:spacing w:before="0" w:after="0" w:line="240" w:lineRule="exact"/>
              <w:jc w:val="left"/>
              <w:rPr>
                <w:rFonts w:ascii="宋体" w:hAnsi="宋体" w:eastAsia="宋体" w:cs="宋体"/>
                <w:sz w:val="18"/>
                <w:szCs w:val="18"/>
              </w:rPr>
            </w:pPr>
            <w:r>
              <w:rPr>
                <w:rFonts w:ascii="宋体" w:hAnsi="宋体" w:eastAsia="宋体" w:cs="宋体"/>
                <w:sz w:val="18"/>
                <w:szCs w:val="18"/>
              </w:rPr>
              <w:t>被列为失信被执行人，预计无法收回</w:t>
            </w:r>
          </w:p>
        </w:tc>
      </w:tr>
      <w:tr w14:paraId="664F7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BA3032E">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5140291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209,712.00</w:t>
            </w:r>
          </w:p>
        </w:tc>
        <w:tc>
          <w:tcPr>
            <w:tcW w:w="1377" w:type="dxa"/>
            <w:tcBorders>
              <w:top w:val="single" w:color="auto" w:sz="2" w:space="0"/>
              <w:left w:val="single" w:color="auto" w:sz="2" w:space="0"/>
              <w:bottom w:val="single" w:color="auto" w:sz="2" w:space="0"/>
              <w:right w:val="single" w:color="auto" w:sz="2" w:space="0"/>
            </w:tcBorders>
            <w:vAlign w:val="center"/>
          </w:tcPr>
          <w:p w14:paraId="331EE75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209,712.00</w:t>
            </w:r>
          </w:p>
        </w:tc>
        <w:tc>
          <w:tcPr>
            <w:tcW w:w="1377" w:type="dxa"/>
            <w:tcBorders>
              <w:top w:val="single" w:color="auto" w:sz="2" w:space="0"/>
              <w:left w:val="single" w:color="auto" w:sz="2" w:space="0"/>
              <w:bottom w:val="single" w:color="auto" w:sz="2" w:space="0"/>
              <w:right w:val="single" w:color="auto" w:sz="2" w:space="0"/>
            </w:tcBorders>
            <w:vAlign w:val="center"/>
          </w:tcPr>
          <w:p w14:paraId="01F5A9F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209,712.00</w:t>
            </w:r>
          </w:p>
        </w:tc>
        <w:tc>
          <w:tcPr>
            <w:tcW w:w="1377" w:type="dxa"/>
            <w:tcBorders>
              <w:top w:val="single" w:color="auto" w:sz="2" w:space="0"/>
              <w:left w:val="single" w:color="auto" w:sz="2" w:space="0"/>
              <w:bottom w:val="single" w:color="auto" w:sz="2" w:space="0"/>
              <w:right w:val="single" w:color="auto" w:sz="2" w:space="0"/>
            </w:tcBorders>
            <w:vAlign w:val="center"/>
          </w:tcPr>
          <w:p w14:paraId="550A1A9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209,712.00</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5059510">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8C283DB"/>
        </w:tc>
      </w:tr>
    </w:tbl>
    <w:p w14:paraId="3217E1D3">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r>
        <w:rPr>
          <w:rFonts w:hint="default" w:ascii="Times New Roman" w:hAnsi="Times New Roman" w:eastAsia="宋体" w:cs="Times New Roman"/>
          <w:sz w:val="18"/>
          <w:szCs w:val="18"/>
        </w:rPr>
        <w:t>29,696,159.48</w:t>
      </w:r>
      <w:r>
        <w:rPr>
          <w:rFonts w:ascii="宋体" w:hAnsi="宋体" w:eastAsia="宋体" w:cs="宋体"/>
          <w:sz w:val="18"/>
          <w:szCs w:val="18"/>
        </w:rPr>
        <w:t>元</w:t>
      </w:r>
    </w:p>
    <w:p w14:paraId="496104B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18750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10B21AC">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32D7EAB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551B1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58009C1"/>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92B0811">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3DCF515">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5F76336">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14:paraId="78E88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62CB9FC">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年以内</w:t>
            </w:r>
          </w:p>
        </w:tc>
        <w:tc>
          <w:tcPr>
            <w:tcW w:w="2410" w:type="dxa"/>
            <w:tcBorders>
              <w:top w:val="single" w:color="auto" w:sz="2" w:space="0"/>
              <w:left w:val="single" w:color="auto" w:sz="2" w:space="0"/>
              <w:bottom w:val="single" w:color="auto" w:sz="2" w:space="0"/>
              <w:right w:val="single" w:color="auto" w:sz="2" w:space="0"/>
            </w:tcBorders>
            <w:vAlign w:val="center"/>
          </w:tcPr>
          <w:p w14:paraId="2A498B0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25,323,231.29</w:t>
            </w:r>
          </w:p>
        </w:tc>
        <w:tc>
          <w:tcPr>
            <w:tcW w:w="2410" w:type="dxa"/>
            <w:tcBorders>
              <w:top w:val="single" w:color="auto" w:sz="2" w:space="0"/>
              <w:left w:val="single" w:color="auto" w:sz="2" w:space="0"/>
              <w:bottom w:val="single" w:color="auto" w:sz="2" w:space="0"/>
              <w:right w:val="single" w:color="auto" w:sz="2" w:space="0"/>
            </w:tcBorders>
            <w:vAlign w:val="center"/>
          </w:tcPr>
          <w:p w14:paraId="11B5FB2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253,232.31</w:t>
            </w:r>
          </w:p>
        </w:tc>
        <w:tc>
          <w:tcPr>
            <w:tcW w:w="2410" w:type="dxa"/>
            <w:tcBorders>
              <w:top w:val="single" w:color="auto" w:sz="2" w:space="0"/>
              <w:left w:val="single" w:color="auto" w:sz="2" w:space="0"/>
              <w:bottom w:val="single" w:color="auto" w:sz="2" w:space="0"/>
              <w:right w:val="single" w:color="auto" w:sz="2" w:space="0"/>
            </w:tcBorders>
            <w:vAlign w:val="center"/>
          </w:tcPr>
          <w:p w14:paraId="7594390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w:t>
            </w:r>
          </w:p>
        </w:tc>
      </w:tr>
      <w:tr w14:paraId="28FF5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C7A7B72">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至</w:t>
            </w:r>
            <w:r>
              <w:rPr>
                <w:rFonts w:hint="default" w:ascii="Times New Roman" w:hAnsi="Times New Roman" w:eastAsia="宋体" w:cs="Times New Roman"/>
                <w:sz w:val="18"/>
                <w:szCs w:val="18"/>
              </w:rPr>
              <w:t>2</w:t>
            </w:r>
            <w:r>
              <w:rPr>
                <w:rFonts w:ascii="宋体" w:hAnsi="宋体" w:eastAsia="宋体" w:cs="宋体"/>
                <w:sz w:val="18"/>
                <w:szCs w:val="18"/>
              </w:rPr>
              <w:t>年</w:t>
            </w:r>
          </w:p>
        </w:tc>
        <w:tc>
          <w:tcPr>
            <w:tcW w:w="2410" w:type="dxa"/>
            <w:tcBorders>
              <w:top w:val="single" w:color="auto" w:sz="2" w:space="0"/>
              <w:left w:val="single" w:color="auto" w:sz="2" w:space="0"/>
              <w:bottom w:val="single" w:color="auto" w:sz="2" w:space="0"/>
              <w:right w:val="single" w:color="auto" w:sz="2" w:space="0"/>
            </w:tcBorders>
            <w:vAlign w:val="center"/>
          </w:tcPr>
          <w:p w14:paraId="20B8486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205,603.80</w:t>
            </w:r>
          </w:p>
        </w:tc>
        <w:tc>
          <w:tcPr>
            <w:tcW w:w="2410" w:type="dxa"/>
            <w:tcBorders>
              <w:top w:val="single" w:color="auto" w:sz="2" w:space="0"/>
              <w:left w:val="single" w:color="auto" w:sz="2" w:space="0"/>
              <w:bottom w:val="single" w:color="auto" w:sz="2" w:space="0"/>
              <w:right w:val="single" w:color="auto" w:sz="2" w:space="0"/>
            </w:tcBorders>
            <w:vAlign w:val="center"/>
          </w:tcPr>
          <w:p w14:paraId="743F266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20,560.38</w:t>
            </w:r>
          </w:p>
        </w:tc>
        <w:tc>
          <w:tcPr>
            <w:tcW w:w="2410" w:type="dxa"/>
            <w:tcBorders>
              <w:top w:val="single" w:color="auto" w:sz="2" w:space="0"/>
              <w:left w:val="single" w:color="auto" w:sz="2" w:space="0"/>
              <w:bottom w:val="single" w:color="auto" w:sz="2" w:space="0"/>
              <w:right w:val="single" w:color="auto" w:sz="2" w:space="0"/>
            </w:tcBorders>
            <w:vAlign w:val="center"/>
          </w:tcPr>
          <w:p w14:paraId="1276CDD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w:t>
            </w:r>
          </w:p>
        </w:tc>
      </w:tr>
      <w:tr w14:paraId="48218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6841335">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至</w:t>
            </w:r>
            <w:r>
              <w:rPr>
                <w:rFonts w:hint="default" w:ascii="Times New Roman" w:hAnsi="Times New Roman" w:eastAsia="宋体" w:cs="Times New Roman"/>
                <w:sz w:val="18"/>
                <w:szCs w:val="18"/>
              </w:rPr>
              <w:t>3</w:t>
            </w:r>
            <w:r>
              <w:rPr>
                <w:rFonts w:ascii="宋体" w:hAnsi="宋体" w:eastAsia="宋体" w:cs="宋体"/>
                <w:sz w:val="18"/>
                <w:szCs w:val="18"/>
              </w:rPr>
              <w:t>年</w:t>
            </w:r>
          </w:p>
        </w:tc>
        <w:tc>
          <w:tcPr>
            <w:tcW w:w="2410" w:type="dxa"/>
            <w:tcBorders>
              <w:top w:val="single" w:color="auto" w:sz="2" w:space="0"/>
              <w:left w:val="single" w:color="auto" w:sz="2" w:space="0"/>
              <w:bottom w:val="single" w:color="auto" w:sz="2" w:space="0"/>
              <w:right w:val="single" w:color="auto" w:sz="2" w:space="0"/>
            </w:tcBorders>
            <w:vAlign w:val="center"/>
          </w:tcPr>
          <w:p w14:paraId="1DC783E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231,849.50</w:t>
            </w:r>
          </w:p>
        </w:tc>
        <w:tc>
          <w:tcPr>
            <w:tcW w:w="2410" w:type="dxa"/>
            <w:tcBorders>
              <w:top w:val="single" w:color="auto" w:sz="2" w:space="0"/>
              <w:left w:val="single" w:color="auto" w:sz="2" w:space="0"/>
              <w:bottom w:val="single" w:color="auto" w:sz="2" w:space="0"/>
              <w:right w:val="single" w:color="auto" w:sz="2" w:space="0"/>
            </w:tcBorders>
            <w:vAlign w:val="center"/>
          </w:tcPr>
          <w:p w14:paraId="1DF2214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69,554.85</w:t>
            </w:r>
          </w:p>
        </w:tc>
        <w:tc>
          <w:tcPr>
            <w:tcW w:w="2410" w:type="dxa"/>
            <w:tcBorders>
              <w:top w:val="single" w:color="auto" w:sz="2" w:space="0"/>
              <w:left w:val="single" w:color="auto" w:sz="2" w:space="0"/>
              <w:bottom w:val="single" w:color="auto" w:sz="2" w:space="0"/>
              <w:right w:val="single" w:color="auto" w:sz="2" w:space="0"/>
            </w:tcBorders>
            <w:vAlign w:val="center"/>
          </w:tcPr>
          <w:p w14:paraId="0C525FF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w:t>
            </w:r>
          </w:p>
        </w:tc>
      </w:tr>
      <w:tr w14:paraId="1A5A0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B8B14EE">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至</w:t>
            </w:r>
            <w:r>
              <w:rPr>
                <w:rFonts w:hint="default" w:ascii="Times New Roman" w:hAnsi="Times New Roman" w:eastAsia="宋体" w:cs="Times New Roman"/>
                <w:sz w:val="18"/>
                <w:szCs w:val="18"/>
              </w:rPr>
              <w:t>4</w:t>
            </w:r>
            <w:r>
              <w:rPr>
                <w:rFonts w:ascii="宋体" w:hAnsi="宋体" w:eastAsia="宋体" w:cs="宋体"/>
                <w:sz w:val="18"/>
                <w:szCs w:val="18"/>
              </w:rPr>
              <w:t>年</w:t>
            </w:r>
          </w:p>
        </w:tc>
        <w:tc>
          <w:tcPr>
            <w:tcW w:w="2410" w:type="dxa"/>
            <w:tcBorders>
              <w:top w:val="single" w:color="auto" w:sz="2" w:space="0"/>
              <w:left w:val="single" w:color="auto" w:sz="2" w:space="0"/>
              <w:bottom w:val="single" w:color="auto" w:sz="2" w:space="0"/>
              <w:right w:val="single" w:color="auto" w:sz="2" w:space="0"/>
            </w:tcBorders>
            <w:vAlign w:val="center"/>
          </w:tcPr>
          <w:p w14:paraId="6B1E7F3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78,709.10</w:t>
            </w:r>
          </w:p>
        </w:tc>
        <w:tc>
          <w:tcPr>
            <w:tcW w:w="2410" w:type="dxa"/>
            <w:tcBorders>
              <w:top w:val="single" w:color="auto" w:sz="2" w:space="0"/>
              <w:left w:val="single" w:color="auto" w:sz="2" w:space="0"/>
              <w:bottom w:val="single" w:color="auto" w:sz="2" w:space="0"/>
              <w:right w:val="single" w:color="auto" w:sz="2" w:space="0"/>
            </w:tcBorders>
            <w:vAlign w:val="center"/>
          </w:tcPr>
          <w:p w14:paraId="071532F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39,354.55</w:t>
            </w:r>
          </w:p>
        </w:tc>
        <w:tc>
          <w:tcPr>
            <w:tcW w:w="2410" w:type="dxa"/>
            <w:tcBorders>
              <w:top w:val="single" w:color="auto" w:sz="2" w:space="0"/>
              <w:left w:val="single" w:color="auto" w:sz="2" w:space="0"/>
              <w:bottom w:val="single" w:color="auto" w:sz="2" w:space="0"/>
              <w:right w:val="single" w:color="auto" w:sz="2" w:space="0"/>
            </w:tcBorders>
            <w:vAlign w:val="center"/>
          </w:tcPr>
          <w:p w14:paraId="228F9A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w:t>
            </w:r>
          </w:p>
        </w:tc>
      </w:tr>
      <w:tr w14:paraId="62D41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AE926D1">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至</w:t>
            </w:r>
            <w:r>
              <w:rPr>
                <w:rFonts w:hint="default" w:ascii="Times New Roman" w:hAnsi="Times New Roman" w:eastAsia="宋体" w:cs="Times New Roman"/>
                <w:sz w:val="18"/>
                <w:szCs w:val="18"/>
              </w:rPr>
              <w:t>5</w:t>
            </w:r>
            <w:r>
              <w:rPr>
                <w:rFonts w:ascii="宋体" w:hAnsi="宋体" w:eastAsia="宋体" w:cs="宋体"/>
                <w:sz w:val="18"/>
                <w:szCs w:val="18"/>
              </w:rPr>
              <w:t>年</w:t>
            </w:r>
          </w:p>
        </w:tc>
        <w:tc>
          <w:tcPr>
            <w:tcW w:w="2410" w:type="dxa"/>
            <w:tcBorders>
              <w:top w:val="single" w:color="auto" w:sz="2" w:space="0"/>
              <w:left w:val="single" w:color="auto" w:sz="2" w:space="0"/>
              <w:bottom w:val="single" w:color="auto" w:sz="2" w:space="0"/>
              <w:right w:val="single" w:color="auto" w:sz="2" w:space="0"/>
            </w:tcBorders>
            <w:vAlign w:val="center"/>
          </w:tcPr>
          <w:p w14:paraId="6CAE8CB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5,984,256.07</w:t>
            </w:r>
          </w:p>
        </w:tc>
        <w:tc>
          <w:tcPr>
            <w:tcW w:w="2410" w:type="dxa"/>
            <w:tcBorders>
              <w:top w:val="single" w:color="auto" w:sz="2" w:space="0"/>
              <w:left w:val="single" w:color="auto" w:sz="2" w:space="0"/>
              <w:bottom w:val="single" w:color="auto" w:sz="2" w:space="0"/>
              <w:right w:val="single" w:color="auto" w:sz="2" w:space="0"/>
            </w:tcBorders>
            <w:vAlign w:val="center"/>
          </w:tcPr>
          <w:p w14:paraId="68CAD0C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4,787,404.86</w:t>
            </w:r>
          </w:p>
        </w:tc>
        <w:tc>
          <w:tcPr>
            <w:tcW w:w="2410" w:type="dxa"/>
            <w:tcBorders>
              <w:top w:val="single" w:color="auto" w:sz="2" w:space="0"/>
              <w:left w:val="single" w:color="auto" w:sz="2" w:space="0"/>
              <w:bottom w:val="single" w:color="auto" w:sz="2" w:space="0"/>
              <w:right w:val="single" w:color="auto" w:sz="2" w:space="0"/>
            </w:tcBorders>
            <w:vAlign w:val="center"/>
          </w:tcPr>
          <w:p w14:paraId="3999E5C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80.00%</w:t>
            </w:r>
          </w:p>
        </w:tc>
      </w:tr>
      <w:tr w14:paraId="407D9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F1D2145">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5</w:t>
            </w:r>
            <w:r>
              <w:rPr>
                <w:rFonts w:ascii="宋体" w:hAnsi="宋体" w:eastAsia="宋体" w:cs="宋体"/>
                <w:sz w:val="18"/>
                <w:szCs w:val="18"/>
              </w:rPr>
              <w:t>年以上</w:t>
            </w:r>
          </w:p>
        </w:tc>
        <w:tc>
          <w:tcPr>
            <w:tcW w:w="2410" w:type="dxa"/>
            <w:tcBorders>
              <w:top w:val="single" w:color="auto" w:sz="2" w:space="0"/>
              <w:left w:val="single" w:color="auto" w:sz="2" w:space="0"/>
              <w:bottom w:val="single" w:color="auto" w:sz="2" w:space="0"/>
              <w:right w:val="single" w:color="auto" w:sz="2" w:space="0"/>
            </w:tcBorders>
            <w:vAlign w:val="center"/>
          </w:tcPr>
          <w:p w14:paraId="265370A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24,526,052.53</w:t>
            </w:r>
          </w:p>
        </w:tc>
        <w:tc>
          <w:tcPr>
            <w:tcW w:w="2410" w:type="dxa"/>
            <w:tcBorders>
              <w:top w:val="single" w:color="auto" w:sz="2" w:space="0"/>
              <w:left w:val="single" w:color="auto" w:sz="2" w:space="0"/>
              <w:bottom w:val="single" w:color="auto" w:sz="2" w:space="0"/>
              <w:right w:val="single" w:color="auto" w:sz="2" w:space="0"/>
            </w:tcBorders>
            <w:vAlign w:val="center"/>
          </w:tcPr>
          <w:p w14:paraId="3778170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24,526,052.53</w:t>
            </w:r>
          </w:p>
        </w:tc>
        <w:tc>
          <w:tcPr>
            <w:tcW w:w="2410" w:type="dxa"/>
            <w:tcBorders>
              <w:top w:val="single" w:color="auto" w:sz="2" w:space="0"/>
              <w:left w:val="single" w:color="auto" w:sz="2" w:space="0"/>
              <w:bottom w:val="single" w:color="auto" w:sz="2" w:space="0"/>
              <w:right w:val="single" w:color="auto" w:sz="2" w:space="0"/>
            </w:tcBorders>
            <w:vAlign w:val="center"/>
          </w:tcPr>
          <w:p w14:paraId="7AD743E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w:t>
            </w:r>
          </w:p>
        </w:tc>
      </w:tr>
      <w:tr w14:paraId="0BD56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47470A1">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17372F2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56,349,702.29</w:t>
            </w:r>
          </w:p>
        </w:tc>
        <w:tc>
          <w:tcPr>
            <w:tcW w:w="2410" w:type="dxa"/>
            <w:tcBorders>
              <w:top w:val="single" w:color="auto" w:sz="2" w:space="0"/>
              <w:left w:val="single" w:color="auto" w:sz="2" w:space="0"/>
              <w:bottom w:val="single" w:color="auto" w:sz="2" w:space="0"/>
              <w:right w:val="single" w:color="auto" w:sz="2" w:space="0"/>
            </w:tcBorders>
            <w:vAlign w:val="center"/>
          </w:tcPr>
          <w:p w14:paraId="652025D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29,696,159.48</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C720537">
            <w:pPr>
              <w:spacing w:before="0" w:after="0" w:line="240" w:lineRule="exact"/>
              <w:jc w:val="right"/>
              <w:rPr>
                <w:rFonts w:hint="default" w:ascii="Times New Roman" w:hAnsi="Times New Roman" w:eastAsia="宋体" w:cs="Times New Roman"/>
                <w:sz w:val="18"/>
                <w:szCs w:val="18"/>
              </w:rPr>
            </w:pPr>
          </w:p>
        </w:tc>
      </w:tr>
    </w:tbl>
    <w:p w14:paraId="6F978FFD">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14:paraId="34856764">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r>
        <w:rPr>
          <w:rFonts w:hint="default" w:ascii="Times New Roman" w:hAnsi="Times New Roman" w:eastAsia="宋体" w:cs="Times New Roman"/>
          <w:sz w:val="18"/>
          <w:szCs w:val="18"/>
        </w:rPr>
        <w:t>0</w:t>
      </w:r>
      <w:r>
        <w:rPr>
          <w:rFonts w:ascii="宋体" w:hAnsi="宋体" w:eastAsia="宋体" w:cs="宋体"/>
          <w:sz w:val="18"/>
          <w:szCs w:val="18"/>
        </w:rPr>
        <w:t>元</w:t>
      </w:r>
    </w:p>
    <w:p w14:paraId="757014B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1BDA5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112CDCE">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377C75A4">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5322D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E0538B2"/>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848E31E">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1AF0E99">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0C80EBA">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14:paraId="1CEB4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FD1AF27">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年以内</w:t>
            </w:r>
          </w:p>
        </w:tc>
        <w:tc>
          <w:tcPr>
            <w:tcW w:w="2410" w:type="dxa"/>
            <w:tcBorders>
              <w:top w:val="single" w:color="auto" w:sz="2" w:space="0"/>
              <w:left w:val="single" w:color="auto" w:sz="2" w:space="0"/>
              <w:bottom w:val="single" w:color="auto" w:sz="2" w:space="0"/>
              <w:right w:val="single" w:color="auto" w:sz="2" w:space="0"/>
            </w:tcBorders>
            <w:vAlign w:val="center"/>
          </w:tcPr>
          <w:p w14:paraId="1F50AFE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1,582,360.71</w:t>
            </w:r>
          </w:p>
        </w:tc>
        <w:tc>
          <w:tcPr>
            <w:tcW w:w="2410" w:type="dxa"/>
            <w:tcBorders>
              <w:top w:val="single" w:color="auto" w:sz="2" w:space="0"/>
              <w:left w:val="single" w:color="auto" w:sz="2" w:space="0"/>
              <w:bottom w:val="single" w:color="auto" w:sz="2" w:space="0"/>
              <w:right w:val="single" w:color="auto" w:sz="2" w:space="0"/>
            </w:tcBorders>
            <w:vAlign w:val="center"/>
          </w:tcPr>
          <w:p w14:paraId="13A6E292">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DFE8CF1">
            <w:pPr>
              <w:spacing w:before="0" w:after="0" w:line="240" w:lineRule="exact"/>
              <w:jc w:val="right"/>
              <w:rPr>
                <w:rFonts w:ascii="宋体" w:hAnsi="宋体" w:eastAsia="宋体" w:cs="宋体"/>
                <w:sz w:val="18"/>
                <w:szCs w:val="18"/>
              </w:rPr>
            </w:pPr>
          </w:p>
        </w:tc>
      </w:tr>
      <w:tr w14:paraId="486B8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A6E232F">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w:t>
            </w:r>
            <w:r>
              <w:rPr>
                <w:rFonts w:hint="default" w:ascii="Times New Roman" w:hAnsi="Times New Roman" w:eastAsia="宋体" w:cs="Times New Roman"/>
                <w:sz w:val="18"/>
                <w:szCs w:val="18"/>
              </w:rPr>
              <w:t>4</w:t>
            </w:r>
            <w:r>
              <w:rPr>
                <w:rFonts w:ascii="宋体" w:hAnsi="宋体" w:eastAsia="宋体" w:cs="宋体"/>
                <w:sz w:val="18"/>
                <w:szCs w:val="18"/>
              </w:rPr>
              <w:t>年</w:t>
            </w:r>
          </w:p>
        </w:tc>
        <w:tc>
          <w:tcPr>
            <w:tcW w:w="2410" w:type="dxa"/>
            <w:tcBorders>
              <w:top w:val="single" w:color="auto" w:sz="2" w:space="0"/>
              <w:left w:val="single" w:color="auto" w:sz="2" w:space="0"/>
              <w:bottom w:val="single" w:color="auto" w:sz="2" w:space="0"/>
              <w:right w:val="single" w:color="auto" w:sz="2" w:space="0"/>
            </w:tcBorders>
            <w:vAlign w:val="center"/>
          </w:tcPr>
          <w:p w14:paraId="4950FCB8">
            <w:pPr>
              <w:spacing w:before="0" w:after="0" w:line="240" w:lineRule="exact"/>
              <w:jc w:val="right"/>
              <w:rPr>
                <w:rFonts w:hint="default"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151DEC62">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31D1ECC">
            <w:pPr>
              <w:spacing w:before="0" w:after="0" w:line="240" w:lineRule="exact"/>
              <w:jc w:val="right"/>
              <w:rPr>
                <w:rFonts w:ascii="宋体" w:hAnsi="宋体" w:eastAsia="宋体" w:cs="宋体"/>
                <w:sz w:val="18"/>
                <w:szCs w:val="18"/>
              </w:rPr>
            </w:pPr>
          </w:p>
        </w:tc>
      </w:tr>
      <w:tr w14:paraId="76E5B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42A9B22">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w:t>
            </w:r>
            <w:r>
              <w:rPr>
                <w:rFonts w:hint="default" w:ascii="Times New Roman" w:hAnsi="Times New Roman" w:eastAsia="宋体" w:cs="Times New Roman"/>
                <w:sz w:val="18"/>
                <w:szCs w:val="18"/>
              </w:rPr>
              <w:t>5</w:t>
            </w:r>
            <w:r>
              <w:rPr>
                <w:rFonts w:ascii="宋体" w:hAnsi="宋体" w:eastAsia="宋体" w:cs="宋体"/>
                <w:sz w:val="18"/>
                <w:szCs w:val="18"/>
              </w:rPr>
              <w:t>年</w:t>
            </w:r>
          </w:p>
        </w:tc>
        <w:tc>
          <w:tcPr>
            <w:tcW w:w="2410" w:type="dxa"/>
            <w:tcBorders>
              <w:top w:val="single" w:color="auto" w:sz="2" w:space="0"/>
              <w:left w:val="single" w:color="auto" w:sz="2" w:space="0"/>
              <w:bottom w:val="single" w:color="auto" w:sz="2" w:space="0"/>
              <w:right w:val="single" w:color="auto" w:sz="2" w:space="0"/>
            </w:tcBorders>
            <w:vAlign w:val="center"/>
          </w:tcPr>
          <w:p w14:paraId="0DBDAD7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805,000.00</w:t>
            </w:r>
          </w:p>
        </w:tc>
        <w:tc>
          <w:tcPr>
            <w:tcW w:w="2410" w:type="dxa"/>
            <w:tcBorders>
              <w:top w:val="single" w:color="auto" w:sz="2" w:space="0"/>
              <w:left w:val="single" w:color="auto" w:sz="2" w:space="0"/>
              <w:bottom w:val="single" w:color="auto" w:sz="2" w:space="0"/>
              <w:right w:val="single" w:color="auto" w:sz="2" w:space="0"/>
            </w:tcBorders>
            <w:vAlign w:val="center"/>
          </w:tcPr>
          <w:p w14:paraId="0F09F19B">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8EBADE1">
            <w:pPr>
              <w:spacing w:before="0" w:after="0" w:line="240" w:lineRule="exact"/>
              <w:jc w:val="right"/>
              <w:rPr>
                <w:rFonts w:ascii="宋体" w:hAnsi="宋体" w:eastAsia="宋体" w:cs="宋体"/>
                <w:sz w:val="18"/>
                <w:szCs w:val="18"/>
              </w:rPr>
            </w:pPr>
          </w:p>
        </w:tc>
      </w:tr>
      <w:tr w14:paraId="67C65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DDC0661">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2A9D989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2,387,360.71</w:t>
            </w:r>
          </w:p>
        </w:tc>
        <w:tc>
          <w:tcPr>
            <w:tcW w:w="2410" w:type="dxa"/>
            <w:tcBorders>
              <w:top w:val="single" w:color="auto" w:sz="2" w:space="0"/>
              <w:left w:val="single" w:color="auto" w:sz="2" w:space="0"/>
              <w:bottom w:val="single" w:color="auto" w:sz="2" w:space="0"/>
              <w:right w:val="single" w:color="auto" w:sz="2" w:space="0"/>
            </w:tcBorders>
            <w:vAlign w:val="center"/>
          </w:tcPr>
          <w:p w14:paraId="2AD8998B">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8284992"/>
        </w:tc>
      </w:tr>
    </w:tbl>
    <w:p w14:paraId="7451C47B">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14:paraId="5E3925D5">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w:t>
      </w:r>
    </w:p>
    <w:p w14:paraId="0CE971C1">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5A21450">
      <w:pPr>
        <w:keepNext/>
        <w:keepLines/>
        <w:spacing w:before="300" w:after="300" w:line="280" w:lineRule="exact"/>
        <w:jc w:val="left"/>
        <w:outlineLvl w:val="3"/>
        <w:rPr>
          <w:rFonts w:ascii="宋体" w:hAnsi="宋体" w:eastAsia="宋体" w:cs="宋体"/>
          <w:b/>
          <w:bCs/>
          <w:sz w:val="21"/>
          <w:szCs w:val="21"/>
        </w:rPr>
      </w:pPr>
      <w:bookmarkStart w:id="449" w:name="_Toc989246"/>
      <w:r>
        <w:rPr>
          <w:rFonts w:ascii="宋体" w:hAnsi="宋体" w:eastAsia="宋体" w:cs="宋体"/>
          <w:b/>
          <w:bCs/>
          <w:sz w:val="21"/>
          <w:szCs w:val="21"/>
        </w:rPr>
        <w:t>（</w:t>
      </w:r>
      <w:r>
        <w:rPr>
          <w:rFonts w:hint="default" w:ascii="Times New Roman" w:hAnsi="Times New Roman" w:eastAsia="宋体" w:cs="Times New Roman"/>
          <w:b/>
          <w:bCs/>
          <w:sz w:val="21"/>
          <w:szCs w:val="21"/>
        </w:rPr>
        <w:t>3</w:t>
      </w:r>
      <w:r>
        <w:rPr>
          <w:rFonts w:ascii="宋体" w:hAnsi="宋体" w:eastAsia="宋体" w:cs="宋体"/>
          <w:b/>
          <w:bCs/>
          <w:sz w:val="21"/>
          <w:szCs w:val="21"/>
        </w:rPr>
        <w:t>） 本期计提、收回或转回的坏账准备情况</w:t>
      </w:r>
      <w:bookmarkEnd w:id="449"/>
    </w:p>
    <w:p w14:paraId="755A030D">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14:paraId="78233A8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03EE2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1500873">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C6C3585">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727DBF69">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C32362F">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32C27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383E546"/>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9ABC814"/>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488376B">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8C37AB5">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C38BD43">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069D0D8">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95992AC"/>
        </w:tc>
      </w:tr>
      <w:tr w14:paraId="7C3C4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2D5271C">
            <w:pPr>
              <w:spacing w:before="0" w:after="0" w:line="240" w:lineRule="exact"/>
              <w:jc w:val="left"/>
              <w:rPr>
                <w:rFonts w:ascii="宋体" w:hAnsi="宋体" w:eastAsia="宋体" w:cs="宋体"/>
                <w:sz w:val="18"/>
                <w:szCs w:val="18"/>
              </w:rPr>
            </w:pPr>
            <w:r>
              <w:rPr>
                <w:rFonts w:ascii="宋体" w:hAnsi="宋体" w:eastAsia="宋体" w:cs="宋体"/>
                <w:sz w:val="18"/>
                <w:szCs w:val="18"/>
              </w:rPr>
              <w:t>按单项评估计提坏账准备的应收账款</w:t>
            </w:r>
          </w:p>
        </w:tc>
        <w:tc>
          <w:tcPr>
            <w:tcW w:w="1377" w:type="dxa"/>
            <w:tcBorders>
              <w:top w:val="single" w:color="auto" w:sz="2" w:space="0"/>
              <w:left w:val="single" w:color="auto" w:sz="2" w:space="0"/>
              <w:bottom w:val="single" w:color="auto" w:sz="2" w:space="0"/>
              <w:right w:val="single" w:color="auto" w:sz="2" w:space="0"/>
            </w:tcBorders>
            <w:vAlign w:val="center"/>
          </w:tcPr>
          <w:p w14:paraId="5D9E3B4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209,712.00</w:t>
            </w:r>
          </w:p>
        </w:tc>
        <w:tc>
          <w:tcPr>
            <w:tcW w:w="1377" w:type="dxa"/>
            <w:tcBorders>
              <w:top w:val="single" w:color="auto" w:sz="2" w:space="0"/>
              <w:left w:val="single" w:color="auto" w:sz="2" w:space="0"/>
              <w:bottom w:val="single" w:color="auto" w:sz="2" w:space="0"/>
              <w:right w:val="single" w:color="auto" w:sz="2" w:space="0"/>
            </w:tcBorders>
            <w:vAlign w:val="center"/>
          </w:tcPr>
          <w:p w14:paraId="377F8983">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679F111">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B1458F7">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B62476F">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754018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209,712.00</w:t>
            </w:r>
          </w:p>
        </w:tc>
      </w:tr>
      <w:tr w14:paraId="64DEF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7866AF9">
            <w:pPr>
              <w:spacing w:before="0" w:after="0" w:line="240" w:lineRule="exact"/>
              <w:jc w:val="left"/>
              <w:rPr>
                <w:rFonts w:ascii="宋体" w:hAnsi="宋体" w:eastAsia="宋体" w:cs="宋体"/>
                <w:sz w:val="18"/>
                <w:szCs w:val="18"/>
              </w:rPr>
            </w:pPr>
            <w:r>
              <w:rPr>
                <w:rFonts w:ascii="宋体" w:hAnsi="宋体" w:eastAsia="宋体" w:cs="宋体"/>
                <w:sz w:val="18"/>
                <w:szCs w:val="18"/>
              </w:rPr>
              <w:t>组合</w:t>
            </w:r>
            <w:r>
              <w:rPr>
                <w:rFonts w:hint="default" w:ascii="Times New Roman" w:hAnsi="Times New Roman" w:eastAsia="宋体" w:cs="Times New Roman"/>
                <w:sz w:val="18"/>
                <w:szCs w:val="18"/>
              </w:rPr>
              <w:t>1</w:t>
            </w:r>
            <w:r>
              <w:rPr>
                <w:rFonts w:ascii="宋体" w:hAnsi="宋体" w:eastAsia="宋体" w:cs="宋体"/>
                <w:sz w:val="18"/>
                <w:szCs w:val="18"/>
              </w:rPr>
              <w:t>：账龄分析组合</w:t>
            </w:r>
          </w:p>
        </w:tc>
        <w:tc>
          <w:tcPr>
            <w:tcW w:w="1377" w:type="dxa"/>
            <w:tcBorders>
              <w:top w:val="single" w:color="auto" w:sz="2" w:space="0"/>
              <w:left w:val="single" w:color="auto" w:sz="2" w:space="0"/>
              <w:bottom w:val="single" w:color="auto" w:sz="2" w:space="0"/>
              <w:right w:val="single" w:color="auto" w:sz="2" w:space="0"/>
            </w:tcBorders>
            <w:vAlign w:val="center"/>
          </w:tcPr>
          <w:p w14:paraId="06A7D9A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26,220,458.09</w:t>
            </w:r>
          </w:p>
        </w:tc>
        <w:tc>
          <w:tcPr>
            <w:tcW w:w="1377" w:type="dxa"/>
            <w:tcBorders>
              <w:top w:val="single" w:color="auto" w:sz="2" w:space="0"/>
              <w:left w:val="single" w:color="auto" w:sz="2" w:space="0"/>
              <w:bottom w:val="single" w:color="auto" w:sz="2" w:space="0"/>
              <w:right w:val="single" w:color="auto" w:sz="2" w:space="0"/>
            </w:tcBorders>
            <w:vAlign w:val="center"/>
          </w:tcPr>
          <w:p w14:paraId="4C4C639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3,475,701.39</w:t>
            </w:r>
          </w:p>
        </w:tc>
        <w:tc>
          <w:tcPr>
            <w:tcW w:w="1377" w:type="dxa"/>
            <w:tcBorders>
              <w:top w:val="single" w:color="auto" w:sz="2" w:space="0"/>
              <w:left w:val="single" w:color="auto" w:sz="2" w:space="0"/>
              <w:bottom w:val="single" w:color="auto" w:sz="2" w:space="0"/>
              <w:right w:val="single" w:color="auto" w:sz="2" w:space="0"/>
            </w:tcBorders>
            <w:vAlign w:val="center"/>
          </w:tcPr>
          <w:p w14:paraId="206B3313">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357069F">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8102E5D">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E65EB8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29,696,159.48</w:t>
            </w:r>
          </w:p>
        </w:tc>
      </w:tr>
      <w:tr w14:paraId="30FAA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5E7D5CE">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38603D6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26,430,170.09</w:t>
            </w:r>
          </w:p>
        </w:tc>
        <w:tc>
          <w:tcPr>
            <w:tcW w:w="1377" w:type="dxa"/>
            <w:tcBorders>
              <w:top w:val="single" w:color="auto" w:sz="2" w:space="0"/>
              <w:left w:val="single" w:color="auto" w:sz="2" w:space="0"/>
              <w:bottom w:val="single" w:color="auto" w:sz="2" w:space="0"/>
              <w:right w:val="single" w:color="auto" w:sz="2" w:space="0"/>
            </w:tcBorders>
            <w:vAlign w:val="center"/>
          </w:tcPr>
          <w:p w14:paraId="16EAA41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3,475,701.39</w:t>
            </w:r>
          </w:p>
        </w:tc>
        <w:tc>
          <w:tcPr>
            <w:tcW w:w="1377" w:type="dxa"/>
            <w:tcBorders>
              <w:top w:val="single" w:color="auto" w:sz="2" w:space="0"/>
              <w:left w:val="single" w:color="auto" w:sz="2" w:space="0"/>
              <w:bottom w:val="single" w:color="auto" w:sz="2" w:space="0"/>
              <w:right w:val="single" w:color="auto" w:sz="2" w:space="0"/>
            </w:tcBorders>
            <w:vAlign w:val="center"/>
          </w:tcPr>
          <w:p w14:paraId="5F071E8F">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38EB70D">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FF3A1D5">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823E37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29,905,871.48</w:t>
            </w:r>
          </w:p>
        </w:tc>
      </w:tr>
    </w:tbl>
    <w:p w14:paraId="6617A738">
      <w:pPr>
        <w:spacing w:before="0" w:after="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14:paraId="720EDE9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2F100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BCDA0C1">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8A028FD">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B08A887">
            <w:pPr>
              <w:spacing w:before="40" w:after="40" w:line="240" w:lineRule="exact"/>
              <w:jc w:val="center"/>
              <w:rPr>
                <w:rFonts w:ascii="宋体" w:hAnsi="宋体" w:eastAsia="宋体" w:cs="宋体"/>
                <w:sz w:val="18"/>
                <w:szCs w:val="18"/>
              </w:rPr>
            </w:pPr>
            <w:r>
              <w:rPr>
                <w:rFonts w:ascii="宋体" w:hAnsi="宋体" w:eastAsia="宋体" w:cs="宋体"/>
                <w:sz w:val="18"/>
                <w:szCs w:val="18"/>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3CE98A6">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328D3F2">
            <w:pPr>
              <w:spacing w:before="40" w:after="40" w:line="240" w:lineRule="exact"/>
              <w:jc w:val="center"/>
              <w:rPr>
                <w:rFonts w:ascii="宋体" w:hAnsi="宋体" w:eastAsia="宋体" w:cs="宋体"/>
                <w:sz w:val="18"/>
                <w:szCs w:val="18"/>
              </w:rPr>
            </w:pPr>
            <w:r>
              <w:rPr>
                <w:rFonts w:ascii="宋体" w:hAnsi="宋体" w:eastAsia="宋体" w:cs="宋体"/>
                <w:sz w:val="18"/>
                <w:szCs w:val="18"/>
              </w:rPr>
              <w:t>确定原坏账准备计提比例的依据及其合理性</w:t>
            </w:r>
          </w:p>
        </w:tc>
      </w:tr>
    </w:tbl>
    <w:p w14:paraId="3F274A9A">
      <w:pPr>
        <w:spacing w:before="0" w:after="0" w:line="0" w:lineRule="exact"/>
        <w:jc w:val="left"/>
      </w:pPr>
    </w:p>
    <w:p w14:paraId="5708F104">
      <w:pPr>
        <w:keepNext/>
        <w:keepLines/>
        <w:spacing w:before="300" w:after="300" w:line="280" w:lineRule="exact"/>
        <w:jc w:val="left"/>
        <w:outlineLvl w:val="3"/>
        <w:rPr>
          <w:rFonts w:ascii="宋体" w:hAnsi="宋体" w:eastAsia="宋体" w:cs="宋体"/>
          <w:b/>
          <w:bCs/>
          <w:sz w:val="21"/>
          <w:szCs w:val="21"/>
        </w:rPr>
      </w:pPr>
      <w:bookmarkStart w:id="450" w:name="_Toc989247"/>
      <w:r>
        <w:rPr>
          <w:rFonts w:ascii="宋体" w:hAnsi="宋体" w:eastAsia="宋体" w:cs="宋体"/>
          <w:b/>
          <w:bCs/>
          <w:sz w:val="21"/>
          <w:szCs w:val="21"/>
        </w:rPr>
        <w:t>（</w:t>
      </w:r>
      <w:r>
        <w:rPr>
          <w:rFonts w:hint="default" w:ascii="Times New Roman" w:hAnsi="Times New Roman" w:eastAsia="宋体" w:cs="Times New Roman"/>
          <w:b/>
          <w:bCs/>
          <w:sz w:val="21"/>
          <w:szCs w:val="21"/>
        </w:rPr>
        <w:t>4</w:t>
      </w:r>
      <w:r>
        <w:rPr>
          <w:rFonts w:ascii="宋体" w:hAnsi="宋体" w:eastAsia="宋体" w:cs="宋体"/>
          <w:b/>
          <w:bCs/>
          <w:sz w:val="21"/>
          <w:szCs w:val="21"/>
        </w:rPr>
        <w:t>） 按欠款方归集的期末余额前五名的应收账款和合同资产情况</w:t>
      </w:r>
      <w:bookmarkEnd w:id="450"/>
    </w:p>
    <w:p w14:paraId="1128E93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711F7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7E7AF63">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65F4AA5">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079151E">
            <w:pPr>
              <w:spacing w:before="40" w:after="40" w:line="240" w:lineRule="exact"/>
              <w:jc w:val="center"/>
              <w:rPr>
                <w:rFonts w:ascii="宋体" w:hAnsi="宋体" w:eastAsia="宋体" w:cs="宋体"/>
                <w:sz w:val="18"/>
                <w:szCs w:val="18"/>
              </w:rPr>
            </w:pPr>
            <w:r>
              <w:rPr>
                <w:rFonts w:ascii="宋体" w:hAnsi="宋体" w:eastAsia="宋体" w:cs="宋体"/>
                <w:sz w:val="18"/>
                <w:szCs w:val="18"/>
              </w:rPr>
              <w:t>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9800F84">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应收账款和合同资产期末余额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434E9E5">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占应收账款和合同资产期末余额合计数的比例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637DA0A">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应收账款坏账准备和合同资产减值准备期末余额</w:t>
            </w:r>
          </w:p>
        </w:tc>
      </w:tr>
      <w:tr w14:paraId="1B374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3CB3E10">
            <w:pPr>
              <w:spacing w:before="0" w:after="0" w:line="240" w:lineRule="exact"/>
              <w:jc w:val="left"/>
              <w:rPr>
                <w:rFonts w:ascii="宋体" w:hAnsi="宋体" w:eastAsia="宋体" w:cs="宋体"/>
                <w:sz w:val="18"/>
                <w:szCs w:val="18"/>
              </w:rPr>
            </w:pPr>
            <w:r>
              <w:rPr>
                <w:rFonts w:ascii="宋体" w:hAnsi="宋体" w:eastAsia="宋体" w:cs="宋体"/>
                <w:sz w:val="18"/>
                <w:szCs w:val="18"/>
              </w:rPr>
              <w:t>第一名</w:t>
            </w:r>
          </w:p>
        </w:tc>
        <w:tc>
          <w:tcPr>
            <w:tcW w:w="1606" w:type="dxa"/>
            <w:tcBorders>
              <w:top w:val="single" w:color="auto" w:sz="2" w:space="0"/>
              <w:left w:val="single" w:color="auto" w:sz="2" w:space="0"/>
              <w:bottom w:val="single" w:color="auto" w:sz="2" w:space="0"/>
              <w:right w:val="single" w:color="auto" w:sz="2" w:space="0"/>
            </w:tcBorders>
            <w:vAlign w:val="center"/>
          </w:tcPr>
          <w:p w14:paraId="36EE236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20,799,459.86</w:t>
            </w:r>
          </w:p>
        </w:tc>
        <w:tc>
          <w:tcPr>
            <w:tcW w:w="1606" w:type="dxa"/>
            <w:tcBorders>
              <w:top w:val="single" w:color="auto" w:sz="2" w:space="0"/>
              <w:left w:val="single" w:color="auto" w:sz="2" w:space="0"/>
              <w:bottom w:val="single" w:color="auto" w:sz="2" w:space="0"/>
              <w:right w:val="single" w:color="auto" w:sz="2" w:space="0"/>
            </w:tcBorders>
            <w:vAlign w:val="center"/>
          </w:tcPr>
          <w:p w14:paraId="67CBE0BB">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E724D6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20,799,459.86</w:t>
            </w:r>
          </w:p>
        </w:tc>
        <w:tc>
          <w:tcPr>
            <w:tcW w:w="1606" w:type="dxa"/>
            <w:tcBorders>
              <w:top w:val="single" w:color="auto" w:sz="2" w:space="0"/>
              <w:left w:val="single" w:color="auto" w:sz="2" w:space="0"/>
              <w:bottom w:val="single" w:color="auto" w:sz="2" w:space="0"/>
              <w:right w:val="single" w:color="auto" w:sz="2" w:space="0"/>
            </w:tcBorders>
            <w:vAlign w:val="center"/>
          </w:tcPr>
          <w:p w14:paraId="6E9744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35.29%</w:t>
            </w:r>
          </w:p>
        </w:tc>
        <w:tc>
          <w:tcPr>
            <w:tcW w:w="1606" w:type="dxa"/>
            <w:tcBorders>
              <w:top w:val="single" w:color="auto" w:sz="2" w:space="0"/>
              <w:left w:val="single" w:color="auto" w:sz="2" w:space="0"/>
              <w:bottom w:val="single" w:color="auto" w:sz="2" w:space="0"/>
              <w:right w:val="single" w:color="auto" w:sz="2" w:space="0"/>
            </w:tcBorders>
            <w:vAlign w:val="center"/>
          </w:tcPr>
          <w:p w14:paraId="07506DA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207,994.60</w:t>
            </w:r>
          </w:p>
        </w:tc>
      </w:tr>
      <w:tr w14:paraId="0E24A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FB8C7E8">
            <w:pPr>
              <w:spacing w:before="0" w:after="0" w:line="240" w:lineRule="exact"/>
              <w:jc w:val="left"/>
              <w:rPr>
                <w:rFonts w:ascii="宋体" w:hAnsi="宋体" w:eastAsia="宋体" w:cs="宋体"/>
                <w:sz w:val="18"/>
                <w:szCs w:val="18"/>
              </w:rPr>
            </w:pPr>
            <w:r>
              <w:rPr>
                <w:rFonts w:ascii="宋体" w:hAnsi="宋体" w:eastAsia="宋体" w:cs="宋体"/>
                <w:sz w:val="18"/>
                <w:szCs w:val="18"/>
              </w:rPr>
              <w:t>第二名</w:t>
            </w:r>
          </w:p>
        </w:tc>
        <w:tc>
          <w:tcPr>
            <w:tcW w:w="1606" w:type="dxa"/>
            <w:tcBorders>
              <w:top w:val="single" w:color="auto" w:sz="2" w:space="0"/>
              <w:left w:val="single" w:color="auto" w:sz="2" w:space="0"/>
              <w:bottom w:val="single" w:color="auto" w:sz="2" w:space="0"/>
              <w:right w:val="single" w:color="auto" w:sz="2" w:space="0"/>
            </w:tcBorders>
            <w:vAlign w:val="center"/>
          </w:tcPr>
          <w:p w14:paraId="7B9A190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22,192,749.00</w:t>
            </w:r>
          </w:p>
        </w:tc>
        <w:tc>
          <w:tcPr>
            <w:tcW w:w="1606" w:type="dxa"/>
            <w:tcBorders>
              <w:top w:val="single" w:color="auto" w:sz="2" w:space="0"/>
              <w:left w:val="single" w:color="auto" w:sz="2" w:space="0"/>
              <w:bottom w:val="single" w:color="auto" w:sz="2" w:space="0"/>
              <w:right w:val="single" w:color="auto" w:sz="2" w:space="0"/>
            </w:tcBorders>
            <w:vAlign w:val="center"/>
          </w:tcPr>
          <w:p w14:paraId="0AECBF20">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D9532A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22,192,749.00</w:t>
            </w:r>
          </w:p>
        </w:tc>
        <w:tc>
          <w:tcPr>
            <w:tcW w:w="1606" w:type="dxa"/>
            <w:tcBorders>
              <w:top w:val="single" w:color="auto" w:sz="2" w:space="0"/>
              <w:left w:val="single" w:color="auto" w:sz="2" w:space="0"/>
              <w:bottom w:val="single" w:color="auto" w:sz="2" w:space="0"/>
              <w:right w:val="single" w:color="auto" w:sz="2" w:space="0"/>
            </w:tcBorders>
            <w:vAlign w:val="center"/>
          </w:tcPr>
          <w:p w14:paraId="18FCEA9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37.65%</w:t>
            </w:r>
          </w:p>
        </w:tc>
        <w:tc>
          <w:tcPr>
            <w:tcW w:w="1606" w:type="dxa"/>
            <w:tcBorders>
              <w:top w:val="single" w:color="auto" w:sz="2" w:space="0"/>
              <w:left w:val="single" w:color="auto" w:sz="2" w:space="0"/>
              <w:bottom w:val="single" w:color="auto" w:sz="2" w:space="0"/>
              <w:right w:val="single" w:color="auto" w:sz="2" w:space="0"/>
            </w:tcBorders>
            <w:vAlign w:val="center"/>
          </w:tcPr>
          <w:p w14:paraId="5CE59B0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21,008,726.20</w:t>
            </w:r>
          </w:p>
        </w:tc>
      </w:tr>
      <w:tr w14:paraId="0614D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88AAC5D">
            <w:pPr>
              <w:spacing w:before="0" w:after="0" w:line="240" w:lineRule="exact"/>
              <w:jc w:val="left"/>
              <w:rPr>
                <w:rFonts w:ascii="宋体" w:hAnsi="宋体" w:eastAsia="宋体" w:cs="宋体"/>
                <w:sz w:val="18"/>
                <w:szCs w:val="18"/>
              </w:rPr>
            </w:pPr>
            <w:r>
              <w:rPr>
                <w:rFonts w:ascii="宋体" w:hAnsi="宋体" w:eastAsia="宋体" w:cs="宋体"/>
                <w:sz w:val="18"/>
                <w:szCs w:val="18"/>
              </w:rPr>
              <w:t>第三名</w:t>
            </w:r>
          </w:p>
        </w:tc>
        <w:tc>
          <w:tcPr>
            <w:tcW w:w="1606" w:type="dxa"/>
            <w:tcBorders>
              <w:top w:val="single" w:color="auto" w:sz="2" w:space="0"/>
              <w:left w:val="single" w:color="auto" w:sz="2" w:space="0"/>
              <w:bottom w:val="single" w:color="auto" w:sz="2" w:space="0"/>
              <w:right w:val="single" w:color="auto" w:sz="2" w:space="0"/>
            </w:tcBorders>
            <w:vAlign w:val="center"/>
          </w:tcPr>
          <w:p w14:paraId="2609B6B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3,146,850.00</w:t>
            </w:r>
          </w:p>
        </w:tc>
        <w:tc>
          <w:tcPr>
            <w:tcW w:w="1606" w:type="dxa"/>
            <w:tcBorders>
              <w:top w:val="single" w:color="auto" w:sz="2" w:space="0"/>
              <w:left w:val="single" w:color="auto" w:sz="2" w:space="0"/>
              <w:bottom w:val="single" w:color="auto" w:sz="2" w:space="0"/>
              <w:right w:val="single" w:color="auto" w:sz="2" w:space="0"/>
            </w:tcBorders>
            <w:vAlign w:val="center"/>
          </w:tcPr>
          <w:p w14:paraId="15A81C30">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A777D2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3,146,850.00</w:t>
            </w:r>
          </w:p>
        </w:tc>
        <w:tc>
          <w:tcPr>
            <w:tcW w:w="1606" w:type="dxa"/>
            <w:tcBorders>
              <w:top w:val="single" w:color="auto" w:sz="2" w:space="0"/>
              <w:left w:val="single" w:color="auto" w:sz="2" w:space="0"/>
              <w:bottom w:val="single" w:color="auto" w:sz="2" w:space="0"/>
              <w:right w:val="single" w:color="auto" w:sz="2" w:space="0"/>
            </w:tcBorders>
            <w:vAlign w:val="center"/>
          </w:tcPr>
          <w:p w14:paraId="0B0425D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5.34%</w:t>
            </w:r>
          </w:p>
        </w:tc>
        <w:tc>
          <w:tcPr>
            <w:tcW w:w="1606" w:type="dxa"/>
            <w:tcBorders>
              <w:top w:val="single" w:color="auto" w:sz="2" w:space="0"/>
              <w:left w:val="single" w:color="auto" w:sz="2" w:space="0"/>
              <w:bottom w:val="single" w:color="auto" w:sz="2" w:space="0"/>
              <w:right w:val="single" w:color="auto" w:sz="2" w:space="0"/>
            </w:tcBorders>
            <w:vAlign w:val="center"/>
          </w:tcPr>
          <w:p w14:paraId="000A8B5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3,146,850.00</w:t>
            </w:r>
          </w:p>
        </w:tc>
      </w:tr>
      <w:tr w14:paraId="6F3A1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7C03615">
            <w:pPr>
              <w:spacing w:before="0" w:after="0" w:line="240" w:lineRule="exact"/>
              <w:jc w:val="left"/>
              <w:rPr>
                <w:rFonts w:ascii="宋体" w:hAnsi="宋体" w:eastAsia="宋体" w:cs="宋体"/>
                <w:sz w:val="18"/>
                <w:szCs w:val="18"/>
              </w:rPr>
            </w:pPr>
            <w:r>
              <w:rPr>
                <w:rFonts w:ascii="宋体" w:hAnsi="宋体" w:eastAsia="宋体" w:cs="宋体"/>
                <w:sz w:val="18"/>
                <w:szCs w:val="18"/>
              </w:rPr>
              <w:t>第四名</w:t>
            </w:r>
          </w:p>
        </w:tc>
        <w:tc>
          <w:tcPr>
            <w:tcW w:w="1606" w:type="dxa"/>
            <w:tcBorders>
              <w:top w:val="single" w:color="auto" w:sz="2" w:space="0"/>
              <w:left w:val="single" w:color="auto" w:sz="2" w:space="0"/>
              <w:bottom w:val="single" w:color="auto" w:sz="2" w:space="0"/>
              <w:right w:val="single" w:color="auto" w:sz="2" w:space="0"/>
            </w:tcBorders>
            <w:vAlign w:val="center"/>
          </w:tcPr>
          <w:p w14:paraId="799ECDC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978,978.00</w:t>
            </w:r>
          </w:p>
        </w:tc>
        <w:tc>
          <w:tcPr>
            <w:tcW w:w="1606" w:type="dxa"/>
            <w:tcBorders>
              <w:top w:val="single" w:color="auto" w:sz="2" w:space="0"/>
              <w:left w:val="single" w:color="auto" w:sz="2" w:space="0"/>
              <w:bottom w:val="single" w:color="auto" w:sz="2" w:space="0"/>
              <w:right w:val="single" w:color="auto" w:sz="2" w:space="0"/>
            </w:tcBorders>
            <w:vAlign w:val="center"/>
          </w:tcPr>
          <w:p w14:paraId="78DF83B2">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465CB9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978,978.00</w:t>
            </w:r>
          </w:p>
        </w:tc>
        <w:tc>
          <w:tcPr>
            <w:tcW w:w="1606" w:type="dxa"/>
            <w:tcBorders>
              <w:top w:val="single" w:color="auto" w:sz="2" w:space="0"/>
              <w:left w:val="single" w:color="auto" w:sz="2" w:space="0"/>
              <w:bottom w:val="single" w:color="auto" w:sz="2" w:space="0"/>
              <w:right w:val="single" w:color="auto" w:sz="2" w:space="0"/>
            </w:tcBorders>
            <w:vAlign w:val="center"/>
          </w:tcPr>
          <w:p w14:paraId="6592F44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1.66%</w:t>
            </w:r>
          </w:p>
        </w:tc>
        <w:tc>
          <w:tcPr>
            <w:tcW w:w="1606" w:type="dxa"/>
            <w:tcBorders>
              <w:top w:val="single" w:color="auto" w:sz="2" w:space="0"/>
              <w:left w:val="single" w:color="auto" w:sz="2" w:space="0"/>
              <w:bottom w:val="single" w:color="auto" w:sz="2" w:space="0"/>
              <w:right w:val="single" w:color="auto" w:sz="2" w:space="0"/>
            </w:tcBorders>
            <w:vAlign w:val="center"/>
          </w:tcPr>
          <w:p w14:paraId="6CC39A4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978,978.00</w:t>
            </w:r>
          </w:p>
        </w:tc>
      </w:tr>
      <w:tr w14:paraId="3046A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E0D4B98">
            <w:pPr>
              <w:spacing w:before="0" w:after="0" w:line="240" w:lineRule="exact"/>
              <w:jc w:val="left"/>
              <w:rPr>
                <w:rFonts w:ascii="宋体" w:hAnsi="宋体" w:eastAsia="宋体" w:cs="宋体"/>
                <w:sz w:val="18"/>
                <w:szCs w:val="18"/>
              </w:rPr>
            </w:pPr>
            <w:r>
              <w:rPr>
                <w:rFonts w:ascii="宋体" w:hAnsi="宋体" w:eastAsia="宋体" w:cs="宋体"/>
                <w:sz w:val="18"/>
                <w:szCs w:val="18"/>
              </w:rPr>
              <w:t>第五名</w:t>
            </w:r>
          </w:p>
        </w:tc>
        <w:tc>
          <w:tcPr>
            <w:tcW w:w="1606" w:type="dxa"/>
            <w:tcBorders>
              <w:top w:val="single" w:color="auto" w:sz="2" w:space="0"/>
              <w:left w:val="single" w:color="auto" w:sz="2" w:space="0"/>
              <w:bottom w:val="single" w:color="auto" w:sz="2" w:space="0"/>
              <w:right w:val="single" w:color="auto" w:sz="2" w:space="0"/>
            </w:tcBorders>
            <w:vAlign w:val="center"/>
          </w:tcPr>
          <w:p w14:paraId="72F8148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1,520,768.92</w:t>
            </w:r>
          </w:p>
        </w:tc>
        <w:tc>
          <w:tcPr>
            <w:tcW w:w="1606" w:type="dxa"/>
            <w:tcBorders>
              <w:top w:val="single" w:color="auto" w:sz="2" w:space="0"/>
              <w:left w:val="single" w:color="auto" w:sz="2" w:space="0"/>
              <w:bottom w:val="single" w:color="auto" w:sz="2" w:space="0"/>
              <w:right w:val="single" w:color="auto" w:sz="2" w:space="0"/>
            </w:tcBorders>
            <w:vAlign w:val="center"/>
          </w:tcPr>
          <w:p w14:paraId="7DF28DAB">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3247DF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1,520,768.92</w:t>
            </w:r>
          </w:p>
        </w:tc>
        <w:tc>
          <w:tcPr>
            <w:tcW w:w="1606" w:type="dxa"/>
            <w:tcBorders>
              <w:top w:val="single" w:color="auto" w:sz="2" w:space="0"/>
              <w:left w:val="single" w:color="auto" w:sz="2" w:space="0"/>
              <w:bottom w:val="single" w:color="auto" w:sz="2" w:space="0"/>
              <w:right w:val="single" w:color="auto" w:sz="2" w:space="0"/>
            </w:tcBorders>
            <w:vAlign w:val="center"/>
          </w:tcPr>
          <w:p w14:paraId="46EC03A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2.58%</w:t>
            </w:r>
          </w:p>
        </w:tc>
        <w:tc>
          <w:tcPr>
            <w:tcW w:w="1606" w:type="dxa"/>
            <w:tcBorders>
              <w:top w:val="single" w:color="auto" w:sz="2" w:space="0"/>
              <w:left w:val="single" w:color="auto" w:sz="2" w:space="0"/>
              <w:bottom w:val="single" w:color="auto" w:sz="2" w:space="0"/>
              <w:right w:val="single" w:color="auto" w:sz="2" w:space="0"/>
            </w:tcBorders>
            <w:vAlign w:val="center"/>
          </w:tcPr>
          <w:p w14:paraId="3803818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15,207.69</w:t>
            </w:r>
          </w:p>
        </w:tc>
      </w:tr>
      <w:tr w14:paraId="70408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39E2754">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14:paraId="6A2A562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48,638,805.78</w:t>
            </w:r>
          </w:p>
        </w:tc>
        <w:tc>
          <w:tcPr>
            <w:tcW w:w="1606" w:type="dxa"/>
            <w:tcBorders>
              <w:top w:val="single" w:color="auto" w:sz="2" w:space="0"/>
              <w:left w:val="single" w:color="auto" w:sz="2" w:space="0"/>
              <w:bottom w:val="single" w:color="auto" w:sz="2" w:space="0"/>
              <w:right w:val="single" w:color="auto" w:sz="2" w:space="0"/>
            </w:tcBorders>
            <w:vAlign w:val="center"/>
          </w:tcPr>
          <w:p w14:paraId="599779A1">
            <w:pPr>
              <w:spacing w:before="0" w:after="0" w:line="240" w:lineRule="exact"/>
              <w:jc w:val="right"/>
              <w:rPr>
                <w:rFonts w:hint="default"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638023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48,638,805.78</w:t>
            </w:r>
          </w:p>
        </w:tc>
        <w:tc>
          <w:tcPr>
            <w:tcW w:w="1606" w:type="dxa"/>
            <w:tcBorders>
              <w:top w:val="single" w:color="auto" w:sz="2" w:space="0"/>
              <w:left w:val="single" w:color="auto" w:sz="2" w:space="0"/>
              <w:bottom w:val="single" w:color="auto" w:sz="2" w:space="0"/>
              <w:right w:val="single" w:color="auto" w:sz="2" w:space="0"/>
            </w:tcBorders>
            <w:vAlign w:val="center"/>
          </w:tcPr>
          <w:p w14:paraId="182B352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82.52%</w:t>
            </w:r>
          </w:p>
        </w:tc>
        <w:tc>
          <w:tcPr>
            <w:tcW w:w="1606" w:type="dxa"/>
            <w:tcBorders>
              <w:top w:val="single" w:color="auto" w:sz="2" w:space="0"/>
              <w:left w:val="single" w:color="auto" w:sz="2" w:space="0"/>
              <w:bottom w:val="single" w:color="auto" w:sz="2" w:space="0"/>
              <w:right w:val="single" w:color="auto" w:sz="2" w:space="0"/>
            </w:tcBorders>
            <w:vAlign w:val="center"/>
          </w:tcPr>
          <w:p w14:paraId="00137A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25,357,756.49</w:t>
            </w:r>
          </w:p>
        </w:tc>
      </w:tr>
    </w:tbl>
    <w:p w14:paraId="3F500F78">
      <w:pPr>
        <w:pStyle w:val="3"/>
        <w:keepNext/>
        <w:keepLines/>
        <w:spacing w:before="300" w:after="300" w:line="280" w:lineRule="exact"/>
        <w:jc w:val="left"/>
        <w:outlineLvl w:val="2"/>
        <w:rPr>
          <w:rFonts w:ascii="宋体" w:hAnsi="宋体" w:eastAsia="宋体" w:cs="宋体"/>
          <w:b/>
          <w:bCs/>
          <w:sz w:val="21"/>
          <w:szCs w:val="21"/>
        </w:rPr>
      </w:pPr>
      <w:bookmarkStart w:id="451" w:name="_Toc989248"/>
      <w:r>
        <w:rPr>
          <w:rFonts w:hint="default" w:ascii="Times New Roman" w:hAnsi="Times New Roman" w:eastAsia="宋体" w:cs="Times New Roman"/>
          <w:b/>
          <w:bCs/>
          <w:sz w:val="21"/>
          <w:szCs w:val="21"/>
        </w:rPr>
        <w:t>2</w:t>
      </w:r>
      <w:r>
        <w:rPr>
          <w:rFonts w:ascii="宋体" w:hAnsi="宋体" w:eastAsia="宋体" w:cs="宋体"/>
          <w:b/>
          <w:bCs/>
          <w:sz w:val="21"/>
          <w:szCs w:val="21"/>
        </w:rPr>
        <w:t>、其他应收款</w:t>
      </w:r>
      <w:bookmarkEnd w:id="451"/>
    </w:p>
    <w:p w14:paraId="6DF21D0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F14F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D6BF22">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65543A">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646383">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1F796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62B904">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14:paraId="7401955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341,060,946.66</w:t>
            </w:r>
          </w:p>
        </w:tc>
        <w:tc>
          <w:tcPr>
            <w:tcW w:w="3213" w:type="dxa"/>
            <w:tcBorders>
              <w:top w:val="single" w:color="auto" w:sz="2" w:space="0"/>
              <w:left w:val="single" w:color="auto" w:sz="2" w:space="0"/>
              <w:bottom w:val="single" w:color="auto" w:sz="2" w:space="0"/>
              <w:right w:val="single" w:color="auto" w:sz="2" w:space="0"/>
            </w:tcBorders>
            <w:vAlign w:val="center"/>
          </w:tcPr>
          <w:p w14:paraId="36B2D56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262,126,002.18</w:t>
            </w:r>
          </w:p>
        </w:tc>
      </w:tr>
      <w:tr w14:paraId="634DC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BCCD36">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066A6D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341,060,946.66</w:t>
            </w:r>
          </w:p>
        </w:tc>
        <w:tc>
          <w:tcPr>
            <w:tcW w:w="3213" w:type="dxa"/>
            <w:tcBorders>
              <w:top w:val="single" w:color="auto" w:sz="2" w:space="0"/>
              <w:left w:val="single" w:color="auto" w:sz="2" w:space="0"/>
              <w:bottom w:val="single" w:color="auto" w:sz="2" w:space="0"/>
              <w:right w:val="single" w:color="auto" w:sz="2" w:space="0"/>
            </w:tcBorders>
            <w:vAlign w:val="center"/>
          </w:tcPr>
          <w:p w14:paraId="5DD0CC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262,126,002.18</w:t>
            </w:r>
          </w:p>
        </w:tc>
      </w:tr>
    </w:tbl>
    <w:p w14:paraId="3A56242B">
      <w:pPr>
        <w:keepNext/>
        <w:keepLines/>
        <w:spacing w:before="300" w:after="300" w:line="280" w:lineRule="exact"/>
        <w:jc w:val="left"/>
        <w:outlineLvl w:val="3"/>
        <w:rPr>
          <w:rFonts w:ascii="宋体" w:hAnsi="宋体" w:eastAsia="宋体" w:cs="宋体"/>
          <w:b/>
          <w:bCs/>
          <w:sz w:val="18"/>
          <w:szCs w:val="18"/>
        </w:rPr>
      </w:pPr>
      <w:bookmarkStart w:id="452" w:name="_Toc989249"/>
      <w:r>
        <w:rPr>
          <w:rFonts w:ascii="宋体" w:hAnsi="宋体" w:eastAsia="宋体" w:cs="宋体"/>
          <w:b/>
          <w:bCs/>
          <w:sz w:val="18"/>
          <w:szCs w:val="18"/>
        </w:rPr>
        <w:t>（</w:t>
      </w:r>
      <w:r>
        <w:rPr>
          <w:rFonts w:hint="default" w:ascii="Times New Roman" w:hAnsi="Times New Roman" w:eastAsia="宋体" w:cs="Times New Roman"/>
          <w:b/>
          <w:bCs/>
          <w:sz w:val="18"/>
          <w:szCs w:val="18"/>
        </w:rPr>
        <w:t>1</w:t>
      </w:r>
      <w:r>
        <w:rPr>
          <w:rFonts w:ascii="宋体" w:hAnsi="宋体" w:eastAsia="宋体" w:cs="宋体"/>
          <w:b/>
          <w:bCs/>
          <w:sz w:val="18"/>
          <w:szCs w:val="18"/>
        </w:rPr>
        <w:t>） 其他应收款</w:t>
      </w:r>
      <w:bookmarkEnd w:id="452"/>
    </w:p>
    <w:p w14:paraId="23E1685E">
      <w:pPr>
        <w:keepNext/>
        <w:keepLines/>
        <w:spacing w:before="300" w:after="300" w:line="280" w:lineRule="exact"/>
        <w:jc w:val="left"/>
        <w:outlineLvl w:val="4"/>
        <w:rPr>
          <w:rFonts w:ascii="宋体" w:hAnsi="宋体" w:eastAsia="宋体" w:cs="宋体"/>
          <w:b/>
          <w:bCs/>
          <w:sz w:val="18"/>
          <w:szCs w:val="18"/>
        </w:rPr>
      </w:pPr>
      <w:bookmarkStart w:id="453" w:name="_Toc989250"/>
      <w:r>
        <w:rPr>
          <w:rFonts w:hint="default" w:ascii="Times New Roman" w:hAnsi="Times New Roman" w:eastAsia="宋体" w:cs="Times New Roman"/>
          <w:b/>
          <w:bCs/>
          <w:sz w:val="18"/>
          <w:szCs w:val="18"/>
        </w:rPr>
        <w:t>1</w:t>
      </w:r>
      <w:r>
        <w:rPr>
          <w:rFonts w:ascii="宋体" w:hAnsi="宋体" w:eastAsia="宋体" w:cs="宋体"/>
          <w:b/>
          <w:bCs/>
          <w:sz w:val="18"/>
          <w:szCs w:val="18"/>
        </w:rPr>
        <w:t>） 其他应收款按款项性质分类情况</w:t>
      </w:r>
      <w:bookmarkEnd w:id="453"/>
    </w:p>
    <w:p w14:paraId="74A1DAB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1991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111647">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6E5E59">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2D455C">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26867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F975EDD">
            <w:pPr>
              <w:spacing w:before="0" w:after="0" w:line="240" w:lineRule="exact"/>
              <w:jc w:val="left"/>
              <w:rPr>
                <w:rFonts w:ascii="宋体" w:hAnsi="宋体" w:eastAsia="宋体" w:cs="宋体"/>
                <w:sz w:val="18"/>
                <w:szCs w:val="18"/>
              </w:rPr>
            </w:pPr>
            <w:r>
              <w:rPr>
                <w:rFonts w:ascii="宋体" w:hAnsi="宋体" w:eastAsia="宋体" w:cs="宋体"/>
                <w:sz w:val="18"/>
                <w:szCs w:val="18"/>
              </w:rPr>
              <w:t>合并范围内往来款</w:t>
            </w:r>
          </w:p>
        </w:tc>
        <w:tc>
          <w:tcPr>
            <w:tcW w:w="3213" w:type="dxa"/>
            <w:tcBorders>
              <w:top w:val="single" w:color="auto" w:sz="2" w:space="0"/>
              <w:left w:val="single" w:color="auto" w:sz="2" w:space="0"/>
              <w:bottom w:val="single" w:color="auto" w:sz="2" w:space="0"/>
              <w:right w:val="single" w:color="auto" w:sz="2" w:space="0"/>
            </w:tcBorders>
            <w:vAlign w:val="center"/>
          </w:tcPr>
          <w:p w14:paraId="54ECA5F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340,137,899.57</w:t>
            </w:r>
          </w:p>
        </w:tc>
        <w:tc>
          <w:tcPr>
            <w:tcW w:w="3213" w:type="dxa"/>
            <w:tcBorders>
              <w:top w:val="single" w:color="auto" w:sz="2" w:space="0"/>
              <w:left w:val="single" w:color="auto" w:sz="2" w:space="0"/>
              <w:bottom w:val="single" w:color="auto" w:sz="2" w:space="0"/>
              <w:right w:val="single" w:color="auto" w:sz="2" w:space="0"/>
            </w:tcBorders>
            <w:vAlign w:val="center"/>
          </w:tcPr>
          <w:p w14:paraId="07DAA52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260,825,408.84</w:t>
            </w:r>
          </w:p>
        </w:tc>
      </w:tr>
      <w:tr w14:paraId="1C3F0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7A1B141">
            <w:pPr>
              <w:spacing w:before="0" w:after="0" w:line="240" w:lineRule="exact"/>
              <w:jc w:val="left"/>
              <w:rPr>
                <w:rFonts w:ascii="宋体" w:hAnsi="宋体" w:eastAsia="宋体" w:cs="宋体"/>
                <w:sz w:val="18"/>
                <w:szCs w:val="18"/>
              </w:rPr>
            </w:pPr>
            <w:r>
              <w:rPr>
                <w:rFonts w:ascii="宋体" w:hAnsi="宋体" w:eastAsia="宋体" w:cs="宋体"/>
                <w:sz w:val="18"/>
                <w:szCs w:val="18"/>
              </w:rPr>
              <w:t>备用金</w:t>
            </w:r>
          </w:p>
        </w:tc>
        <w:tc>
          <w:tcPr>
            <w:tcW w:w="3213" w:type="dxa"/>
            <w:tcBorders>
              <w:top w:val="single" w:color="auto" w:sz="2" w:space="0"/>
              <w:left w:val="single" w:color="auto" w:sz="2" w:space="0"/>
              <w:bottom w:val="single" w:color="auto" w:sz="2" w:space="0"/>
              <w:right w:val="single" w:color="auto" w:sz="2" w:space="0"/>
            </w:tcBorders>
            <w:vAlign w:val="center"/>
          </w:tcPr>
          <w:p w14:paraId="42ED29F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18,489.40</w:t>
            </w:r>
          </w:p>
        </w:tc>
        <w:tc>
          <w:tcPr>
            <w:tcW w:w="3213" w:type="dxa"/>
            <w:tcBorders>
              <w:top w:val="single" w:color="auto" w:sz="2" w:space="0"/>
              <w:left w:val="single" w:color="auto" w:sz="2" w:space="0"/>
              <w:bottom w:val="single" w:color="auto" w:sz="2" w:space="0"/>
              <w:right w:val="single" w:color="auto" w:sz="2" w:space="0"/>
            </w:tcBorders>
            <w:vAlign w:val="center"/>
          </w:tcPr>
          <w:p w14:paraId="740BD61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105,489.40</w:t>
            </w:r>
          </w:p>
        </w:tc>
      </w:tr>
      <w:tr w14:paraId="2D5A8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DCAC98C">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3213" w:type="dxa"/>
            <w:tcBorders>
              <w:top w:val="single" w:color="auto" w:sz="2" w:space="0"/>
              <w:left w:val="single" w:color="auto" w:sz="2" w:space="0"/>
              <w:bottom w:val="single" w:color="auto" w:sz="2" w:space="0"/>
              <w:right w:val="single" w:color="auto" w:sz="2" w:space="0"/>
            </w:tcBorders>
            <w:vAlign w:val="center"/>
          </w:tcPr>
          <w:p w14:paraId="437E583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263,080.00</w:t>
            </w:r>
          </w:p>
        </w:tc>
        <w:tc>
          <w:tcPr>
            <w:tcW w:w="3213" w:type="dxa"/>
            <w:tcBorders>
              <w:top w:val="single" w:color="auto" w:sz="2" w:space="0"/>
              <w:left w:val="single" w:color="auto" w:sz="2" w:space="0"/>
              <w:bottom w:val="single" w:color="auto" w:sz="2" w:space="0"/>
              <w:right w:val="single" w:color="auto" w:sz="2" w:space="0"/>
            </w:tcBorders>
            <w:vAlign w:val="center"/>
          </w:tcPr>
          <w:p w14:paraId="4D84322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286,900.00</w:t>
            </w:r>
          </w:p>
        </w:tc>
      </w:tr>
      <w:tr w14:paraId="27A01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2DDA663">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14:paraId="423D38E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4,199,432.23</w:t>
            </w:r>
          </w:p>
        </w:tc>
        <w:tc>
          <w:tcPr>
            <w:tcW w:w="3213" w:type="dxa"/>
            <w:tcBorders>
              <w:top w:val="single" w:color="auto" w:sz="2" w:space="0"/>
              <w:left w:val="single" w:color="auto" w:sz="2" w:space="0"/>
              <w:bottom w:val="single" w:color="auto" w:sz="2" w:space="0"/>
              <w:right w:val="single" w:color="auto" w:sz="2" w:space="0"/>
            </w:tcBorders>
            <w:vAlign w:val="center"/>
          </w:tcPr>
          <w:p w14:paraId="5A46929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4,142,248.62</w:t>
            </w:r>
          </w:p>
        </w:tc>
      </w:tr>
      <w:tr w14:paraId="7A3A8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F92EB38">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2BAD8D1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391,201.40</w:t>
            </w:r>
          </w:p>
        </w:tc>
        <w:tc>
          <w:tcPr>
            <w:tcW w:w="3213" w:type="dxa"/>
            <w:tcBorders>
              <w:top w:val="single" w:color="auto" w:sz="2" w:space="0"/>
              <w:left w:val="single" w:color="auto" w:sz="2" w:space="0"/>
              <w:bottom w:val="single" w:color="auto" w:sz="2" w:space="0"/>
              <w:right w:val="single" w:color="auto" w:sz="2" w:space="0"/>
            </w:tcBorders>
            <w:vAlign w:val="center"/>
          </w:tcPr>
          <w:p w14:paraId="1F9C448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382,730.06</w:t>
            </w:r>
          </w:p>
        </w:tc>
      </w:tr>
      <w:tr w14:paraId="6E1CC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1868DC">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3D7FF0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345,010,102.60</w:t>
            </w:r>
          </w:p>
        </w:tc>
        <w:tc>
          <w:tcPr>
            <w:tcW w:w="3213" w:type="dxa"/>
            <w:tcBorders>
              <w:top w:val="single" w:color="auto" w:sz="2" w:space="0"/>
              <w:left w:val="single" w:color="auto" w:sz="2" w:space="0"/>
              <w:bottom w:val="single" w:color="auto" w:sz="2" w:space="0"/>
              <w:right w:val="single" w:color="auto" w:sz="2" w:space="0"/>
            </w:tcBorders>
            <w:vAlign w:val="center"/>
          </w:tcPr>
          <w:p w14:paraId="74D3487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265,742,776.92</w:t>
            </w:r>
          </w:p>
        </w:tc>
      </w:tr>
    </w:tbl>
    <w:p w14:paraId="11A9AA5D">
      <w:pPr>
        <w:keepNext/>
        <w:keepLines/>
        <w:spacing w:before="300" w:after="300" w:line="280" w:lineRule="exact"/>
        <w:jc w:val="left"/>
        <w:outlineLvl w:val="4"/>
        <w:rPr>
          <w:rFonts w:ascii="宋体" w:hAnsi="宋体" w:eastAsia="宋体" w:cs="宋体"/>
          <w:b/>
          <w:bCs/>
          <w:sz w:val="18"/>
          <w:szCs w:val="18"/>
        </w:rPr>
      </w:pPr>
      <w:bookmarkStart w:id="454" w:name="_Toc989251"/>
      <w:r>
        <w:rPr>
          <w:rFonts w:hint="default" w:ascii="Times New Roman" w:hAnsi="Times New Roman" w:eastAsia="宋体" w:cs="Times New Roman"/>
          <w:b/>
          <w:bCs/>
          <w:sz w:val="18"/>
          <w:szCs w:val="18"/>
        </w:rPr>
        <w:t>2</w:t>
      </w:r>
      <w:r>
        <w:rPr>
          <w:rFonts w:ascii="宋体" w:hAnsi="宋体" w:eastAsia="宋体" w:cs="宋体"/>
          <w:b/>
          <w:bCs/>
          <w:sz w:val="18"/>
          <w:szCs w:val="18"/>
        </w:rPr>
        <w:t>） 按账龄披露</w:t>
      </w:r>
      <w:bookmarkEnd w:id="454"/>
    </w:p>
    <w:p w14:paraId="3B9105D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6057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D391E9">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F763D4">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376FEE">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4F0B9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5F0CA2">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年以内（含</w:t>
            </w:r>
            <w:r>
              <w:rPr>
                <w:rFonts w:hint="default" w:ascii="Times New Roman" w:hAnsi="Times New Roman" w:eastAsia="宋体" w:cs="Times New Roman"/>
                <w:sz w:val="18"/>
                <w:szCs w:val="18"/>
              </w:rPr>
              <w:t>1</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50940F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340,880,270.37</w:t>
            </w:r>
          </w:p>
        </w:tc>
        <w:tc>
          <w:tcPr>
            <w:tcW w:w="3213" w:type="dxa"/>
            <w:tcBorders>
              <w:top w:val="single" w:color="auto" w:sz="2" w:space="0"/>
              <w:left w:val="single" w:color="auto" w:sz="2" w:space="0"/>
              <w:bottom w:val="single" w:color="auto" w:sz="2" w:space="0"/>
              <w:right w:val="single" w:color="auto" w:sz="2" w:space="0"/>
            </w:tcBorders>
            <w:vAlign w:val="center"/>
          </w:tcPr>
          <w:p w14:paraId="475B11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261,401,888.90</w:t>
            </w:r>
          </w:p>
        </w:tc>
      </w:tr>
      <w:tr w14:paraId="50B59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22A985">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至</w:t>
            </w:r>
            <w:r>
              <w:rPr>
                <w:rFonts w:hint="default" w:ascii="Times New Roman" w:hAnsi="Times New Roman" w:eastAsia="宋体" w:cs="Times New Roman"/>
                <w:sz w:val="18"/>
                <w:szCs w:val="18"/>
              </w:rPr>
              <w:t>2</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0CDF7D8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181,000.00</w:t>
            </w:r>
          </w:p>
        </w:tc>
        <w:tc>
          <w:tcPr>
            <w:tcW w:w="3213" w:type="dxa"/>
            <w:tcBorders>
              <w:top w:val="single" w:color="auto" w:sz="2" w:space="0"/>
              <w:left w:val="single" w:color="auto" w:sz="2" w:space="0"/>
              <w:bottom w:val="single" w:color="auto" w:sz="2" w:space="0"/>
              <w:right w:val="single" w:color="auto" w:sz="2" w:space="0"/>
            </w:tcBorders>
            <w:vAlign w:val="center"/>
          </w:tcPr>
          <w:p w14:paraId="5A3A91E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102,989.40</w:t>
            </w:r>
          </w:p>
        </w:tc>
      </w:tr>
      <w:tr w14:paraId="72682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48F04C">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2</w:t>
            </w:r>
            <w:r>
              <w:rPr>
                <w:rFonts w:ascii="宋体" w:hAnsi="宋体" w:eastAsia="宋体" w:cs="宋体"/>
                <w:sz w:val="18"/>
                <w:szCs w:val="18"/>
              </w:rPr>
              <w:t>至</w:t>
            </w:r>
            <w:r>
              <w:rPr>
                <w:rFonts w:hint="default" w:ascii="Times New Roman" w:hAnsi="Times New Roman" w:eastAsia="宋体" w:cs="Times New Roman"/>
                <w:sz w:val="18"/>
                <w:szCs w:val="18"/>
              </w:rPr>
              <w:t>3</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578C16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4,000.00</w:t>
            </w:r>
          </w:p>
        </w:tc>
        <w:tc>
          <w:tcPr>
            <w:tcW w:w="3213" w:type="dxa"/>
            <w:tcBorders>
              <w:top w:val="single" w:color="auto" w:sz="2" w:space="0"/>
              <w:left w:val="single" w:color="auto" w:sz="2" w:space="0"/>
              <w:bottom w:val="single" w:color="auto" w:sz="2" w:space="0"/>
              <w:right w:val="single" w:color="auto" w:sz="2" w:space="0"/>
            </w:tcBorders>
            <w:vAlign w:val="center"/>
          </w:tcPr>
          <w:p w14:paraId="6390BDD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45,800.00</w:t>
            </w:r>
          </w:p>
        </w:tc>
      </w:tr>
      <w:tr w14:paraId="68E9C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38DF91">
            <w:pPr>
              <w:spacing w:before="40" w:after="40" w:line="240" w:lineRule="exact"/>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年以上</w:t>
            </w:r>
          </w:p>
        </w:tc>
        <w:tc>
          <w:tcPr>
            <w:tcW w:w="3213" w:type="dxa"/>
            <w:tcBorders>
              <w:top w:val="single" w:color="auto" w:sz="2" w:space="0"/>
              <w:left w:val="single" w:color="auto" w:sz="2" w:space="0"/>
              <w:bottom w:val="single" w:color="auto" w:sz="2" w:space="0"/>
              <w:right w:val="single" w:color="auto" w:sz="2" w:space="0"/>
            </w:tcBorders>
            <w:vAlign w:val="center"/>
          </w:tcPr>
          <w:p w14:paraId="501560B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3,944,832.23</w:t>
            </w:r>
          </w:p>
        </w:tc>
        <w:tc>
          <w:tcPr>
            <w:tcW w:w="3213" w:type="dxa"/>
            <w:tcBorders>
              <w:top w:val="single" w:color="auto" w:sz="2" w:space="0"/>
              <w:left w:val="single" w:color="auto" w:sz="2" w:space="0"/>
              <w:bottom w:val="single" w:color="auto" w:sz="2" w:space="0"/>
              <w:right w:val="single" w:color="auto" w:sz="2" w:space="0"/>
            </w:tcBorders>
            <w:vAlign w:val="center"/>
          </w:tcPr>
          <w:p w14:paraId="7FD6BA8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4,192,098.62</w:t>
            </w:r>
          </w:p>
        </w:tc>
      </w:tr>
      <w:tr w14:paraId="7F6EC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B389CA">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3</w:t>
            </w:r>
            <w:r>
              <w:rPr>
                <w:rFonts w:ascii="宋体" w:hAnsi="宋体" w:eastAsia="宋体" w:cs="宋体"/>
                <w:sz w:val="18"/>
                <w:szCs w:val="18"/>
              </w:rPr>
              <w:t>至</w:t>
            </w:r>
            <w:r>
              <w:rPr>
                <w:rFonts w:hint="default" w:ascii="Times New Roman" w:hAnsi="Times New Roman" w:eastAsia="宋体" w:cs="Times New Roman"/>
                <w:sz w:val="18"/>
                <w:szCs w:val="18"/>
              </w:rPr>
              <w:t>4</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35AE75A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42,800.00</w:t>
            </w:r>
          </w:p>
        </w:tc>
        <w:tc>
          <w:tcPr>
            <w:tcW w:w="3213" w:type="dxa"/>
            <w:tcBorders>
              <w:top w:val="single" w:color="auto" w:sz="2" w:space="0"/>
              <w:left w:val="single" w:color="auto" w:sz="2" w:space="0"/>
              <w:bottom w:val="single" w:color="auto" w:sz="2" w:space="0"/>
              <w:right w:val="single" w:color="auto" w:sz="2" w:space="0"/>
            </w:tcBorders>
            <w:vAlign w:val="center"/>
          </w:tcPr>
          <w:p w14:paraId="1864B0E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5,000.00</w:t>
            </w:r>
          </w:p>
        </w:tc>
      </w:tr>
      <w:tr w14:paraId="28437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BD952F">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4</w:t>
            </w:r>
            <w:r>
              <w:rPr>
                <w:rFonts w:ascii="宋体" w:hAnsi="宋体" w:eastAsia="宋体" w:cs="宋体"/>
                <w:sz w:val="18"/>
                <w:szCs w:val="18"/>
              </w:rPr>
              <w:t>至</w:t>
            </w:r>
            <w:r>
              <w:rPr>
                <w:rFonts w:hint="default" w:ascii="Times New Roman" w:hAnsi="Times New Roman" w:eastAsia="宋体" w:cs="Times New Roman"/>
                <w:sz w:val="18"/>
                <w:szCs w:val="18"/>
              </w:rPr>
              <w:t>5</w:t>
            </w:r>
            <w:r>
              <w:rPr>
                <w:rFonts w:ascii="宋体" w:hAnsi="宋体" w:eastAsia="宋体" w:cs="宋体"/>
                <w:sz w:val="18"/>
                <w:szCs w:val="18"/>
              </w:rPr>
              <w:t>年</w:t>
            </w:r>
          </w:p>
        </w:tc>
        <w:tc>
          <w:tcPr>
            <w:tcW w:w="3213" w:type="dxa"/>
            <w:tcBorders>
              <w:top w:val="single" w:color="auto" w:sz="2" w:space="0"/>
              <w:left w:val="single" w:color="auto" w:sz="2" w:space="0"/>
              <w:bottom w:val="single" w:color="auto" w:sz="2" w:space="0"/>
              <w:right w:val="single" w:color="auto" w:sz="2" w:space="0"/>
            </w:tcBorders>
            <w:vAlign w:val="center"/>
          </w:tcPr>
          <w:p w14:paraId="50EBEC9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5,000.00</w:t>
            </w:r>
          </w:p>
        </w:tc>
        <w:tc>
          <w:tcPr>
            <w:tcW w:w="3213" w:type="dxa"/>
            <w:tcBorders>
              <w:top w:val="single" w:color="auto" w:sz="2" w:space="0"/>
              <w:left w:val="single" w:color="auto" w:sz="2" w:space="0"/>
              <w:bottom w:val="single" w:color="auto" w:sz="2" w:space="0"/>
              <w:right w:val="single" w:color="auto" w:sz="2" w:space="0"/>
            </w:tcBorders>
            <w:vAlign w:val="center"/>
          </w:tcPr>
          <w:p w14:paraId="48646F3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3,013,138.11</w:t>
            </w:r>
          </w:p>
        </w:tc>
      </w:tr>
      <w:tr w14:paraId="00A14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AC0A22">
            <w:pPr>
              <w:spacing w:before="40" w:after="40" w:line="240" w:lineRule="exact"/>
              <w:ind w:firstLine="360" w:firstLineChars="200"/>
              <w:jc w:val="left"/>
              <w:rPr>
                <w:rFonts w:ascii="宋体" w:hAnsi="宋体" w:eastAsia="宋体" w:cs="宋体"/>
                <w:sz w:val="18"/>
                <w:szCs w:val="18"/>
              </w:rPr>
            </w:pPr>
            <w:r>
              <w:rPr>
                <w:rFonts w:hint="default" w:ascii="Times New Roman" w:hAnsi="Times New Roman" w:eastAsia="宋体" w:cs="Times New Roman"/>
                <w:sz w:val="18"/>
                <w:szCs w:val="18"/>
              </w:rPr>
              <w:t>5</w:t>
            </w:r>
            <w:r>
              <w:rPr>
                <w:rFonts w:ascii="宋体" w:hAnsi="宋体" w:eastAsia="宋体" w:cs="宋体"/>
                <w:sz w:val="18"/>
                <w:szCs w:val="18"/>
              </w:rPr>
              <w:t>年以上</w:t>
            </w:r>
          </w:p>
        </w:tc>
        <w:tc>
          <w:tcPr>
            <w:tcW w:w="3213" w:type="dxa"/>
            <w:tcBorders>
              <w:top w:val="single" w:color="auto" w:sz="2" w:space="0"/>
              <w:left w:val="single" w:color="auto" w:sz="2" w:space="0"/>
              <w:bottom w:val="single" w:color="auto" w:sz="2" w:space="0"/>
              <w:right w:val="single" w:color="auto" w:sz="2" w:space="0"/>
            </w:tcBorders>
            <w:vAlign w:val="center"/>
          </w:tcPr>
          <w:p w14:paraId="2D86934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3,897,032.23</w:t>
            </w:r>
          </w:p>
        </w:tc>
        <w:tc>
          <w:tcPr>
            <w:tcW w:w="3213" w:type="dxa"/>
            <w:tcBorders>
              <w:top w:val="single" w:color="auto" w:sz="2" w:space="0"/>
              <w:left w:val="single" w:color="auto" w:sz="2" w:space="0"/>
              <w:bottom w:val="single" w:color="auto" w:sz="2" w:space="0"/>
              <w:right w:val="single" w:color="auto" w:sz="2" w:space="0"/>
            </w:tcBorders>
            <w:vAlign w:val="center"/>
          </w:tcPr>
          <w:p w14:paraId="31AE318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1,173,960.51</w:t>
            </w:r>
          </w:p>
        </w:tc>
      </w:tr>
      <w:tr w14:paraId="551D1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FEBBDC">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146A3DE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345,010,102.60</w:t>
            </w:r>
          </w:p>
        </w:tc>
        <w:tc>
          <w:tcPr>
            <w:tcW w:w="3213" w:type="dxa"/>
            <w:tcBorders>
              <w:top w:val="single" w:color="auto" w:sz="2" w:space="0"/>
              <w:left w:val="single" w:color="auto" w:sz="2" w:space="0"/>
              <w:bottom w:val="single" w:color="auto" w:sz="2" w:space="0"/>
              <w:right w:val="single" w:color="auto" w:sz="2" w:space="0"/>
            </w:tcBorders>
            <w:vAlign w:val="center"/>
          </w:tcPr>
          <w:p w14:paraId="5E48DD9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265,742,776.92</w:t>
            </w:r>
          </w:p>
        </w:tc>
      </w:tr>
    </w:tbl>
    <w:p w14:paraId="44568DE8">
      <w:pPr>
        <w:keepNext/>
        <w:keepLines/>
        <w:spacing w:before="300" w:after="300" w:line="280" w:lineRule="exact"/>
        <w:jc w:val="left"/>
        <w:outlineLvl w:val="4"/>
        <w:rPr>
          <w:rFonts w:ascii="宋体" w:hAnsi="宋体" w:eastAsia="宋体" w:cs="宋体"/>
          <w:b/>
          <w:bCs/>
          <w:sz w:val="18"/>
          <w:szCs w:val="18"/>
        </w:rPr>
      </w:pPr>
      <w:bookmarkStart w:id="455" w:name="_Toc989252"/>
      <w:r>
        <w:rPr>
          <w:rFonts w:hint="default" w:ascii="Times New Roman" w:hAnsi="Times New Roman" w:eastAsia="宋体" w:cs="Times New Roman"/>
          <w:b/>
          <w:bCs/>
          <w:sz w:val="18"/>
          <w:szCs w:val="18"/>
        </w:rPr>
        <w:t>3</w:t>
      </w:r>
      <w:r>
        <w:rPr>
          <w:rFonts w:ascii="宋体" w:hAnsi="宋体" w:eastAsia="宋体" w:cs="宋体"/>
          <w:b/>
          <w:bCs/>
          <w:sz w:val="18"/>
          <w:szCs w:val="18"/>
        </w:rPr>
        <w:t>） 坏账准备计提情况</w:t>
      </w:r>
      <w:bookmarkEnd w:id="455"/>
    </w:p>
    <w:tbl>
      <w:tblPr>
        <w:tblStyle w:val="7"/>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045"/>
        <w:gridCol w:w="1604"/>
        <w:gridCol w:w="2400"/>
        <w:gridCol w:w="2404"/>
        <w:gridCol w:w="1400"/>
      </w:tblGrid>
      <w:tr w14:paraId="54E232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103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E78F93">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坏账准备</w:t>
            </w:r>
          </w:p>
        </w:tc>
        <w:tc>
          <w:tcPr>
            <w:tcW w:w="814"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7567AE">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第一阶段</w:t>
            </w:r>
          </w:p>
        </w:tc>
        <w:tc>
          <w:tcPr>
            <w:tcW w:w="1218"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307C15">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第二阶段</w:t>
            </w:r>
          </w:p>
        </w:tc>
        <w:tc>
          <w:tcPr>
            <w:tcW w:w="1220"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753B23">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第三阶段</w:t>
            </w:r>
          </w:p>
        </w:tc>
        <w:tc>
          <w:tcPr>
            <w:tcW w:w="711"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F7918D">
            <w:pPr>
              <w:pStyle w:val="6"/>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合计</w:t>
            </w:r>
          </w:p>
        </w:tc>
      </w:tr>
      <w:tr w14:paraId="09DB81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103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9E4289">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ascii="Arial Narrow" w:hAnsi="Arial Narrow" w:eastAsia="Arial Narrow" w:cs="Arial Narrow"/>
                <w:sz w:val="18"/>
                <w:szCs w:val="18"/>
              </w:rPr>
              <w:t> </w:t>
            </w:r>
          </w:p>
        </w:tc>
        <w:tc>
          <w:tcPr>
            <w:tcW w:w="8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ECF07A">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未来</w:t>
            </w:r>
            <w:r>
              <w:rPr>
                <w:rFonts w:hint="default" w:ascii="Times New Roman" w:hAnsi="Times New Roman" w:eastAsia="宋体" w:cs="Times New Roman"/>
                <w:sz w:val="18"/>
                <w:szCs w:val="18"/>
              </w:rPr>
              <w:t>12</w:t>
            </w:r>
            <w:r>
              <w:rPr>
                <w:rFonts w:hint="eastAsia" w:ascii="宋体" w:hAnsi="宋体" w:eastAsia="宋体" w:cs="宋体"/>
                <w:sz w:val="18"/>
                <w:szCs w:val="18"/>
              </w:rPr>
              <w:t>个月预期信用损失</w:t>
            </w:r>
          </w:p>
        </w:tc>
        <w:tc>
          <w:tcPr>
            <w:tcW w:w="121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C443FE">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整个存续期预期信用损失（未发生信用减值）</w:t>
            </w:r>
          </w:p>
        </w:tc>
        <w:tc>
          <w:tcPr>
            <w:tcW w:w="12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785909">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整个存续期预期信用损失（已发生信用减值）</w:t>
            </w:r>
          </w:p>
        </w:tc>
        <w:tc>
          <w:tcPr>
            <w:tcW w:w="7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5F16BA">
            <w:pPr>
              <w:pStyle w:val="6"/>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14:paraId="304B54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103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82458F">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1</w:t>
            </w:r>
            <w:r>
              <w:rPr>
                <w:rFonts w:hint="eastAsia" w:ascii="宋体" w:hAnsi="宋体" w:eastAsia="宋体" w:cs="宋体"/>
                <w:sz w:val="18"/>
                <w:szCs w:val="18"/>
              </w:rPr>
              <w:t>月</w:t>
            </w:r>
            <w:r>
              <w:rPr>
                <w:rFonts w:hint="default" w:ascii="Times New Roman" w:hAnsi="Times New Roman" w:eastAsia="宋体" w:cs="Times New Roman"/>
                <w:sz w:val="18"/>
                <w:szCs w:val="18"/>
              </w:rPr>
              <w:t>1</w:t>
            </w:r>
            <w:r>
              <w:rPr>
                <w:rFonts w:hint="eastAsia" w:ascii="宋体" w:hAnsi="宋体" w:eastAsia="宋体" w:cs="宋体"/>
                <w:sz w:val="18"/>
                <w:szCs w:val="18"/>
              </w:rPr>
              <w:t>日余额</w:t>
            </w:r>
          </w:p>
        </w:tc>
        <w:tc>
          <w:tcPr>
            <w:tcW w:w="8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705ED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3,616,774.74 </w:t>
            </w:r>
          </w:p>
        </w:tc>
        <w:tc>
          <w:tcPr>
            <w:tcW w:w="121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FAFED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2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BDCE7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7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26107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3,616,774.74</w:t>
            </w:r>
          </w:p>
        </w:tc>
      </w:tr>
      <w:tr w14:paraId="200891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18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39C281">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—转入第二阶段</w:t>
            </w:r>
          </w:p>
        </w:tc>
        <w:tc>
          <w:tcPr>
            <w:tcW w:w="8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3D355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21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6D60B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2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A2BC6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7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1FE18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r>
      <w:tr w14:paraId="2F3597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18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8288C5">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—转入第三阶段</w:t>
            </w:r>
          </w:p>
        </w:tc>
        <w:tc>
          <w:tcPr>
            <w:tcW w:w="14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6560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-1,024,676.30 </w:t>
            </w:r>
          </w:p>
        </w:tc>
        <w:tc>
          <w:tcPr>
            <w:tcW w:w="21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1271A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2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AAC1B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1,024,676.30 </w:t>
            </w:r>
          </w:p>
        </w:tc>
        <w:tc>
          <w:tcPr>
            <w:tcW w:w="7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9F7BF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r>
      <w:tr w14:paraId="53C227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18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352E60">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—转回第二阶段</w:t>
            </w:r>
          </w:p>
        </w:tc>
        <w:tc>
          <w:tcPr>
            <w:tcW w:w="8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D460D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21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AD35B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2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D101E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7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3842F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r>
      <w:tr w14:paraId="0022D0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18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5DAC43">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—转回第一阶段</w:t>
            </w:r>
          </w:p>
        </w:tc>
        <w:tc>
          <w:tcPr>
            <w:tcW w:w="8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47CB5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21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E6E6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2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7018D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7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AFD10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r>
      <w:tr w14:paraId="3E4C84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103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6BC158">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本期计提</w:t>
            </w:r>
          </w:p>
        </w:tc>
        <w:tc>
          <w:tcPr>
            <w:tcW w:w="8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88E48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332,381.20</w:t>
            </w:r>
          </w:p>
        </w:tc>
        <w:tc>
          <w:tcPr>
            <w:tcW w:w="121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9CF0C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2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EAB9D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7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9D4AD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332,381.20</w:t>
            </w:r>
          </w:p>
        </w:tc>
      </w:tr>
      <w:tr w14:paraId="4982BC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103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08F071">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本期转回</w:t>
            </w:r>
          </w:p>
        </w:tc>
        <w:tc>
          <w:tcPr>
            <w:tcW w:w="8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74F98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21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32A03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2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DA2C2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7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922AF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r>
      <w:tr w14:paraId="31506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103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5817E1">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本期核销</w:t>
            </w:r>
          </w:p>
        </w:tc>
        <w:tc>
          <w:tcPr>
            <w:tcW w:w="8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DD83C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21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1EC64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2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BD4F5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7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06F59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r>
      <w:tr w14:paraId="074278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103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C341C4">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其他变动</w:t>
            </w:r>
          </w:p>
        </w:tc>
        <w:tc>
          <w:tcPr>
            <w:tcW w:w="8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B90F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21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ED347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22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7BD0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7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07AA3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r>
      <w:tr w14:paraId="7AB248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rPr>
        <w:tc>
          <w:tcPr>
            <w:tcW w:w="103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2B9A1C">
            <w:pPr>
              <w:pStyle w:val="6"/>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12</w:t>
            </w:r>
            <w:r>
              <w:rPr>
                <w:rFonts w:hint="eastAsia" w:ascii="宋体" w:hAnsi="宋体" w:eastAsia="宋体" w:cs="宋体"/>
                <w:sz w:val="18"/>
                <w:szCs w:val="18"/>
              </w:rPr>
              <w:t>月</w:t>
            </w:r>
            <w:r>
              <w:rPr>
                <w:rFonts w:hint="default" w:ascii="Times New Roman" w:hAnsi="Times New Roman" w:eastAsia="宋体" w:cs="Times New Roman"/>
                <w:sz w:val="18"/>
                <w:szCs w:val="18"/>
              </w:rPr>
              <w:t>31</w:t>
            </w:r>
            <w:r>
              <w:rPr>
                <w:rFonts w:hint="eastAsia" w:ascii="宋体" w:hAnsi="宋体" w:eastAsia="宋体" w:cs="宋体"/>
                <w:sz w:val="18"/>
                <w:szCs w:val="18"/>
              </w:rPr>
              <w:t>日余额</w:t>
            </w:r>
          </w:p>
        </w:tc>
        <w:tc>
          <w:tcPr>
            <w:tcW w:w="14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346B2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2,924,479.64 </w:t>
            </w:r>
          </w:p>
        </w:tc>
        <w:tc>
          <w:tcPr>
            <w:tcW w:w="21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BD5EC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2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0879F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1,024,676.30 </w:t>
            </w:r>
          </w:p>
        </w:tc>
        <w:tc>
          <w:tcPr>
            <w:tcW w:w="12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D142E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3,949,155.94</w:t>
            </w:r>
          </w:p>
        </w:tc>
      </w:tr>
    </w:tbl>
    <w:p w14:paraId="62721038">
      <w:pPr>
        <w:keepNext/>
        <w:keepLines/>
        <w:spacing w:before="300" w:after="300" w:line="280" w:lineRule="exact"/>
        <w:jc w:val="left"/>
        <w:outlineLvl w:val="4"/>
        <w:rPr>
          <w:rFonts w:ascii="宋体" w:hAnsi="宋体" w:eastAsia="宋体" w:cs="宋体"/>
          <w:b/>
          <w:bCs/>
          <w:sz w:val="18"/>
          <w:szCs w:val="18"/>
        </w:rPr>
      </w:pPr>
      <w:bookmarkStart w:id="456" w:name="_Toc989253"/>
      <w:r>
        <w:rPr>
          <w:rFonts w:hint="default" w:ascii="Times New Roman" w:hAnsi="Times New Roman" w:eastAsia="宋体" w:cs="Times New Roman"/>
          <w:b/>
          <w:bCs/>
          <w:sz w:val="18"/>
          <w:szCs w:val="18"/>
        </w:rPr>
        <w:t>4</w:t>
      </w:r>
      <w:r>
        <w:rPr>
          <w:rFonts w:ascii="宋体" w:hAnsi="宋体" w:eastAsia="宋体" w:cs="宋体"/>
          <w:b/>
          <w:bCs/>
          <w:sz w:val="18"/>
          <w:szCs w:val="18"/>
        </w:rPr>
        <w:t>） 按欠款方归集的期末余额前五名的其他应收款情况</w:t>
      </w:r>
      <w:bookmarkEnd w:id="456"/>
    </w:p>
    <w:p w14:paraId="2B49CD3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3A4B8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1C0A810">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8DAC0EF">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43446F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BA97D3B">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A8063F8">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5CC1FF3">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14:paraId="09188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A60C596">
            <w:pPr>
              <w:spacing w:before="0" w:after="0" w:line="240" w:lineRule="exact"/>
              <w:jc w:val="left"/>
              <w:rPr>
                <w:rFonts w:ascii="宋体" w:hAnsi="宋体" w:eastAsia="宋体" w:cs="宋体"/>
                <w:sz w:val="18"/>
                <w:szCs w:val="18"/>
              </w:rPr>
            </w:pPr>
            <w:r>
              <w:rPr>
                <w:rFonts w:ascii="宋体" w:hAnsi="宋体" w:eastAsia="宋体" w:cs="宋体"/>
                <w:sz w:val="18"/>
                <w:szCs w:val="18"/>
              </w:rPr>
              <w:t>广东中昊药业有限公司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55A0E685">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14:paraId="0330367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143,945,492.92</w:t>
            </w:r>
          </w:p>
        </w:tc>
        <w:tc>
          <w:tcPr>
            <w:tcW w:w="1606" w:type="dxa"/>
            <w:tcBorders>
              <w:top w:val="single" w:color="auto" w:sz="2" w:space="0"/>
              <w:left w:val="single" w:color="auto" w:sz="2" w:space="0"/>
              <w:bottom w:val="single" w:color="auto" w:sz="2" w:space="0"/>
              <w:right w:val="single" w:color="auto" w:sz="2" w:space="0"/>
            </w:tcBorders>
            <w:vAlign w:val="center"/>
          </w:tcPr>
          <w:p w14:paraId="7B488A5D">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w:t>
            </w:r>
            <w:r>
              <w:rPr>
                <w:rFonts w:hint="default" w:ascii="Times New Roman" w:hAnsi="Times New Roman" w:eastAsia="宋体" w:cs="Times New Roman"/>
                <w:sz w:val="18"/>
                <w:szCs w:val="18"/>
              </w:rPr>
              <w:t>5</w:t>
            </w:r>
            <w:r>
              <w:rPr>
                <w:rFonts w:ascii="宋体" w:hAnsi="宋体" w:eastAsia="宋体" w:cs="宋体"/>
                <w:sz w:val="18"/>
                <w:szCs w:val="18"/>
              </w:rPr>
              <w:t>年以上</w:t>
            </w:r>
          </w:p>
        </w:tc>
        <w:tc>
          <w:tcPr>
            <w:tcW w:w="1606" w:type="dxa"/>
            <w:tcBorders>
              <w:top w:val="single" w:color="auto" w:sz="2" w:space="0"/>
              <w:left w:val="single" w:color="auto" w:sz="2" w:space="0"/>
              <w:bottom w:val="single" w:color="auto" w:sz="2" w:space="0"/>
              <w:right w:val="single" w:color="auto" w:sz="2" w:space="0"/>
            </w:tcBorders>
            <w:vAlign w:val="center"/>
          </w:tcPr>
          <w:p w14:paraId="2C3F9D1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41.73%</w:t>
            </w:r>
          </w:p>
        </w:tc>
        <w:tc>
          <w:tcPr>
            <w:tcW w:w="1606" w:type="dxa"/>
            <w:tcBorders>
              <w:top w:val="single" w:color="auto" w:sz="2" w:space="0"/>
              <w:left w:val="single" w:color="auto" w:sz="2" w:space="0"/>
              <w:bottom w:val="single" w:color="auto" w:sz="2" w:space="0"/>
              <w:right w:val="single" w:color="auto" w:sz="2" w:space="0"/>
            </w:tcBorders>
            <w:vAlign w:val="center"/>
          </w:tcPr>
          <w:p w14:paraId="1E14F5CE">
            <w:pPr>
              <w:spacing w:before="0" w:after="0" w:line="240" w:lineRule="exact"/>
              <w:jc w:val="right"/>
              <w:rPr>
                <w:rFonts w:ascii="宋体" w:hAnsi="宋体" w:eastAsia="宋体" w:cs="宋体"/>
                <w:sz w:val="18"/>
                <w:szCs w:val="18"/>
              </w:rPr>
            </w:pPr>
          </w:p>
        </w:tc>
      </w:tr>
      <w:tr w14:paraId="42433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FB86A38">
            <w:pPr>
              <w:spacing w:before="0" w:after="0" w:line="240" w:lineRule="exact"/>
              <w:jc w:val="left"/>
              <w:rPr>
                <w:rFonts w:ascii="宋体" w:hAnsi="宋体" w:eastAsia="宋体" w:cs="宋体"/>
                <w:sz w:val="18"/>
                <w:szCs w:val="18"/>
              </w:rPr>
            </w:pPr>
            <w:r>
              <w:rPr>
                <w:rFonts w:ascii="宋体" w:hAnsi="宋体" w:eastAsia="宋体" w:cs="宋体"/>
                <w:sz w:val="18"/>
                <w:szCs w:val="18"/>
              </w:rPr>
              <w:t>北京文丰天济医药科技有限公司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362DB3CB">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14:paraId="5E54211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68,218,018.41</w:t>
            </w:r>
          </w:p>
        </w:tc>
        <w:tc>
          <w:tcPr>
            <w:tcW w:w="1606" w:type="dxa"/>
            <w:tcBorders>
              <w:top w:val="single" w:color="auto" w:sz="2" w:space="0"/>
              <w:left w:val="single" w:color="auto" w:sz="2" w:space="0"/>
              <w:bottom w:val="single" w:color="auto" w:sz="2" w:space="0"/>
              <w:right w:val="single" w:color="auto" w:sz="2" w:space="0"/>
            </w:tcBorders>
            <w:vAlign w:val="center"/>
          </w:tcPr>
          <w:p w14:paraId="24BD605D">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年以内-</w:t>
            </w:r>
            <w:r>
              <w:rPr>
                <w:rFonts w:hint="default" w:ascii="Times New Roman" w:hAnsi="Times New Roman" w:eastAsia="宋体" w:cs="Times New Roman"/>
                <w:sz w:val="18"/>
                <w:szCs w:val="18"/>
              </w:rPr>
              <w:t>3</w:t>
            </w:r>
            <w:r>
              <w:rPr>
                <w:rFonts w:ascii="宋体" w:hAnsi="宋体" w:eastAsia="宋体" w:cs="宋体"/>
                <w:sz w:val="18"/>
                <w:szCs w:val="18"/>
              </w:rPr>
              <w:t>年、</w:t>
            </w:r>
            <w:r>
              <w:rPr>
                <w:rFonts w:hint="default" w:ascii="Times New Roman" w:hAnsi="Times New Roman" w:eastAsia="宋体" w:cs="Times New Roman"/>
                <w:sz w:val="18"/>
                <w:szCs w:val="18"/>
              </w:rPr>
              <w:t>4</w:t>
            </w:r>
            <w:r>
              <w:rPr>
                <w:rFonts w:ascii="宋体" w:hAnsi="宋体" w:eastAsia="宋体" w:cs="宋体"/>
                <w:sz w:val="18"/>
                <w:szCs w:val="18"/>
              </w:rPr>
              <w:t>-</w:t>
            </w:r>
            <w:r>
              <w:rPr>
                <w:rFonts w:hint="default" w:ascii="Times New Roman" w:hAnsi="Times New Roman" w:eastAsia="宋体" w:cs="Times New Roman"/>
                <w:sz w:val="18"/>
                <w:szCs w:val="18"/>
              </w:rPr>
              <w:t>5</w:t>
            </w:r>
            <w:r>
              <w:rPr>
                <w:rFonts w:ascii="宋体" w:hAnsi="宋体" w:eastAsia="宋体" w:cs="宋体"/>
                <w:sz w:val="18"/>
                <w:szCs w:val="18"/>
              </w:rPr>
              <w:t>年以上</w:t>
            </w:r>
          </w:p>
        </w:tc>
        <w:tc>
          <w:tcPr>
            <w:tcW w:w="1606" w:type="dxa"/>
            <w:tcBorders>
              <w:top w:val="single" w:color="auto" w:sz="2" w:space="0"/>
              <w:left w:val="single" w:color="auto" w:sz="2" w:space="0"/>
              <w:bottom w:val="single" w:color="auto" w:sz="2" w:space="0"/>
              <w:right w:val="single" w:color="auto" w:sz="2" w:space="0"/>
            </w:tcBorders>
            <w:vAlign w:val="center"/>
          </w:tcPr>
          <w:p w14:paraId="1E8B6A1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19.77%</w:t>
            </w:r>
          </w:p>
        </w:tc>
        <w:tc>
          <w:tcPr>
            <w:tcW w:w="1606" w:type="dxa"/>
            <w:tcBorders>
              <w:top w:val="single" w:color="auto" w:sz="2" w:space="0"/>
              <w:left w:val="single" w:color="auto" w:sz="2" w:space="0"/>
              <w:bottom w:val="single" w:color="auto" w:sz="2" w:space="0"/>
              <w:right w:val="single" w:color="auto" w:sz="2" w:space="0"/>
            </w:tcBorders>
            <w:vAlign w:val="center"/>
          </w:tcPr>
          <w:p w14:paraId="090898C5">
            <w:pPr>
              <w:spacing w:before="0" w:after="0" w:line="240" w:lineRule="exact"/>
              <w:jc w:val="right"/>
              <w:rPr>
                <w:rFonts w:ascii="宋体" w:hAnsi="宋体" w:eastAsia="宋体" w:cs="宋体"/>
                <w:sz w:val="18"/>
                <w:szCs w:val="18"/>
              </w:rPr>
            </w:pPr>
          </w:p>
        </w:tc>
      </w:tr>
      <w:tr w14:paraId="787C4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E08372D">
            <w:pPr>
              <w:spacing w:before="0" w:after="0" w:line="240" w:lineRule="exact"/>
              <w:jc w:val="left"/>
              <w:rPr>
                <w:rFonts w:ascii="宋体" w:hAnsi="宋体" w:eastAsia="宋体" w:cs="宋体"/>
                <w:sz w:val="18"/>
                <w:szCs w:val="18"/>
              </w:rPr>
            </w:pPr>
            <w:r>
              <w:rPr>
                <w:rFonts w:ascii="宋体" w:hAnsi="宋体" w:eastAsia="宋体" w:cs="宋体"/>
                <w:sz w:val="18"/>
                <w:szCs w:val="18"/>
              </w:rPr>
              <w:t>北昊干细胞与再生医学研究院有限公司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744F0975">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14:paraId="6CD8552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66,222,670.93</w:t>
            </w:r>
          </w:p>
        </w:tc>
        <w:tc>
          <w:tcPr>
            <w:tcW w:w="1606" w:type="dxa"/>
            <w:tcBorders>
              <w:top w:val="single" w:color="auto" w:sz="2" w:space="0"/>
              <w:left w:val="single" w:color="auto" w:sz="2" w:space="0"/>
              <w:bottom w:val="single" w:color="auto" w:sz="2" w:space="0"/>
              <w:right w:val="single" w:color="auto" w:sz="2" w:space="0"/>
            </w:tcBorders>
            <w:vAlign w:val="center"/>
          </w:tcPr>
          <w:p w14:paraId="28B95C1F">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年以内</w:t>
            </w:r>
          </w:p>
        </w:tc>
        <w:tc>
          <w:tcPr>
            <w:tcW w:w="1606" w:type="dxa"/>
            <w:tcBorders>
              <w:top w:val="single" w:color="auto" w:sz="2" w:space="0"/>
              <w:left w:val="single" w:color="auto" w:sz="2" w:space="0"/>
              <w:bottom w:val="single" w:color="auto" w:sz="2" w:space="0"/>
              <w:right w:val="single" w:color="auto" w:sz="2" w:space="0"/>
            </w:tcBorders>
            <w:vAlign w:val="center"/>
          </w:tcPr>
          <w:p w14:paraId="134087E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19.19%</w:t>
            </w:r>
          </w:p>
        </w:tc>
        <w:tc>
          <w:tcPr>
            <w:tcW w:w="1606" w:type="dxa"/>
            <w:tcBorders>
              <w:top w:val="single" w:color="auto" w:sz="2" w:space="0"/>
              <w:left w:val="single" w:color="auto" w:sz="2" w:space="0"/>
              <w:bottom w:val="single" w:color="auto" w:sz="2" w:space="0"/>
              <w:right w:val="single" w:color="auto" w:sz="2" w:space="0"/>
            </w:tcBorders>
            <w:vAlign w:val="center"/>
          </w:tcPr>
          <w:p w14:paraId="50CADF46">
            <w:pPr>
              <w:spacing w:before="0" w:after="0" w:line="240" w:lineRule="exact"/>
              <w:jc w:val="right"/>
              <w:rPr>
                <w:rFonts w:ascii="宋体" w:hAnsi="宋体" w:eastAsia="宋体" w:cs="宋体"/>
                <w:sz w:val="18"/>
                <w:szCs w:val="18"/>
              </w:rPr>
            </w:pPr>
          </w:p>
        </w:tc>
      </w:tr>
      <w:tr w14:paraId="60B40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1F36FD8">
            <w:pPr>
              <w:spacing w:before="0" w:after="0" w:line="240" w:lineRule="exact"/>
              <w:jc w:val="left"/>
              <w:rPr>
                <w:rFonts w:ascii="宋体" w:hAnsi="宋体" w:eastAsia="宋体" w:cs="宋体"/>
                <w:sz w:val="18"/>
                <w:szCs w:val="18"/>
              </w:rPr>
            </w:pPr>
            <w:r>
              <w:rPr>
                <w:rFonts w:ascii="宋体" w:hAnsi="宋体" w:eastAsia="宋体" w:cs="宋体"/>
                <w:sz w:val="18"/>
                <w:szCs w:val="18"/>
              </w:rPr>
              <w:t>中山天昊科技园有限公司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69FBC7E8">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14:paraId="30293A1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27,050,000.00</w:t>
            </w:r>
          </w:p>
        </w:tc>
        <w:tc>
          <w:tcPr>
            <w:tcW w:w="1606" w:type="dxa"/>
            <w:tcBorders>
              <w:top w:val="single" w:color="auto" w:sz="2" w:space="0"/>
              <w:left w:val="single" w:color="auto" w:sz="2" w:space="0"/>
              <w:bottom w:val="single" w:color="auto" w:sz="2" w:space="0"/>
              <w:right w:val="single" w:color="auto" w:sz="2" w:space="0"/>
            </w:tcBorders>
            <w:vAlign w:val="center"/>
          </w:tcPr>
          <w:p w14:paraId="40B1ED7A">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年以内</w:t>
            </w:r>
          </w:p>
        </w:tc>
        <w:tc>
          <w:tcPr>
            <w:tcW w:w="1606" w:type="dxa"/>
            <w:tcBorders>
              <w:top w:val="single" w:color="auto" w:sz="2" w:space="0"/>
              <w:left w:val="single" w:color="auto" w:sz="2" w:space="0"/>
              <w:bottom w:val="single" w:color="auto" w:sz="2" w:space="0"/>
              <w:right w:val="single" w:color="auto" w:sz="2" w:space="0"/>
            </w:tcBorders>
            <w:vAlign w:val="center"/>
          </w:tcPr>
          <w:p w14:paraId="495431F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7.84%</w:t>
            </w:r>
          </w:p>
        </w:tc>
        <w:tc>
          <w:tcPr>
            <w:tcW w:w="1606" w:type="dxa"/>
            <w:tcBorders>
              <w:top w:val="single" w:color="auto" w:sz="2" w:space="0"/>
              <w:left w:val="single" w:color="auto" w:sz="2" w:space="0"/>
              <w:bottom w:val="single" w:color="auto" w:sz="2" w:space="0"/>
              <w:right w:val="single" w:color="auto" w:sz="2" w:space="0"/>
            </w:tcBorders>
            <w:vAlign w:val="center"/>
          </w:tcPr>
          <w:p w14:paraId="616C2322">
            <w:pPr>
              <w:spacing w:before="0" w:after="0" w:line="240" w:lineRule="exact"/>
              <w:jc w:val="right"/>
              <w:rPr>
                <w:rFonts w:ascii="宋体" w:hAnsi="宋体" w:eastAsia="宋体" w:cs="宋体"/>
                <w:sz w:val="18"/>
                <w:szCs w:val="18"/>
              </w:rPr>
            </w:pPr>
          </w:p>
        </w:tc>
      </w:tr>
      <w:tr w14:paraId="25EDE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995AF94">
            <w:pPr>
              <w:spacing w:before="0" w:after="0" w:line="240" w:lineRule="exact"/>
              <w:jc w:val="left"/>
              <w:rPr>
                <w:rFonts w:ascii="宋体" w:hAnsi="宋体" w:eastAsia="宋体" w:cs="宋体"/>
                <w:sz w:val="18"/>
                <w:szCs w:val="18"/>
              </w:rPr>
            </w:pPr>
            <w:r>
              <w:rPr>
                <w:rFonts w:ascii="宋体" w:hAnsi="宋体" w:eastAsia="宋体" w:cs="宋体"/>
                <w:sz w:val="18"/>
                <w:szCs w:val="18"/>
              </w:rPr>
              <w:t>珠海市祥乐医疗器械有限公司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68D7284E">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14:paraId="6EE4D4D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25,032,144.93</w:t>
            </w:r>
          </w:p>
        </w:tc>
        <w:tc>
          <w:tcPr>
            <w:tcW w:w="1606" w:type="dxa"/>
            <w:tcBorders>
              <w:top w:val="single" w:color="auto" w:sz="2" w:space="0"/>
              <w:left w:val="single" w:color="auto" w:sz="2" w:space="0"/>
              <w:bottom w:val="single" w:color="auto" w:sz="2" w:space="0"/>
              <w:right w:val="single" w:color="auto" w:sz="2" w:space="0"/>
            </w:tcBorders>
            <w:vAlign w:val="center"/>
          </w:tcPr>
          <w:p w14:paraId="6222D8EF">
            <w:pPr>
              <w:spacing w:before="0" w:after="0" w:line="240" w:lineRule="exact"/>
              <w:jc w:val="left"/>
              <w:rPr>
                <w:rFonts w:ascii="宋体" w:hAnsi="宋体" w:eastAsia="宋体" w:cs="宋体"/>
                <w:sz w:val="18"/>
                <w:szCs w:val="18"/>
              </w:rPr>
            </w:pPr>
            <w:r>
              <w:rPr>
                <w:rFonts w:hint="default" w:ascii="Times New Roman" w:hAnsi="Times New Roman" w:eastAsia="宋体" w:cs="Times New Roman"/>
                <w:sz w:val="18"/>
                <w:szCs w:val="18"/>
              </w:rPr>
              <w:t>1</w:t>
            </w:r>
            <w:r>
              <w:rPr>
                <w:rFonts w:ascii="宋体" w:hAnsi="宋体" w:eastAsia="宋体" w:cs="宋体"/>
                <w:sz w:val="18"/>
                <w:szCs w:val="18"/>
              </w:rPr>
              <w:t>年以内-</w:t>
            </w:r>
            <w:r>
              <w:rPr>
                <w:rFonts w:hint="default" w:ascii="Times New Roman" w:hAnsi="Times New Roman" w:eastAsia="宋体" w:cs="Times New Roman"/>
                <w:sz w:val="18"/>
                <w:szCs w:val="18"/>
              </w:rPr>
              <w:t>3</w:t>
            </w:r>
            <w:r>
              <w:rPr>
                <w:rFonts w:ascii="宋体" w:hAnsi="宋体" w:eastAsia="宋体" w:cs="宋体"/>
                <w:sz w:val="18"/>
                <w:szCs w:val="18"/>
              </w:rPr>
              <w:t>年</w:t>
            </w:r>
          </w:p>
        </w:tc>
        <w:tc>
          <w:tcPr>
            <w:tcW w:w="1606" w:type="dxa"/>
            <w:tcBorders>
              <w:top w:val="single" w:color="auto" w:sz="2" w:space="0"/>
              <w:left w:val="single" w:color="auto" w:sz="2" w:space="0"/>
              <w:bottom w:val="single" w:color="auto" w:sz="2" w:space="0"/>
              <w:right w:val="single" w:color="auto" w:sz="2" w:space="0"/>
            </w:tcBorders>
            <w:vAlign w:val="center"/>
          </w:tcPr>
          <w:p w14:paraId="27BC093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7.26%</w:t>
            </w:r>
          </w:p>
        </w:tc>
        <w:tc>
          <w:tcPr>
            <w:tcW w:w="1606" w:type="dxa"/>
            <w:tcBorders>
              <w:top w:val="single" w:color="auto" w:sz="2" w:space="0"/>
              <w:left w:val="single" w:color="auto" w:sz="2" w:space="0"/>
              <w:bottom w:val="single" w:color="auto" w:sz="2" w:space="0"/>
              <w:right w:val="single" w:color="auto" w:sz="2" w:space="0"/>
            </w:tcBorders>
            <w:vAlign w:val="center"/>
          </w:tcPr>
          <w:p w14:paraId="6CA5E1AC">
            <w:pPr>
              <w:spacing w:before="0" w:after="0" w:line="240" w:lineRule="exact"/>
              <w:jc w:val="right"/>
              <w:rPr>
                <w:rFonts w:ascii="宋体" w:hAnsi="宋体" w:eastAsia="宋体" w:cs="宋体"/>
                <w:sz w:val="18"/>
                <w:szCs w:val="18"/>
              </w:rPr>
            </w:pPr>
          </w:p>
        </w:tc>
      </w:tr>
      <w:tr w14:paraId="14DFC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B364CF9">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0A6CF66"/>
        </w:tc>
        <w:tc>
          <w:tcPr>
            <w:tcW w:w="1606" w:type="dxa"/>
            <w:tcBorders>
              <w:top w:val="single" w:color="auto" w:sz="2" w:space="0"/>
              <w:left w:val="single" w:color="auto" w:sz="2" w:space="0"/>
              <w:bottom w:val="single" w:color="auto" w:sz="2" w:space="0"/>
              <w:right w:val="single" w:color="auto" w:sz="2" w:space="0"/>
            </w:tcBorders>
            <w:vAlign w:val="center"/>
          </w:tcPr>
          <w:p w14:paraId="6EEF5A0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330,468,327.19</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1208C3A"/>
        </w:tc>
        <w:tc>
          <w:tcPr>
            <w:tcW w:w="1606" w:type="dxa"/>
            <w:tcBorders>
              <w:top w:val="single" w:color="auto" w:sz="2" w:space="0"/>
              <w:left w:val="single" w:color="auto" w:sz="2" w:space="0"/>
              <w:bottom w:val="single" w:color="auto" w:sz="2" w:space="0"/>
              <w:right w:val="single" w:color="auto" w:sz="2" w:space="0"/>
            </w:tcBorders>
            <w:vAlign w:val="center"/>
          </w:tcPr>
          <w:p w14:paraId="36698ED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95.79%</w:t>
            </w:r>
          </w:p>
        </w:tc>
        <w:tc>
          <w:tcPr>
            <w:tcW w:w="1606" w:type="dxa"/>
            <w:tcBorders>
              <w:top w:val="single" w:color="auto" w:sz="2" w:space="0"/>
              <w:left w:val="single" w:color="auto" w:sz="2" w:space="0"/>
              <w:bottom w:val="single" w:color="auto" w:sz="2" w:space="0"/>
              <w:right w:val="single" w:color="auto" w:sz="2" w:space="0"/>
            </w:tcBorders>
            <w:vAlign w:val="center"/>
          </w:tcPr>
          <w:p w14:paraId="2239B934">
            <w:pPr>
              <w:spacing w:before="0" w:after="0" w:line="240" w:lineRule="exact"/>
              <w:jc w:val="right"/>
              <w:rPr>
                <w:rFonts w:ascii="宋体" w:hAnsi="宋体" w:eastAsia="宋体" w:cs="宋体"/>
                <w:sz w:val="18"/>
                <w:szCs w:val="18"/>
              </w:rPr>
            </w:pPr>
          </w:p>
        </w:tc>
      </w:tr>
    </w:tbl>
    <w:p w14:paraId="66080448">
      <w:pPr>
        <w:spacing w:before="100" w:after="100" w:line="0" w:lineRule="exact"/>
        <w:jc w:val="left"/>
      </w:pPr>
    </w:p>
    <w:p w14:paraId="5D39EF57">
      <w:pPr>
        <w:pStyle w:val="3"/>
        <w:keepNext/>
        <w:keepLines/>
        <w:spacing w:before="300" w:after="300" w:line="280" w:lineRule="exact"/>
        <w:jc w:val="left"/>
        <w:outlineLvl w:val="2"/>
        <w:rPr>
          <w:rFonts w:ascii="宋体" w:hAnsi="宋体" w:eastAsia="宋体" w:cs="宋体"/>
          <w:b/>
          <w:bCs/>
          <w:sz w:val="21"/>
          <w:szCs w:val="21"/>
        </w:rPr>
      </w:pPr>
      <w:bookmarkStart w:id="457" w:name="_Toc989254"/>
      <w:r>
        <w:rPr>
          <w:rFonts w:hint="default" w:ascii="Times New Roman" w:hAnsi="Times New Roman" w:eastAsia="宋体" w:cs="Times New Roman"/>
          <w:b/>
          <w:bCs/>
          <w:sz w:val="21"/>
          <w:szCs w:val="21"/>
        </w:rPr>
        <w:t>3</w:t>
      </w:r>
      <w:r>
        <w:rPr>
          <w:rFonts w:ascii="宋体" w:hAnsi="宋体" w:eastAsia="宋体" w:cs="宋体"/>
          <w:b/>
          <w:bCs/>
          <w:sz w:val="21"/>
          <w:szCs w:val="21"/>
        </w:rPr>
        <w:t>、长期股权投资</w:t>
      </w:r>
      <w:bookmarkEnd w:id="457"/>
    </w:p>
    <w:p w14:paraId="7B088F0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1EBF6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FEE25E5">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1DAA4D6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5961AA0D">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2884D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2214980"/>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08C4B56">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32A289B">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4D79B92">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64BBB10">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0C7705B">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839217E">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34CF5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27D0B74">
            <w:pPr>
              <w:spacing w:before="40" w:after="40" w:line="240" w:lineRule="exact"/>
              <w:jc w:val="left"/>
              <w:rPr>
                <w:rFonts w:ascii="宋体" w:hAnsi="宋体" w:eastAsia="宋体" w:cs="宋体"/>
                <w:sz w:val="18"/>
                <w:szCs w:val="18"/>
              </w:rPr>
            </w:pPr>
            <w:r>
              <w:rPr>
                <w:rFonts w:ascii="宋体" w:hAnsi="宋体" w:eastAsia="宋体" w:cs="宋体"/>
                <w:sz w:val="18"/>
                <w:szCs w:val="18"/>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14:paraId="29704F0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989,844,374.26</w:t>
            </w:r>
          </w:p>
        </w:tc>
        <w:tc>
          <w:tcPr>
            <w:tcW w:w="1377" w:type="dxa"/>
            <w:tcBorders>
              <w:top w:val="single" w:color="auto" w:sz="2" w:space="0"/>
              <w:left w:val="single" w:color="auto" w:sz="2" w:space="0"/>
              <w:bottom w:val="single" w:color="auto" w:sz="2" w:space="0"/>
              <w:right w:val="single" w:color="auto" w:sz="2" w:space="0"/>
            </w:tcBorders>
            <w:vAlign w:val="center"/>
          </w:tcPr>
          <w:p w14:paraId="489987B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594,973,513.80</w:t>
            </w:r>
          </w:p>
        </w:tc>
        <w:tc>
          <w:tcPr>
            <w:tcW w:w="1377" w:type="dxa"/>
            <w:tcBorders>
              <w:top w:val="single" w:color="auto" w:sz="2" w:space="0"/>
              <w:left w:val="single" w:color="auto" w:sz="2" w:space="0"/>
              <w:bottom w:val="single" w:color="auto" w:sz="2" w:space="0"/>
              <w:right w:val="single" w:color="auto" w:sz="2" w:space="0"/>
            </w:tcBorders>
            <w:vAlign w:val="center"/>
          </w:tcPr>
          <w:p w14:paraId="21695F7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394,870,860.46</w:t>
            </w:r>
          </w:p>
        </w:tc>
        <w:tc>
          <w:tcPr>
            <w:tcW w:w="1377" w:type="dxa"/>
            <w:tcBorders>
              <w:top w:val="single" w:color="auto" w:sz="2" w:space="0"/>
              <w:left w:val="single" w:color="auto" w:sz="2" w:space="0"/>
              <w:bottom w:val="single" w:color="auto" w:sz="2" w:space="0"/>
              <w:right w:val="single" w:color="auto" w:sz="2" w:space="0"/>
            </w:tcBorders>
            <w:vAlign w:val="center"/>
          </w:tcPr>
          <w:p w14:paraId="72528CB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985,403,051.91</w:t>
            </w:r>
          </w:p>
        </w:tc>
        <w:tc>
          <w:tcPr>
            <w:tcW w:w="1377" w:type="dxa"/>
            <w:tcBorders>
              <w:top w:val="single" w:color="auto" w:sz="2" w:space="0"/>
              <w:left w:val="single" w:color="auto" w:sz="2" w:space="0"/>
              <w:bottom w:val="single" w:color="auto" w:sz="2" w:space="0"/>
              <w:right w:val="single" w:color="auto" w:sz="2" w:space="0"/>
            </w:tcBorders>
            <w:vAlign w:val="center"/>
          </w:tcPr>
          <w:p w14:paraId="517510C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594,973,513.80</w:t>
            </w:r>
          </w:p>
        </w:tc>
        <w:tc>
          <w:tcPr>
            <w:tcW w:w="1377" w:type="dxa"/>
            <w:tcBorders>
              <w:top w:val="single" w:color="auto" w:sz="2" w:space="0"/>
              <w:left w:val="single" w:color="auto" w:sz="2" w:space="0"/>
              <w:bottom w:val="single" w:color="auto" w:sz="2" w:space="0"/>
              <w:right w:val="single" w:color="auto" w:sz="2" w:space="0"/>
            </w:tcBorders>
            <w:vAlign w:val="center"/>
          </w:tcPr>
          <w:p w14:paraId="18439D4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390,429,538.11</w:t>
            </w:r>
          </w:p>
        </w:tc>
      </w:tr>
      <w:tr w14:paraId="15F5A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CF8AADB">
            <w:pPr>
              <w:spacing w:before="40" w:after="40" w:line="240" w:lineRule="exact"/>
              <w:jc w:val="left"/>
              <w:rPr>
                <w:rFonts w:ascii="宋体" w:hAnsi="宋体" w:eastAsia="宋体" w:cs="宋体"/>
                <w:sz w:val="18"/>
                <w:szCs w:val="18"/>
              </w:rPr>
            </w:pPr>
            <w:r>
              <w:rPr>
                <w:rFonts w:ascii="宋体" w:hAnsi="宋体" w:eastAsia="宋体" w:cs="宋体"/>
                <w:sz w:val="18"/>
                <w:szCs w:val="18"/>
              </w:rPr>
              <w:t>对联营、合营企业投资</w:t>
            </w:r>
          </w:p>
        </w:tc>
        <w:tc>
          <w:tcPr>
            <w:tcW w:w="1377" w:type="dxa"/>
            <w:tcBorders>
              <w:top w:val="single" w:color="auto" w:sz="2" w:space="0"/>
              <w:left w:val="single" w:color="auto" w:sz="2" w:space="0"/>
              <w:bottom w:val="single" w:color="auto" w:sz="2" w:space="0"/>
              <w:right w:val="single" w:color="auto" w:sz="2" w:space="0"/>
            </w:tcBorders>
            <w:vAlign w:val="center"/>
          </w:tcPr>
          <w:p w14:paraId="728153D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55,064,780.44</w:t>
            </w:r>
          </w:p>
        </w:tc>
        <w:tc>
          <w:tcPr>
            <w:tcW w:w="1377" w:type="dxa"/>
            <w:tcBorders>
              <w:top w:val="single" w:color="auto" w:sz="2" w:space="0"/>
              <w:left w:val="single" w:color="auto" w:sz="2" w:space="0"/>
              <w:bottom w:val="single" w:color="auto" w:sz="2" w:space="0"/>
              <w:right w:val="single" w:color="auto" w:sz="2" w:space="0"/>
            </w:tcBorders>
            <w:vAlign w:val="center"/>
          </w:tcPr>
          <w:p w14:paraId="03734D3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55,064,780.44</w:t>
            </w:r>
          </w:p>
        </w:tc>
        <w:tc>
          <w:tcPr>
            <w:tcW w:w="1377" w:type="dxa"/>
            <w:tcBorders>
              <w:top w:val="single" w:color="auto" w:sz="2" w:space="0"/>
              <w:left w:val="single" w:color="auto" w:sz="2" w:space="0"/>
              <w:bottom w:val="single" w:color="auto" w:sz="2" w:space="0"/>
              <w:right w:val="single" w:color="auto" w:sz="2" w:space="0"/>
            </w:tcBorders>
            <w:vAlign w:val="center"/>
          </w:tcPr>
          <w:p w14:paraId="690F9F1F">
            <w:pPr>
              <w:spacing w:before="0" w:after="0" w:line="240" w:lineRule="exact"/>
              <w:jc w:val="right"/>
              <w:rPr>
                <w:rFonts w:hint="default"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6FFDE9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70,346,490.14</w:t>
            </w:r>
          </w:p>
        </w:tc>
        <w:tc>
          <w:tcPr>
            <w:tcW w:w="1377" w:type="dxa"/>
            <w:tcBorders>
              <w:top w:val="single" w:color="auto" w:sz="2" w:space="0"/>
              <w:left w:val="single" w:color="auto" w:sz="2" w:space="0"/>
              <w:bottom w:val="single" w:color="auto" w:sz="2" w:space="0"/>
              <w:right w:val="single" w:color="auto" w:sz="2" w:space="0"/>
            </w:tcBorders>
            <w:vAlign w:val="center"/>
          </w:tcPr>
          <w:p w14:paraId="430BF70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65,905,167.79</w:t>
            </w:r>
          </w:p>
        </w:tc>
        <w:tc>
          <w:tcPr>
            <w:tcW w:w="1377" w:type="dxa"/>
            <w:tcBorders>
              <w:top w:val="single" w:color="auto" w:sz="2" w:space="0"/>
              <w:left w:val="single" w:color="auto" w:sz="2" w:space="0"/>
              <w:bottom w:val="single" w:color="auto" w:sz="2" w:space="0"/>
              <w:right w:val="single" w:color="auto" w:sz="2" w:space="0"/>
            </w:tcBorders>
            <w:vAlign w:val="center"/>
          </w:tcPr>
          <w:p w14:paraId="54CAC63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4,441,322.35</w:t>
            </w:r>
          </w:p>
        </w:tc>
      </w:tr>
      <w:tr w14:paraId="771BA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DE4D1D6">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26F22AC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1,044,909,154.70</w:t>
            </w:r>
          </w:p>
        </w:tc>
        <w:tc>
          <w:tcPr>
            <w:tcW w:w="1377" w:type="dxa"/>
            <w:tcBorders>
              <w:top w:val="single" w:color="auto" w:sz="2" w:space="0"/>
              <w:left w:val="single" w:color="auto" w:sz="2" w:space="0"/>
              <w:bottom w:val="single" w:color="auto" w:sz="2" w:space="0"/>
              <w:right w:val="single" w:color="auto" w:sz="2" w:space="0"/>
            </w:tcBorders>
            <w:vAlign w:val="center"/>
          </w:tcPr>
          <w:p w14:paraId="1230B4A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650,038,294.24</w:t>
            </w:r>
          </w:p>
        </w:tc>
        <w:tc>
          <w:tcPr>
            <w:tcW w:w="1377" w:type="dxa"/>
            <w:tcBorders>
              <w:top w:val="single" w:color="auto" w:sz="2" w:space="0"/>
              <w:left w:val="single" w:color="auto" w:sz="2" w:space="0"/>
              <w:bottom w:val="single" w:color="auto" w:sz="2" w:space="0"/>
              <w:right w:val="single" w:color="auto" w:sz="2" w:space="0"/>
            </w:tcBorders>
            <w:vAlign w:val="center"/>
          </w:tcPr>
          <w:p w14:paraId="61B66D3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394,870,860.46</w:t>
            </w:r>
          </w:p>
        </w:tc>
        <w:tc>
          <w:tcPr>
            <w:tcW w:w="1377" w:type="dxa"/>
            <w:tcBorders>
              <w:top w:val="single" w:color="auto" w:sz="2" w:space="0"/>
              <w:left w:val="single" w:color="auto" w:sz="2" w:space="0"/>
              <w:bottom w:val="single" w:color="auto" w:sz="2" w:space="0"/>
              <w:right w:val="single" w:color="auto" w:sz="2" w:space="0"/>
            </w:tcBorders>
            <w:vAlign w:val="center"/>
          </w:tcPr>
          <w:p w14:paraId="19A8C64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1,055,749,542.05</w:t>
            </w:r>
          </w:p>
        </w:tc>
        <w:tc>
          <w:tcPr>
            <w:tcW w:w="1377" w:type="dxa"/>
            <w:tcBorders>
              <w:top w:val="single" w:color="auto" w:sz="2" w:space="0"/>
              <w:left w:val="single" w:color="auto" w:sz="2" w:space="0"/>
              <w:bottom w:val="single" w:color="auto" w:sz="2" w:space="0"/>
              <w:right w:val="single" w:color="auto" w:sz="2" w:space="0"/>
            </w:tcBorders>
            <w:vAlign w:val="center"/>
          </w:tcPr>
          <w:p w14:paraId="360024E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660,878,681.59</w:t>
            </w:r>
          </w:p>
        </w:tc>
        <w:tc>
          <w:tcPr>
            <w:tcW w:w="1377" w:type="dxa"/>
            <w:tcBorders>
              <w:top w:val="single" w:color="auto" w:sz="2" w:space="0"/>
              <w:left w:val="single" w:color="auto" w:sz="2" w:space="0"/>
              <w:bottom w:val="single" w:color="auto" w:sz="2" w:space="0"/>
              <w:right w:val="single" w:color="auto" w:sz="2" w:space="0"/>
            </w:tcBorders>
            <w:vAlign w:val="center"/>
          </w:tcPr>
          <w:p w14:paraId="3A50FA9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394,870,860.46</w:t>
            </w:r>
          </w:p>
        </w:tc>
      </w:tr>
    </w:tbl>
    <w:p w14:paraId="4E7AFDD0">
      <w:pPr>
        <w:keepNext/>
        <w:keepLines/>
        <w:spacing w:before="300" w:after="300" w:line="280" w:lineRule="exact"/>
        <w:jc w:val="left"/>
        <w:outlineLvl w:val="3"/>
        <w:rPr>
          <w:rFonts w:ascii="宋体" w:hAnsi="宋体" w:eastAsia="宋体" w:cs="宋体"/>
          <w:b/>
          <w:bCs/>
          <w:sz w:val="21"/>
          <w:szCs w:val="21"/>
        </w:rPr>
      </w:pPr>
      <w:bookmarkStart w:id="458" w:name="_Toc989255"/>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对子公司投资</w:t>
      </w:r>
      <w:bookmarkEnd w:id="458"/>
    </w:p>
    <w:p w14:paraId="2E5DDBF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23F22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E7399B5">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C2458B1">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08361F3">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15A0F1DC">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E73A9B0">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3923D42">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14:paraId="2667E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7B59217"/>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EAE3CB0"/>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2AAB73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C9A7BC3">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DCABD83">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B92B025">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04EF7EB">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8A3AA22"/>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03B2984"/>
        </w:tc>
      </w:tr>
      <w:tr w14:paraId="15310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D3B4A6B">
            <w:pPr>
              <w:spacing w:before="0" w:after="0" w:line="240" w:lineRule="exact"/>
              <w:jc w:val="left"/>
              <w:rPr>
                <w:rFonts w:ascii="宋体" w:hAnsi="宋体" w:eastAsia="宋体" w:cs="宋体"/>
                <w:sz w:val="18"/>
                <w:szCs w:val="18"/>
              </w:rPr>
            </w:pPr>
            <w:r>
              <w:rPr>
                <w:rFonts w:ascii="宋体" w:hAnsi="宋体" w:eastAsia="宋体" w:cs="宋体"/>
                <w:sz w:val="18"/>
                <w:szCs w:val="18"/>
              </w:rPr>
              <w:t>上海冠昊医疗器械有限公司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7987EEF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3,000,000.00</w:t>
            </w:r>
          </w:p>
        </w:tc>
        <w:tc>
          <w:tcPr>
            <w:tcW w:w="1071" w:type="dxa"/>
            <w:tcBorders>
              <w:top w:val="single" w:color="auto" w:sz="2" w:space="0"/>
              <w:left w:val="single" w:color="auto" w:sz="2" w:space="0"/>
              <w:bottom w:val="single" w:color="auto" w:sz="2" w:space="0"/>
              <w:right w:val="single" w:color="auto" w:sz="2" w:space="0"/>
            </w:tcBorders>
            <w:vAlign w:val="center"/>
          </w:tcPr>
          <w:p w14:paraId="6AD9B8B3">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FAA67E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9762636">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04A7DA9">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EE7E4DC">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0021E3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3,000,000.00</w:t>
            </w:r>
          </w:p>
        </w:tc>
        <w:tc>
          <w:tcPr>
            <w:tcW w:w="1071" w:type="dxa"/>
            <w:tcBorders>
              <w:top w:val="single" w:color="auto" w:sz="2" w:space="0"/>
              <w:left w:val="single" w:color="auto" w:sz="2" w:space="0"/>
              <w:bottom w:val="single" w:color="auto" w:sz="2" w:space="0"/>
              <w:right w:val="single" w:color="auto" w:sz="2" w:space="0"/>
            </w:tcBorders>
            <w:vAlign w:val="center"/>
          </w:tcPr>
          <w:p w14:paraId="23BC1145">
            <w:pPr>
              <w:spacing w:before="0" w:after="0" w:line="240" w:lineRule="exact"/>
              <w:jc w:val="right"/>
              <w:rPr>
                <w:rFonts w:hint="default" w:ascii="Times New Roman" w:hAnsi="Times New Roman" w:eastAsia="宋体" w:cs="Times New Roman"/>
                <w:sz w:val="18"/>
                <w:szCs w:val="18"/>
              </w:rPr>
            </w:pPr>
          </w:p>
        </w:tc>
      </w:tr>
      <w:tr w14:paraId="4462B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CE7EDDC">
            <w:pPr>
              <w:spacing w:before="0" w:after="0" w:line="240" w:lineRule="exact"/>
              <w:jc w:val="left"/>
              <w:rPr>
                <w:rFonts w:ascii="宋体" w:hAnsi="宋体" w:eastAsia="宋体" w:cs="宋体"/>
                <w:sz w:val="18"/>
                <w:szCs w:val="18"/>
              </w:rPr>
            </w:pPr>
            <w:r>
              <w:rPr>
                <w:rFonts w:ascii="宋体" w:hAnsi="宋体" w:eastAsia="宋体" w:cs="宋体"/>
                <w:sz w:val="18"/>
                <w:szCs w:val="18"/>
              </w:rPr>
              <w:t>冠昊生物科技（香港）有限公司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7984581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10,253,850.00</w:t>
            </w:r>
          </w:p>
        </w:tc>
        <w:tc>
          <w:tcPr>
            <w:tcW w:w="1071" w:type="dxa"/>
            <w:tcBorders>
              <w:top w:val="single" w:color="auto" w:sz="2" w:space="0"/>
              <w:left w:val="single" w:color="auto" w:sz="2" w:space="0"/>
              <w:bottom w:val="single" w:color="auto" w:sz="2" w:space="0"/>
              <w:right w:val="single" w:color="auto" w:sz="2" w:space="0"/>
            </w:tcBorders>
            <w:vAlign w:val="center"/>
          </w:tcPr>
          <w:p w14:paraId="44C8E34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391AF9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8A3A426">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6B42BB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5E67EA7">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DF4100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10,253,850.00</w:t>
            </w:r>
          </w:p>
        </w:tc>
        <w:tc>
          <w:tcPr>
            <w:tcW w:w="1071" w:type="dxa"/>
            <w:tcBorders>
              <w:top w:val="single" w:color="auto" w:sz="2" w:space="0"/>
              <w:left w:val="single" w:color="auto" w:sz="2" w:space="0"/>
              <w:bottom w:val="single" w:color="auto" w:sz="2" w:space="0"/>
              <w:right w:val="single" w:color="auto" w:sz="2" w:space="0"/>
            </w:tcBorders>
            <w:vAlign w:val="center"/>
          </w:tcPr>
          <w:p w14:paraId="0182001C">
            <w:pPr>
              <w:spacing w:before="0" w:after="0" w:line="240" w:lineRule="exact"/>
              <w:jc w:val="right"/>
              <w:rPr>
                <w:rFonts w:hint="default" w:ascii="Times New Roman" w:hAnsi="Times New Roman" w:eastAsia="宋体" w:cs="Times New Roman"/>
                <w:sz w:val="18"/>
                <w:szCs w:val="18"/>
              </w:rPr>
            </w:pPr>
          </w:p>
        </w:tc>
      </w:tr>
      <w:tr w14:paraId="0EA3D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7E739A8">
            <w:pPr>
              <w:spacing w:before="0" w:after="0" w:line="240" w:lineRule="exact"/>
              <w:jc w:val="left"/>
              <w:rPr>
                <w:rFonts w:ascii="宋体" w:hAnsi="宋体" w:eastAsia="宋体" w:cs="宋体"/>
                <w:sz w:val="18"/>
                <w:szCs w:val="18"/>
              </w:rPr>
            </w:pPr>
            <w:r>
              <w:rPr>
                <w:rFonts w:ascii="宋体" w:hAnsi="宋体" w:eastAsia="宋体" w:cs="宋体"/>
                <w:sz w:val="18"/>
                <w:szCs w:val="18"/>
              </w:rPr>
              <w:t>冠昊生命健康科技园有限公司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7601D49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85,000,000.00</w:t>
            </w:r>
          </w:p>
        </w:tc>
        <w:tc>
          <w:tcPr>
            <w:tcW w:w="1071" w:type="dxa"/>
            <w:tcBorders>
              <w:top w:val="single" w:color="auto" w:sz="2" w:space="0"/>
              <w:left w:val="single" w:color="auto" w:sz="2" w:space="0"/>
              <w:bottom w:val="single" w:color="auto" w:sz="2" w:space="0"/>
              <w:right w:val="single" w:color="auto" w:sz="2" w:space="0"/>
            </w:tcBorders>
            <w:vAlign w:val="center"/>
          </w:tcPr>
          <w:p w14:paraId="559BCDF9">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EDDAA1C">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E0A2A37">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EB6D6D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03B7A4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7AEF98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85,000,000.00</w:t>
            </w:r>
          </w:p>
        </w:tc>
        <w:tc>
          <w:tcPr>
            <w:tcW w:w="1071" w:type="dxa"/>
            <w:tcBorders>
              <w:top w:val="single" w:color="auto" w:sz="2" w:space="0"/>
              <w:left w:val="single" w:color="auto" w:sz="2" w:space="0"/>
              <w:bottom w:val="single" w:color="auto" w:sz="2" w:space="0"/>
              <w:right w:val="single" w:color="auto" w:sz="2" w:space="0"/>
            </w:tcBorders>
            <w:vAlign w:val="center"/>
          </w:tcPr>
          <w:p w14:paraId="16D0761D">
            <w:pPr>
              <w:spacing w:before="0" w:after="0" w:line="240" w:lineRule="exact"/>
              <w:jc w:val="right"/>
              <w:rPr>
                <w:rFonts w:hint="default" w:ascii="Times New Roman" w:hAnsi="Times New Roman" w:eastAsia="宋体" w:cs="Times New Roman"/>
                <w:sz w:val="18"/>
                <w:szCs w:val="18"/>
              </w:rPr>
            </w:pPr>
          </w:p>
        </w:tc>
      </w:tr>
      <w:tr w14:paraId="06E35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B80DA34">
            <w:pPr>
              <w:spacing w:before="0" w:after="0" w:line="240" w:lineRule="exact"/>
              <w:jc w:val="left"/>
              <w:rPr>
                <w:rFonts w:ascii="宋体" w:hAnsi="宋体" w:eastAsia="宋体" w:cs="宋体"/>
                <w:sz w:val="18"/>
                <w:szCs w:val="18"/>
              </w:rPr>
            </w:pPr>
            <w:r>
              <w:rPr>
                <w:rFonts w:ascii="宋体" w:hAnsi="宋体" w:eastAsia="宋体" w:cs="宋体"/>
                <w:sz w:val="18"/>
                <w:szCs w:val="18"/>
              </w:rPr>
              <w:t>广东冠昊再生医学科技开发有限公司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787ADBD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140,000,020.00</w:t>
            </w:r>
          </w:p>
        </w:tc>
        <w:tc>
          <w:tcPr>
            <w:tcW w:w="1071" w:type="dxa"/>
            <w:tcBorders>
              <w:top w:val="single" w:color="auto" w:sz="2" w:space="0"/>
              <w:left w:val="single" w:color="auto" w:sz="2" w:space="0"/>
              <w:bottom w:val="single" w:color="auto" w:sz="2" w:space="0"/>
              <w:right w:val="single" w:color="auto" w:sz="2" w:space="0"/>
            </w:tcBorders>
            <w:vAlign w:val="center"/>
          </w:tcPr>
          <w:p w14:paraId="311E4643">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A8DC1B6">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AB7A0C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CDFBCD7">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458F1F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2044DA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140,000,020.00</w:t>
            </w:r>
          </w:p>
        </w:tc>
        <w:tc>
          <w:tcPr>
            <w:tcW w:w="1071" w:type="dxa"/>
            <w:tcBorders>
              <w:top w:val="single" w:color="auto" w:sz="2" w:space="0"/>
              <w:left w:val="single" w:color="auto" w:sz="2" w:space="0"/>
              <w:bottom w:val="single" w:color="auto" w:sz="2" w:space="0"/>
              <w:right w:val="single" w:color="auto" w:sz="2" w:space="0"/>
            </w:tcBorders>
            <w:vAlign w:val="center"/>
          </w:tcPr>
          <w:p w14:paraId="7A999750">
            <w:pPr>
              <w:spacing w:before="0" w:after="0" w:line="240" w:lineRule="exact"/>
              <w:jc w:val="right"/>
              <w:rPr>
                <w:rFonts w:hint="default" w:ascii="Times New Roman" w:hAnsi="Times New Roman" w:eastAsia="宋体" w:cs="Times New Roman"/>
                <w:sz w:val="18"/>
                <w:szCs w:val="18"/>
              </w:rPr>
            </w:pPr>
          </w:p>
        </w:tc>
      </w:tr>
      <w:tr w14:paraId="5A4B2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65BC79A">
            <w:pPr>
              <w:spacing w:before="0" w:after="0" w:line="240" w:lineRule="exact"/>
              <w:jc w:val="left"/>
              <w:rPr>
                <w:rFonts w:ascii="宋体" w:hAnsi="宋体" w:eastAsia="宋体" w:cs="宋体"/>
                <w:sz w:val="18"/>
                <w:szCs w:val="18"/>
              </w:rPr>
            </w:pPr>
            <w:r>
              <w:rPr>
                <w:rFonts w:ascii="宋体" w:hAnsi="宋体" w:eastAsia="宋体" w:cs="宋体"/>
                <w:sz w:val="18"/>
                <w:szCs w:val="18"/>
              </w:rPr>
              <w:t>广东冠昊医用材料开发有限公司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46D7015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10,000,000.00</w:t>
            </w:r>
          </w:p>
        </w:tc>
        <w:tc>
          <w:tcPr>
            <w:tcW w:w="1071" w:type="dxa"/>
            <w:tcBorders>
              <w:top w:val="single" w:color="auto" w:sz="2" w:space="0"/>
              <w:left w:val="single" w:color="auto" w:sz="2" w:space="0"/>
              <w:bottom w:val="single" w:color="auto" w:sz="2" w:space="0"/>
              <w:right w:val="single" w:color="auto" w:sz="2" w:space="0"/>
            </w:tcBorders>
            <w:vAlign w:val="center"/>
          </w:tcPr>
          <w:p w14:paraId="698BFE5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0A7DDD4">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BEF26F9">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FCC80E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DE04EF1">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97B88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10,000,000.00</w:t>
            </w:r>
          </w:p>
        </w:tc>
        <w:tc>
          <w:tcPr>
            <w:tcW w:w="1071" w:type="dxa"/>
            <w:tcBorders>
              <w:top w:val="single" w:color="auto" w:sz="2" w:space="0"/>
              <w:left w:val="single" w:color="auto" w:sz="2" w:space="0"/>
              <w:bottom w:val="single" w:color="auto" w:sz="2" w:space="0"/>
              <w:right w:val="single" w:color="auto" w:sz="2" w:space="0"/>
            </w:tcBorders>
            <w:vAlign w:val="center"/>
          </w:tcPr>
          <w:p w14:paraId="48B1EF93">
            <w:pPr>
              <w:spacing w:before="0" w:after="0" w:line="240" w:lineRule="exact"/>
              <w:jc w:val="right"/>
              <w:rPr>
                <w:rFonts w:hint="default" w:ascii="Times New Roman" w:hAnsi="Times New Roman" w:eastAsia="宋体" w:cs="Times New Roman"/>
                <w:sz w:val="18"/>
                <w:szCs w:val="18"/>
              </w:rPr>
            </w:pPr>
          </w:p>
        </w:tc>
      </w:tr>
      <w:tr w14:paraId="1DF63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0859622">
            <w:pPr>
              <w:spacing w:before="0" w:after="0" w:line="240" w:lineRule="exact"/>
              <w:jc w:val="left"/>
              <w:rPr>
                <w:rFonts w:ascii="宋体" w:hAnsi="宋体" w:eastAsia="宋体" w:cs="宋体"/>
                <w:sz w:val="18"/>
                <w:szCs w:val="18"/>
              </w:rPr>
            </w:pPr>
            <w:r>
              <w:rPr>
                <w:rFonts w:ascii="宋体" w:hAnsi="宋体" w:eastAsia="宋体" w:cs="宋体"/>
                <w:sz w:val="18"/>
                <w:szCs w:val="18"/>
              </w:rPr>
              <w:t>杭州明兴生物科技有限公司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4542E46C">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906638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30,000,000.00</w:t>
            </w:r>
          </w:p>
        </w:tc>
        <w:tc>
          <w:tcPr>
            <w:tcW w:w="1071" w:type="dxa"/>
            <w:tcBorders>
              <w:top w:val="single" w:color="auto" w:sz="2" w:space="0"/>
              <w:left w:val="single" w:color="auto" w:sz="2" w:space="0"/>
              <w:bottom w:val="single" w:color="auto" w:sz="2" w:space="0"/>
              <w:right w:val="single" w:color="auto" w:sz="2" w:space="0"/>
            </w:tcBorders>
            <w:vAlign w:val="center"/>
          </w:tcPr>
          <w:p w14:paraId="67195C5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82DD763">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42E95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DDEFE7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B28CC56">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D4A461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30,000,000.00</w:t>
            </w:r>
          </w:p>
        </w:tc>
      </w:tr>
      <w:tr w14:paraId="79BC5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71CBCCD">
            <w:pPr>
              <w:spacing w:before="0" w:after="0" w:line="240" w:lineRule="exact"/>
              <w:jc w:val="left"/>
              <w:rPr>
                <w:rFonts w:ascii="宋体" w:hAnsi="宋体" w:eastAsia="宋体" w:cs="宋体"/>
                <w:sz w:val="18"/>
                <w:szCs w:val="18"/>
              </w:rPr>
            </w:pPr>
            <w:r>
              <w:rPr>
                <w:rFonts w:ascii="宋体" w:hAnsi="宋体" w:eastAsia="宋体" w:cs="宋体"/>
                <w:sz w:val="18"/>
                <w:szCs w:val="18"/>
              </w:rPr>
              <w:t>北京申佑医学研究有限公司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780CB6B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6,208,827.88</w:t>
            </w:r>
          </w:p>
        </w:tc>
        <w:tc>
          <w:tcPr>
            <w:tcW w:w="1071" w:type="dxa"/>
            <w:tcBorders>
              <w:top w:val="single" w:color="auto" w:sz="2" w:space="0"/>
              <w:left w:val="single" w:color="auto" w:sz="2" w:space="0"/>
              <w:bottom w:val="single" w:color="auto" w:sz="2" w:space="0"/>
              <w:right w:val="single" w:color="auto" w:sz="2" w:space="0"/>
            </w:tcBorders>
            <w:vAlign w:val="center"/>
          </w:tcPr>
          <w:p w14:paraId="322143B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9,473,519.59</w:t>
            </w:r>
          </w:p>
        </w:tc>
        <w:tc>
          <w:tcPr>
            <w:tcW w:w="1071" w:type="dxa"/>
            <w:tcBorders>
              <w:top w:val="single" w:color="auto" w:sz="2" w:space="0"/>
              <w:left w:val="single" w:color="auto" w:sz="2" w:space="0"/>
              <w:bottom w:val="single" w:color="auto" w:sz="2" w:space="0"/>
              <w:right w:val="single" w:color="auto" w:sz="2" w:space="0"/>
            </w:tcBorders>
            <w:vAlign w:val="center"/>
          </w:tcPr>
          <w:p w14:paraId="002450F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682,347.47</w:t>
            </w:r>
          </w:p>
        </w:tc>
        <w:tc>
          <w:tcPr>
            <w:tcW w:w="1071" w:type="dxa"/>
            <w:tcBorders>
              <w:top w:val="single" w:color="auto" w:sz="2" w:space="0"/>
              <w:left w:val="single" w:color="auto" w:sz="2" w:space="0"/>
              <w:bottom w:val="single" w:color="auto" w:sz="2" w:space="0"/>
              <w:right w:val="single" w:color="auto" w:sz="2" w:space="0"/>
            </w:tcBorders>
            <w:vAlign w:val="center"/>
          </w:tcPr>
          <w:p w14:paraId="10637866">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EE678D9">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B0E6034">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DC042B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6,208,827.88</w:t>
            </w:r>
          </w:p>
        </w:tc>
        <w:tc>
          <w:tcPr>
            <w:tcW w:w="1071" w:type="dxa"/>
            <w:tcBorders>
              <w:top w:val="single" w:color="auto" w:sz="2" w:space="0"/>
              <w:left w:val="single" w:color="auto" w:sz="2" w:space="0"/>
              <w:bottom w:val="single" w:color="auto" w:sz="2" w:space="0"/>
              <w:right w:val="single" w:color="auto" w:sz="2" w:space="0"/>
            </w:tcBorders>
            <w:vAlign w:val="center"/>
          </w:tcPr>
          <w:p w14:paraId="737979D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9,473,519.59</w:t>
            </w:r>
          </w:p>
        </w:tc>
      </w:tr>
      <w:tr w14:paraId="789DD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D41C525">
            <w:pPr>
              <w:spacing w:before="0" w:after="0" w:line="240" w:lineRule="exact"/>
              <w:jc w:val="left"/>
              <w:rPr>
                <w:rFonts w:ascii="宋体" w:hAnsi="宋体" w:eastAsia="宋体" w:cs="宋体"/>
                <w:sz w:val="18"/>
                <w:szCs w:val="18"/>
              </w:rPr>
            </w:pPr>
            <w:r>
              <w:rPr>
                <w:rFonts w:ascii="宋体" w:hAnsi="宋体" w:eastAsia="宋体" w:cs="宋体"/>
                <w:sz w:val="18"/>
                <w:szCs w:val="18"/>
              </w:rPr>
              <w:t>珠海市祥乐医疗器械有限公司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3E4AB21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7AB972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555,499,994.21</w:t>
            </w:r>
          </w:p>
        </w:tc>
        <w:tc>
          <w:tcPr>
            <w:tcW w:w="1071" w:type="dxa"/>
            <w:tcBorders>
              <w:top w:val="single" w:color="auto" w:sz="2" w:space="0"/>
              <w:left w:val="single" w:color="auto" w:sz="2" w:space="0"/>
              <w:bottom w:val="single" w:color="auto" w:sz="2" w:space="0"/>
              <w:right w:val="single" w:color="auto" w:sz="2" w:space="0"/>
            </w:tcBorders>
            <w:vAlign w:val="center"/>
          </w:tcPr>
          <w:p w14:paraId="47C23A9B">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3B6052D">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B511241">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035444D">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C39DC43">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92537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555,499,994.21</w:t>
            </w:r>
          </w:p>
        </w:tc>
      </w:tr>
      <w:tr w14:paraId="54E6C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8BCAE9A">
            <w:pPr>
              <w:spacing w:before="0" w:after="0" w:line="240" w:lineRule="exact"/>
              <w:jc w:val="left"/>
              <w:rPr>
                <w:rFonts w:ascii="宋体" w:hAnsi="宋体" w:eastAsia="宋体" w:cs="宋体"/>
                <w:sz w:val="18"/>
                <w:szCs w:val="18"/>
              </w:rPr>
            </w:pPr>
            <w:r>
              <w:rPr>
                <w:rFonts w:ascii="宋体" w:hAnsi="宋体" w:eastAsia="宋体" w:cs="宋体"/>
                <w:sz w:val="18"/>
                <w:szCs w:val="18"/>
              </w:rPr>
              <w:t>北京文丰天济医药科技有限公司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18A0449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19,359,857.32</w:t>
            </w:r>
          </w:p>
        </w:tc>
        <w:tc>
          <w:tcPr>
            <w:tcW w:w="1071" w:type="dxa"/>
            <w:tcBorders>
              <w:top w:val="single" w:color="auto" w:sz="2" w:space="0"/>
              <w:left w:val="single" w:color="auto" w:sz="2" w:space="0"/>
              <w:bottom w:val="single" w:color="auto" w:sz="2" w:space="0"/>
              <w:right w:val="single" w:color="auto" w:sz="2" w:space="0"/>
            </w:tcBorders>
            <w:vAlign w:val="center"/>
          </w:tcPr>
          <w:p w14:paraId="542AAFC3">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ACFA143">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B3754E">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2A20D77">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0B85F11">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32833C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19,359,857.32</w:t>
            </w:r>
          </w:p>
        </w:tc>
        <w:tc>
          <w:tcPr>
            <w:tcW w:w="1071" w:type="dxa"/>
            <w:tcBorders>
              <w:top w:val="single" w:color="auto" w:sz="2" w:space="0"/>
              <w:left w:val="single" w:color="auto" w:sz="2" w:space="0"/>
              <w:bottom w:val="single" w:color="auto" w:sz="2" w:space="0"/>
              <w:right w:val="single" w:color="auto" w:sz="2" w:space="0"/>
            </w:tcBorders>
            <w:vAlign w:val="center"/>
          </w:tcPr>
          <w:p w14:paraId="16F24B57">
            <w:pPr>
              <w:spacing w:before="0" w:after="0" w:line="240" w:lineRule="exact"/>
              <w:jc w:val="right"/>
              <w:rPr>
                <w:rFonts w:hint="default" w:ascii="Times New Roman" w:hAnsi="Times New Roman" w:eastAsia="宋体" w:cs="Times New Roman"/>
                <w:sz w:val="18"/>
                <w:szCs w:val="18"/>
              </w:rPr>
            </w:pPr>
          </w:p>
        </w:tc>
      </w:tr>
      <w:tr w14:paraId="04271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C6A0364">
            <w:pPr>
              <w:spacing w:before="0" w:after="0" w:line="240" w:lineRule="exact"/>
              <w:jc w:val="left"/>
              <w:rPr>
                <w:rFonts w:ascii="宋体" w:hAnsi="宋体" w:eastAsia="宋体" w:cs="宋体"/>
                <w:sz w:val="18"/>
                <w:szCs w:val="18"/>
              </w:rPr>
            </w:pPr>
            <w:r>
              <w:rPr>
                <w:rFonts w:ascii="宋体" w:hAnsi="宋体" w:eastAsia="宋体" w:cs="宋体"/>
                <w:sz w:val="18"/>
                <w:szCs w:val="18"/>
              </w:rPr>
              <w:t>广东中昊药业有限公司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0CE4E7D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11,606,982.91</w:t>
            </w:r>
          </w:p>
        </w:tc>
        <w:tc>
          <w:tcPr>
            <w:tcW w:w="1071" w:type="dxa"/>
            <w:tcBorders>
              <w:top w:val="single" w:color="auto" w:sz="2" w:space="0"/>
              <w:left w:val="single" w:color="auto" w:sz="2" w:space="0"/>
              <w:bottom w:val="single" w:color="auto" w:sz="2" w:space="0"/>
              <w:right w:val="single" w:color="auto" w:sz="2" w:space="0"/>
            </w:tcBorders>
            <w:vAlign w:val="center"/>
          </w:tcPr>
          <w:p w14:paraId="57931661">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3AFC0F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23DFE01">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8132054">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A8145FE">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7CA173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11,606,982.91</w:t>
            </w:r>
          </w:p>
        </w:tc>
        <w:tc>
          <w:tcPr>
            <w:tcW w:w="1071" w:type="dxa"/>
            <w:tcBorders>
              <w:top w:val="single" w:color="auto" w:sz="2" w:space="0"/>
              <w:left w:val="single" w:color="auto" w:sz="2" w:space="0"/>
              <w:bottom w:val="single" w:color="auto" w:sz="2" w:space="0"/>
              <w:right w:val="single" w:color="auto" w:sz="2" w:space="0"/>
            </w:tcBorders>
            <w:vAlign w:val="center"/>
          </w:tcPr>
          <w:p w14:paraId="6190893E">
            <w:pPr>
              <w:spacing w:before="0" w:after="0" w:line="240" w:lineRule="exact"/>
              <w:jc w:val="right"/>
              <w:rPr>
                <w:rFonts w:hint="default" w:ascii="Times New Roman" w:hAnsi="Times New Roman" w:eastAsia="宋体" w:cs="Times New Roman"/>
                <w:sz w:val="18"/>
                <w:szCs w:val="18"/>
              </w:rPr>
            </w:pPr>
          </w:p>
        </w:tc>
      </w:tr>
      <w:tr w14:paraId="61138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69DD0AF">
            <w:pPr>
              <w:spacing w:before="0" w:after="0" w:line="240" w:lineRule="exact"/>
              <w:jc w:val="left"/>
              <w:rPr>
                <w:rFonts w:ascii="宋体" w:hAnsi="宋体" w:eastAsia="宋体" w:cs="宋体"/>
                <w:sz w:val="18"/>
                <w:szCs w:val="18"/>
              </w:rPr>
            </w:pPr>
            <w:r>
              <w:rPr>
                <w:rFonts w:ascii="宋体" w:hAnsi="宋体" w:eastAsia="宋体" w:cs="宋体"/>
                <w:sz w:val="18"/>
                <w:szCs w:val="18"/>
              </w:rPr>
              <w:t>广东天昊药业有限公司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4E2A751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105,000,000.00</w:t>
            </w:r>
          </w:p>
        </w:tc>
        <w:tc>
          <w:tcPr>
            <w:tcW w:w="1071" w:type="dxa"/>
            <w:tcBorders>
              <w:top w:val="single" w:color="auto" w:sz="2" w:space="0"/>
              <w:left w:val="single" w:color="auto" w:sz="2" w:space="0"/>
              <w:bottom w:val="single" w:color="auto" w:sz="2" w:space="0"/>
              <w:right w:val="single" w:color="auto" w:sz="2" w:space="0"/>
            </w:tcBorders>
            <w:vAlign w:val="center"/>
          </w:tcPr>
          <w:p w14:paraId="606E5DC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2F69B6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30,000,000.00</w:t>
            </w:r>
          </w:p>
        </w:tc>
        <w:tc>
          <w:tcPr>
            <w:tcW w:w="1071" w:type="dxa"/>
            <w:tcBorders>
              <w:top w:val="single" w:color="auto" w:sz="2" w:space="0"/>
              <w:left w:val="single" w:color="auto" w:sz="2" w:space="0"/>
              <w:bottom w:val="single" w:color="auto" w:sz="2" w:space="0"/>
              <w:right w:val="single" w:color="auto" w:sz="2" w:space="0"/>
            </w:tcBorders>
            <w:vAlign w:val="center"/>
          </w:tcPr>
          <w:p w14:paraId="01C3816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E1D6FB9">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74F6F16">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87BD17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105,000,000.00</w:t>
            </w:r>
          </w:p>
        </w:tc>
        <w:tc>
          <w:tcPr>
            <w:tcW w:w="1071" w:type="dxa"/>
            <w:tcBorders>
              <w:top w:val="single" w:color="auto" w:sz="2" w:space="0"/>
              <w:left w:val="single" w:color="auto" w:sz="2" w:space="0"/>
              <w:bottom w:val="single" w:color="auto" w:sz="2" w:space="0"/>
              <w:right w:val="single" w:color="auto" w:sz="2" w:space="0"/>
            </w:tcBorders>
            <w:vAlign w:val="center"/>
          </w:tcPr>
          <w:p w14:paraId="11E7FBC8">
            <w:pPr>
              <w:spacing w:before="0" w:after="0" w:line="240" w:lineRule="exact"/>
              <w:jc w:val="right"/>
              <w:rPr>
                <w:rFonts w:hint="default" w:ascii="Times New Roman" w:hAnsi="Times New Roman" w:eastAsia="宋体" w:cs="Times New Roman"/>
                <w:sz w:val="18"/>
                <w:szCs w:val="18"/>
              </w:rPr>
            </w:pPr>
          </w:p>
        </w:tc>
      </w:tr>
      <w:tr w14:paraId="2A3F5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FD23122">
            <w:pPr>
              <w:spacing w:before="0" w:after="0" w:line="240" w:lineRule="exact"/>
              <w:jc w:val="left"/>
              <w:rPr>
                <w:rFonts w:ascii="宋体" w:hAnsi="宋体" w:eastAsia="宋体" w:cs="宋体"/>
                <w:sz w:val="18"/>
                <w:szCs w:val="18"/>
              </w:rPr>
            </w:pPr>
            <w:r>
              <w:rPr>
                <w:rFonts w:ascii="宋体" w:hAnsi="宋体" w:eastAsia="宋体" w:cs="宋体"/>
                <w:sz w:val="18"/>
                <w:szCs w:val="18"/>
              </w:rPr>
              <w:t>北京宏冠再生医学科技有限公司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0A8345AD">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0D93163">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B667CE4">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53AB21E">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473285B">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44933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4,441,322.35</w:t>
            </w:r>
          </w:p>
        </w:tc>
        <w:tc>
          <w:tcPr>
            <w:tcW w:w="1071" w:type="dxa"/>
            <w:tcBorders>
              <w:top w:val="single" w:color="auto" w:sz="2" w:space="0"/>
              <w:left w:val="single" w:color="auto" w:sz="2" w:space="0"/>
              <w:bottom w:val="single" w:color="auto" w:sz="2" w:space="0"/>
              <w:right w:val="single" w:color="auto" w:sz="2" w:space="0"/>
            </w:tcBorders>
            <w:vAlign w:val="center"/>
          </w:tcPr>
          <w:p w14:paraId="22CE0FE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4,441,322.35</w:t>
            </w:r>
          </w:p>
        </w:tc>
        <w:tc>
          <w:tcPr>
            <w:tcW w:w="1071" w:type="dxa"/>
            <w:tcBorders>
              <w:top w:val="single" w:color="auto" w:sz="2" w:space="0"/>
              <w:left w:val="single" w:color="auto" w:sz="2" w:space="0"/>
              <w:bottom w:val="single" w:color="auto" w:sz="2" w:space="0"/>
              <w:right w:val="single" w:color="auto" w:sz="2" w:space="0"/>
            </w:tcBorders>
            <w:vAlign w:val="center"/>
          </w:tcPr>
          <w:p w14:paraId="7AE89B37">
            <w:pPr>
              <w:spacing w:before="0" w:after="0" w:line="240" w:lineRule="exact"/>
              <w:jc w:val="right"/>
              <w:rPr>
                <w:rFonts w:hint="default" w:ascii="Times New Roman" w:hAnsi="Times New Roman" w:eastAsia="宋体" w:cs="Times New Roman"/>
                <w:sz w:val="18"/>
                <w:szCs w:val="18"/>
              </w:rPr>
            </w:pPr>
          </w:p>
        </w:tc>
      </w:tr>
      <w:tr w14:paraId="6AA64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F9C5EF1">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14:paraId="064A36A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390,429,538.11</w:t>
            </w:r>
          </w:p>
        </w:tc>
        <w:tc>
          <w:tcPr>
            <w:tcW w:w="1071" w:type="dxa"/>
            <w:tcBorders>
              <w:top w:val="single" w:color="auto" w:sz="2" w:space="0"/>
              <w:left w:val="single" w:color="auto" w:sz="2" w:space="0"/>
              <w:bottom w:val="single" w:color="auto" w:sz="2" w:space="0"/>
              <w:right w:val="single" w:color="auto" w:sz="2" w:space="0"/>
            </w:tcBorders>
            <w:vAlign w:val="center"/>
          </w:tcPr>
          <w:p w14:paraId="6A43D8C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594,973,513.80</w:t>
            </w:r>
          </w:p>
        </w:tc>
        <w:tc>
          <w:tcPr>
            <w:tcW w:w="1071" w:type="dxa"/>
            <w:tcBorders>
              <w:top w:val="single" w:color="auto" w:sz="2" w:space="0"/>
              <w:left w:val="single" w:color="auto" w:sz="2" w:space="0"/>
              <w:bottom w:val="single" w:color="auto" w:sz="2" w:space="0"/>
              <w:right w:val="single" w:color="auto" w:sz="2" w:space="0"/>
            </w:tcBorders>
            <w:vAlign w:val="center"/>
          </w:tcPr>
          <w:p w14:paraId="28A0177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30,682,347.47</w:t>
            </w:r>
          </w:p>
        </w:tc>
        <w:tc>
          <w:tcPr>
            <w:tcW w:w="1071" w:type="dxa"/>
            <w:tcBorders>
              <w:top w:val="single" w:color="auto" w:sz="2" w:space="0"/>
              <w:left w:val="single" w:color="auto" w:sz="2" w:space="0"/>
              <w:bottom w:val="single" w:color="auto" w:sz="2" w:space="0"/>
              <w:right w:val="single" w:color="auto" w:sz="2" w:space="0"/>
            </w:tcBorders>
            <w:vAlign w:val="center"/>
          </w:tcPr>
          <w:p w14:paraId="1C20598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75988B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B8A1C8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4,441,322.35</w:t>
            </w:r>
          </w:p>
        </w:tc>
        <w:tc>
          <w:tcPr>
            <w:tcW w:w="1071" w:type="dxa"/>
            <w:tcBorders>
              <w:top w:val="single" w:color="auto" w:sz="2" w:space="0"/>
              <w:left w:val="single" w:color="auto" w:sz="2" w:space="0"/>
              <w:bottom w:val="single" w:color="auto" w:sz="2" w:space="0"/>
              <w:right w:val="single" w:color="auto" w:sz="2" w:space="0"/>
            </w:tcBorders>
            <w:vAlign w:val="center"/>
          </w:tcPr>
          <w:p w14:paraId="3D46E34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394,870,860.46</w:t>
            </w:r>
          </w:p>
        </w:tc>
        <w:tc>
          <w:tcPr>
            <w:tcW w:w="1071" w:type="dxa"/>
            <w:tcBorders>
              <w:top w:val="single" w:color="auto" w:sz="2" w:space="0"/>
              <w:left w:val="single" w:color="auto" w:sz="2" w:space="0"/>
              <w:bottom w:val="single" w:color="auto" w:sz="2" w:space="0"/>
              <w:right w:val="single" w:color="auto" w:sz="2" w:space="0"/>
            </w:tcBorders>
            <w:vAlign w:val="center"/>
          </w:tcPr>
          <w:p w14:paraId="0948D2F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594,973,513.80</w:t>
            </w:r>
          </w:p>
        </w:tc>
      </w:tr>
    </w:tbl>
    <w:p w14:paraId="51106520">
      <w:pPr>
        <w:keepNext/>
        <w:keepLines/>
        <w:spacing w:before="300" w:after="300" w:line="280" w:lineRule="exact"/>
        <w:jc w:val="left"/>
        <w:outlineLvl w:val="3"/>
        <w:rPr>
          <w:rFonts w:ascii="宋体" w:hAnsi="宋体" w:eastAsia="宋体" w:cs="宋体"/>
          <w:b/>
          <w:bCs/>
          <w:sz w:val="21"/>
          <w:szCs w:val="21"/>
        </w:rPr>
      </w:pPr>
      <w:bookmarkStart w:id="459" w:name="_Toc989256"/>
      <w:r>
        <w:rPr>
          <w:rFonts w:ascii="宋体" w:hAnsi="宋体" w:eastAsia="宋体" w:cs="宋体"/>
          <w:b/>
          <w:bCs/>
          <w:sz w:val="21"/>
          <w:szCs w:val="21"/>
        </w:rPr>
        <w:t>（</w:t>
      </w:r>
      <w:r>
        <w:rPr>
          <w:rFonts w:hint="default" w:ascii="Times New Roman" w:hAnsi="Times New Roman" w:eastAsia="宋体" w:cs="Times New Roman"/>
          <w:b/>
          <w:bCs/>
          <w:sz w:val="21"/>
          <w:szCs w:val="21"/>
        </w:rPr>
        <w:t>2</w:t>
      </w:r>
      <w:r>
        <w:rPr>
          <w:rFonts w:ascii="宋体" w:hAnsi="宋体" w:eastAsia="宋体" w:cs="宋体"/>
          <w:b/>
          <w:bCs/>
          <w:sz w:val="21"/>
          <w:szCs w:val="21"/>
        </w:rPr>
        <w:t>） 对联营、合营企业投资</w:t>
      </w:r>
      <w:bookmarkEnd w:id="459"/>
    </w:p>
    <w:p w14:paraId="284FD60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14:paraId="1DEFF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7B35E9D">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6937E2F">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0FB327D">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14:paraId="2C2705AD">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FE606F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FDDF385">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14:paraId="46BAA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1D1972E"/>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2DC0C01"/>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B8BE2C5"/>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BF3319C">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237A8B4">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07D8643">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8E1D4FD">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DC133DC">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BCB0D07">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BCBB5F7">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AF77D7B">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A179E27"/>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A00F9CA"/>
        </w:tc>
      </w:tr>
      <w:tr w14:paraId="3F96C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56BBE036">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14:paraId="3687F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59DA6100">
            <w:pPr>
              <w:spacing w:before="0" w:after="0" w:line="240" w:lineRule="exact"/>
              <w:jc w:val="left"/>
              <w:rPr>
                <w:rFonts w:ascii="宋体" w:hAnsi="宋体" w:eastAsia="宋体" w:cs="宋体"/>
                <w:sz w:val="18"/>
                <w:szCs w:val="18"/>
              </w:rPr>
            </w:pPr>
            <w:r>
              <w:rPr>
                <w:rFonts w:ascii="宋体" w:hAnsi="宋体" w:eastAsia="宋体" w:cs="宋体"/>
                <w:sz w:val="18"/>
                <w:szCs w:val="18"/>
              </w:rPr>
              <w:t>北京宏冠再生医学科技有限公司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1325E49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4,441,322.35</w:t>
            </w:r>
          </w:p>
        </w:tc>
        <w:tc>
          <w:tcPr>
            <w:tcW w:w="741" w:type="dxa"/>
            <w:tcBorders>
              <w:top w:val="single" w:color="auto" w:sz="2" w:space="0"/>
              <w:left w:val="single" w:color="auto" w:sz="2" w:space="0"/>
              <w:bottom w:val="single" w:color="auto" w:sz="2" w:space="0"/>
              <w:right w:val="single" w:color="auto" w:sz="2" w:space="0"/>
            </w:tcBorders>
            <w:vAlign w:val="center"/>
          </w:tcPr>
          <w:p w14:paraId="09DE31D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10,840,387.35</w:t>
            </w:r>
          </w:p>
        </w:tc>
        <w:tc>
          <w:tcPr>
            <w:tcW w:w="741" w:type="dxa"/>
            <w:tcBorders>
              <w:top w:val="single" w:color="auto" w:sz="2" w:space="0"/>
              <w:left w:val="single" w:color="auto" w:sz="2" w:space="0"/>
              <w:bottom w:val="single" w:color="auto" w:sz="2" w:space="0"/>
              <w:right w:val="single" w:color="auto" w:sz="2" w:space="0"/>
            </w:tcBorders>
            <w:vAlign w:val="center"/>
          </w:tcPr>
          <w:p w14:paraId="509CD57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849703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F7436C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4A8A9A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815B9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B2392A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65D3FE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7426B3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-4,441,322.35</w:t>
            </w:r>
          </w:p>
        </w:tc>
        <w:tc>
          <w:tcPr>
            <w:tcW w:w="741" w:type="dxa"/>
            <w:tcBorders>
              <w:top w:val="single" w:color="auto" w:sz="2" w:space="0"/>
              <w:left w:val="single" w:color="auto" w:sz="2" w:space="0"/>
              <w:bottom w:val="single" w:color="auto" w:sz="2" w:space="0"/>
              <w:right w:val="single" w:color="auto" w:sz="2" w:space="0"/>
            </w:tcBorders>
            <w:vAlign w:val="center"/>
          </w:tcPr>
          <w:p w14:paraId="0BE4C3C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6417A42">
            <w:pPr>
              <w:spacing w:before="0" w:after="0" w:line="240" w:lineRule="exact"/>
              <w:jc w:val="right"/>
              <w:rPr>
                <w:rFonts w:ascii="宋体" w:hAnsi="宋体" w:eastAsia="宋体" w:cs="宋体"/>
                <w:sz w:val="18"/>
                <w:szCs w:val="18"/>
              </w:rPr>
            </w:pPr>
          </w:p>
        </w:tc>
      </w:tr>
      <w:tr w14:paraId="101A7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E502B70">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741" w:type="dxa"/>
            <w:tcBorders>
              <w:top w:val="single" w:color="auto" w:sz="2" w:space="0"/>
              <w:left w:val="single" w:color="auto" w:sz="2" w:space="0"/>
              <w:bottom w:val="single" w:color="auto" w:sz="2" w:space="0"/>
              <w:right w:val="single" w:color="auto" w:sz="2" w:space="0"/>
            </w:tcBorders>
            <w:vAlign w:val="center"/>
          </w:tcPr>
          <w:p w14:paraId="3B6419C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4,441,322.35</w:t>
            </w:r>
          </w:p>
        </w:tc>
        <w:tc>
          <w:tcPr>
            <w:tcW w:w="741" w:type="dxa"/>
            <w:tcBorders>
              <w:top w:val="single" w:color="auto" w:sz="2" w:space="0"/>
              <w:left w:val="single" w:color="auto" w:sz="2" w:space="0"/>
              <w:bottom w:val="single" w:color="auto" w:sz="2" w:space="0"/>
              <w:right w:val="single" w:color="auto" w:sz="2" w:space="0"/>
            </w:tcBorders>
            <w:vAlign w:val="center"/>
          </w:tcPr>
          <w:p w14:paraId="3A00AF3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10,840,387.35</w:t>
            </w:r>
          </w:p>
        </w:tc>
        <w:tc>
          <w:tcPr>
            <w:tcW w:w="741" w:type="dxa"/>
            <w:tcBorders>
              <w:top w:val="single" w:color="auto" w:sz="2" w:space="0"/>
              <w:left w:val="single" w:color="auto" w:sz="2" w:space="0"/>
              <w:bottom w:val="single" w:color="auto" w:sz="2" w:space="0"/>
              <w:right w:val="single" w:color="auto" w:sz="2" w:space="0"/>
            </w:tcBorders>
            <w:vAlign w:val="center"/>
          </w:tcPr>
          <w:p w14:paraId="5E55065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109E6E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4E31DC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16A40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5DEA29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846D3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47BFF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B92AF4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-4,441,322.35</w:t>
            </w:r>
          </w:p>
        </w:tc>
        <w:tc>
          <w:tcPr>
            <w:tcW w:w="741" w:type="dxa"/>
            <w:tcBorders>
              <w:top w:val="single" w:color="auto" w:sz="2" w:space="0"/>
              <w:left w:val="single" w:color="auto" w:sz="2" w:space="0"/>
              <w:bottom w:val="single" w:color="auto" w:sz="2" w:space="0"/>
              <w:right w:val="single" w:color="auto" w:sz="2" w:space="0"/>
            </w:tcBorders>
            <w:vAlign w:val="center"/>
          </w:tcPr>
          <w:p w14:paraId="36CCFA5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3CA1187">
            <w:pPr>
              <w:spacing w:before="0" w:after="0" w:line="240" w:lineRule="exact"/>
              <w:jc w:val="right"/>
              <w:rPr>
                <w:rFonts w:ascii="宋体" w:hAnsi="宋体" w:eastAsia="宋体" w:cs="宋体"/>
                <w:sz w:val="18"/>
                <w:szCs w:val="18"/>
              </w:rPr>
            </w:pPr>
          </w:p>
        </w:tc>
      </w:tr>
      <w:tr w14:paraId="3B8F7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4C796116">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r w14:paraId="093DF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61ED98B9">
            <w:pPr>
              <w:spacing w:before="0" w:after="0" w:line="240" w:lineRule="exact"/>
              <w:jc w:val="left"/>
              <w:rPr>
                <w:rFonts w:ascii="宋体" w:hAnsi="宋体" w:eastAsia="宋体" w:cs="宋体"/>
                <w:sz w:val="18"/>
                <w:szCs w:val="18"/>
              </w:rPr>
            </w:pPr>
            <w:r>
              <w:rPr>
                <w:rFonts w:ascii="宋体" w:hAnsi="宋体" w:eastAsia="宋体" w:cs="宋体"/>
                <w:sz w:val="18"/>
                <w:szCs w:val="18"/>
              </w:rPr>
              <w:t>广州优得清生物科技有限公司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485DF1E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1B5CB1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55,064,780.44</w:t>
            </w:r>
          </w:p>
        </w:tc>
        <w:tc>
          <w:tcPr>
            <w:tcW w:w="741" w:type="dxa"/>
            <w:tcBorders>
              <w:top w:val="single" w:color="auto" w:sz="2" w:space="0"/>
              <w:left w:val="single" w:color="auto" w:sz="2" w:space="0"/>
              <w:bottom w:val="single" w:color="auto" w:sz="2" w:space="0"/>
              <w:right w:val="single" w:color="auto" w:sz="2" w:space="0"/>
            </w:tcBorders>
            <w:vAlign w:val="center"/>
          </w:tcPr>
          <w:p w14:paraId="02FC7979">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9C0EF7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95D86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086B92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12D5E9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E6745D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AEC42A8">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6EF1D1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BB6DAA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76592A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55,064,780.44</w:t>
            </w:r>
          </w:p>
        </w:tc>
      </w:tr>
      <w:tr w14:paraId="74B28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8508CF0">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741" w:type="dxa"/>
            <w:tcBorders>
              <w:top w:val="single" w:color="auto" w:sz="2" w:space="0"/>
              <w:left w:val="single" w:color="auto" w:sz="2" w:space="0"/>
              <w:bottom w:val="single" w:color="auto" w:sz="2" w:space="0"/>
              <w:right w:val="single" w:color="auto" w:sz="2" w:space="0"/>
            </w:tcBorders>
            <w:vAlign w:val="center"/>
          </w:tcPr>
          <w:p w14:paraId="7D726B11">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BB5ACE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55,064,780.44</w:t>
            </w:r>
          </w:p>
        </w:tc>
        <w:tc>
          <w:tcPr>
            <w:tcW w:w="741" w:type="dxa"/>
            <w:tcBorders>
              <w:top w:val="single" w:color="auto" w:sz="2" w:space="0"/>
              <w:left w:val="single" w:color="auto" w:sz="2" w:space="0"/>
              <w:bottom w:val="single" w:color="auto" w:sz="2" w:space="0"/>
              <w:right w:val="single" w:color="auto" w:sz="2" w:space="0"/>
            </w:tcBorders>
            <w:vAlign w:val="center"/>
          </w:tcPr>
          <w:p w14:paraId="41C1756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626732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6D92CE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1A8E87">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91E4F5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EA9DE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A8982B4">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94D7796">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8D515BB">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28C39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55,064,780.44</w:t>
            </w:r>
          </w:p>
        </w:tc>
      </w:tr>
      <w:tr w14:paraId="03F15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5DF21B2">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14:paraId="1037159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4,441,322.35</w:t>
            </w:r>
          </w:p>
        </w:tc>
        <w:tc>
          <w:tcPr>
            <w:tcW w:w="741" w:type="dxa"/>
            <w:tcBorders>
              <w:top w:val="single" w:color="auto" w:sz="2" w:space="0"/>
              <w:left w:val="single" w:color="auto" w:sz="2" w:space="0"/>
              <w:bottom w:val="single" w:color="auto" w:sz="2" w:space="0"/>
              <w:right w:val="single" w:color="auto" w:sz="2" w:space="0"/>
            </w:tcBorders>
            <w:vAlign w:val="center"/>
          </w:tcPr>
          <w:p w14:paraId="60458A5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65,905,167.79</w:t>
            </w:r>
          </w:p>
        </w:tc>
        <w:tc>
          <w:tcPr>
            <w:tcW w:w="741" w:type="dxa"/>
            <w:tcBorders>
              <w:top w:val="single" w:color="auto" w:sz="2" w:space="0"/>
              <w:left w:val="single" w:color="auto" w:sz="2" w:space="0"/>
              <w:bottom w:val="single" w:color="auto" w:sz="2" w:space="0"/>
              <w:right w:val="single" w:color="auto" w:sz="2" w:space="0"/>
            </w:tcBorders>
            <w:vAlign w:val="center"/>
          </w:tcPr>
          <w:p w14:paraId="59933433">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4DE3FD2">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DB68380">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73A5B3A">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E07085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2EB589E">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8A60DD">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F35E5E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-4,441,322.35</w:t>
            </w:r>
          </w:p>
        </w:tc>
        <w:tc>
          <w:tcPr>
            <w:tcW w:w="741" w:type="dxa"/>
            <w:tcBorders>
              <w:top w:val="single" w:color="auto" w:sz="2" w:space="0"/>
              <w:left w:val="single" w:color="auto" w:sz="2" w:space="0"/>
              <w:bottom w:val="single" w:color="auto" w:sz="2" w:space="0"/>
              <w:right w:val="single" w:color="auto" w:sz="2" w:space="0"/>
            </w:tcBorders>
            <w:vAlign w:val="center"/>
          </w:tcPr>
          <w:p w14:paraId="59A05205">
            <w:pPr>
              <w:spacing w:before="0" w:after="0" w:line="240" w:lineRule="exact"/>
              <w:jc w:val="right"/>
              <w:rPr>
                <w:rFonts w:hint="default"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02B43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55,064,780.44</w:t>
            </w:r>
          </w:p>
        </w:tc>
      </w:tr>
    </w:tbl>
    <w:p w14:paraId="5507E9AF">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可收回金额按公允价值减去处置费用后的净额确定</w:t>
      </w:r>
    </w:p>
    <w:p w14:paraId="2DD4F06B">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78BFAE9">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可收回金额按预计未来现金流量的现值确定</w:t>
      </w:r>
    </w:p>
    <w:p w14:paraId="6B9CDACA">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C97F913">
      <w:pPr>
        <w:spacing w:before="100" w:after="100" w:line="240" w:lineRule="exact"/>
        <w:jc w:val="left"/>
        <w:rPr>
          <w:rFonts w:ascii="宋体" w:hAnsi="宋体" w:eastAsia="宋体" w:cs="宋体"/>
          <w:sz w:val="18"/>
          <w:szCs w:val="18"/>
        </w:rPr>
      </w:pPr>
      <w:r>
        <w:rPr>
          <w:rFonts w:ascii="宋体" w:hAnsi="宋体" w:eastAsia="宋体" w:cs="宋体"/>
          <w:sz w:val="18"/>
          <w:szCs w:val="18"/>
        </w:rPr>
        <w:t>前述信息与以前年度减值测试采用的信息或外部信息明显不一致的差异原因</w:t>
      </w:r>
    </w:p>
    <w:p w14:paraId="103D92AF">
      <w:pPr>
        <w:spacing w:before="100" w:after="100" w:line="240" w:lineRule="exact"/>
        <w:jc w:val="left"/>
        <w:rPr>
          <w:rFonts w:ascii="宋体" w:hAnsi="宋体" w:eastAsia="宋体" w:cs="宋体"/>
          <w:sz w:val="18"/>
          <w:szCs w:val="18"/>
        </w:rPr>
      </w:pPr>
      <w:r>
        <w:rPr>
          <w:rFonts w:ascii="宋体" w:hAnsi="宋体" w:eastAsia="宋体" w:cs="宋体"/>
          <w:sz w:val="18"/>
          <w:szCs w:val="18"/>
        </w:rPr>
        <w:t>公司以前年度减值测试采用信息与当年实际情况明显不一致的差异原因</w:t>
      </w:r>
    </w:p>
    <w:p w14:paraId="7D9EA316">
      <w:pPr>
        <w:keepNext/>
        <w:keepLines/>
        <w:spacing w:before="300" w:after="300" w:line="280" w:lineRule="exact"/>
        <w:jc w:val="left"/>
        <w:outlineLvl w:val="3"/>
        <w:rPr>
          <w:rFonts w:ascii="宋体" w:hAnsi="宋体" w:eastAsia="宋体" w:cs="宋体"/>
          <w:b/>
          <w:bCs/>
          <w:sz w:val="21"/>
          <w:szCs w:val="21"/>
        </w:rPr>
      </w:pPr>
      <w:bookmarkStart w:id="460" w:name="_Toc989257"/>
      <w:r>
        <w:rPr>
          <w:rFonts w:ascii="宋体" w:hAnsi="宋体" w:eastAsia="宋体" w:cs="宋体"/>
          <w:b/>
          <w:bCs/>
          <w:sz w:val="21"/>
          <w:szCs w:val="21"/>
        </w:rPr>
        <w:t>（3） 其他说明</w:t>
      </w:r>
      <w:bookmarkEnd w:id="460"/>
    </w:p>
    <w:p w14:paraId="1147C2BF">
      <w:pPr>
        <w:pStyle w:val="3"/>
        <w:keepNext/>
        <w:keepLines/>
        <w:spacing w:before="300" w:after="300" w:line="280" w:lineRule="exact"/>
        <w:jc w:val="left"/>
        <w:outlineLvl w:val="2"/>
        <w:rPr>
          <w:rFonts w:ascii="宋体" w:hAnsi="宋体" w:eastAsia="宋体" w:cs="宋体"/>
          <w:b/>
          <w:bCs/>
          <w:sz w:val="21"/>
          <w:szCs w:val="21"/>
        </w:rPr>
      </w:pPr>
      <w:bookmarkStart w:id="461" w:name="_Toc989258"/>
      <w:r>
        <w:rPr>
          <w:rFonts w:hint="default" w:ascii="Times New Roman" w:hAnsi="Times New Roman" w:eastAsia="宋体" w:cs="Times New Roman"/>
          <w:b/>
          <w:bCs/>
          <w:sz w:val="21"/>
          <w:szCs w:val="21"/>
        </w:rPr>
        <w:t>4</w:t>
      </w:r>
      <w:r>
        <w:rPr>
          <w:rFonts w:ascii="宋体" w:hAnsi="宋体" w:eastAsia="宋体" w:cs="宋体"/>
          <w:b/>
          <w:bCs/>
          <w:sz w:val="21"/>
          <w:szCs w:val="21"/>
        </w:rPr>
        <w:t>、营业收入和营业成本</w:t>
      </w:r>
      <w:bookmarkEnd w:id="461"/>
    </w:p>
    <w:p w14:paraId="78BDE56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48EA4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28BC6E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5DDC859">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33E01CB">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6E1C1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5A280B1"/>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903CE5A">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E7B1392">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0608F65">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2874D5D">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14:paraId="383C8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FBA6025">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14:paraId="27B2E36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192,544,952.42</w:t>
            </w:r>
          </w:p>
        </w:tc>
        <w:tc>
          <w:tcPr>
            <w:tcW w:w="1928" w:type="dxa"/>
            <w:tcBorders>
              <w:top w:val="single" w:color="auto" w:sz="2" w:space="0"/>
              <w:left w:val="single" w:color="auto" w:sz="2" w:space="0"/>
              <w:bottom w:val="single" w:color="auto" w:sz="2" w:space="0"/>
              <w:right w:val="single" w:color="auto" w:sz="2" w:space="0"/>
            </w:tcBorders>
            <w:vAlign w:val="center"/>
          </w:tcPr>
          <w:p w14:paraId="4BFE89D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19,215,728.60</w:t>
            </w:r>
          </w:p>
        </w:tc>
        <w:tc>
          <w:tcPr>
            <w:tcW w:w="1928" w:type="dxa"/>
            <w:tcBorders>
              <w:top w:val="single" w:color="auto" w:sz="2" w:space="0"/>
              <w:left w:val="single" w:color="auto" w:sz="2" w:space="0"/>
              <w:bottom w:val="single" w:color="auto" w:sz="2" w:space="0"/>
              <w:right w:val="single" w:color="auto" w:sz="2" w:space="0"/>
            </w:tcBorders>
            <w:vAlign w:val="center"/>
          </w:tcPr>
          <w:p w14:paraId="2EACEBB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205,951,843.31</w:t>
            </w:r>
          </w:p>
        </w:tc>
        <w:tc>
          <w:tcPr>
            <w:tcW w:w="1928" w:type="dxa"/>
            <w:tcBorders>
              <w:top w:val="single" w:color="auto" w:sz="2" w:space="0"/>
              <w:left w:val="single" w:color="auto" w:sz="2" w:space="0"/>
              <w:bottom w:val="single" w:color="auto" w:sz="2" w:space="0"/>
              <w:right w:val="single" w:color="auto" w:sz="2" w:space="0"/>
            </w:tcBorders>
            <w:vAlign w:val="center"/>
          </w:tcPr>
          <w:p w14:paraId="1232D0A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19,478,773.22</w:t>
            </w:r>
          </w:p>
        </w:tc>
      </w:tr>
      <w:tr w14:paraId="3BFBA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6343D94">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14:paraId="568224F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26,527,944.32</w:t>
            </w:r>
          </w:p>
        </w:tc>
        <w:tc>
          <w:tcPr>
            <w:tcW w:w="1928" w:type="dxa"/>
            <w:tcBorders>
              <w:top w:val="single" w:color="auto" w:sz="2" w:space="0"/>
              <w:left w:val="single" w:color="auto" w:sz="2" w:space="0"/>
              <w:bottom w:val="single" w:color="auto" w:sz="2" w:space="0"/>
              <w:right w:val="single" w:color="auto" w:sz="2" w:space="0"/>
            </w:tcBorders>
            <w:vAlign w:val="center"/>
          </w:tcPr>
          <w:p w14:paraId="3670DB4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24,591,458.05</w:t>
            </w:r>
          </w:p>
        </w:tc>
        <w:tc>
          <w:tcPr>
            <w:tcW w:w="1928" w:type="dxa"/>
            <w:tcBorders>
              <w:top w:val="single" w:color="auto" w:sz="2" w:space="0"/>
              <w:left w:val="single" w:color="auto" w:sz="2" w:space="0"/>
              <w:bottom w:val="single" w:color="auto" w:sz="2" w:space="0"/>
              <w:right w:val="single" w:color="auto" w:sz="2" w:space="0"/>
            </w:tcBorders>
            <w:vAlign w:val="center"/>
          </w:tcPr>
          <w:p w14:paraId="28A42B05">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18,782,078.63</w:t>
            </w:r>
          </w:p>
        </w:tc>
        <w:tc>
          <w:tcPr>
            <w:tcW w:w="1928" w:type="dxa"/>
            <w:tcBorders>
              <w:top w:val="single" w:color="auto" w:sz="2" w:space="0"/>
              <w:left w:val="single" w:color="auto" w:sz="2" w:space="0"/>
              <w:bottom w:val="single" w:color="auto" w:sz="2" w:space="0"/>
              <w:right w:val="single" w:color="auto" w:sz="2" w:space="0"/>
            </w:tcBorders>
            <w:vAlign w:val="center"/>
          </w:tcPr>
          <w:p w14:paraId="0DC8696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17,713,248.37</w:t>
            </w:r>
          </w:p>
        </w:tc>
      </w:tr>
      <w:tr w14:paraId="3DC1A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5B03A5F">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2A41297E">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219,072,896.74</w:t>
            </w:r>
          </w:p>
        </w:tc>
        <w:tc>
          <w:tcPr>
            <w:tcW w:w="1928" w:type="dxa"/>
            <w:tcBorders>
              <w:top w:val="single" w:color="auto" w:sz="2" w:space="0"/>
              <w:left w:val="single" w:color="auto" w:sz="2" w:space="0"/>
              <w:bottom w:val="single" w:color="auto" w:sz="2" w:space="0"/>
              <w:right w:val="single" w:color="auto" w:sz="2" w:space="0"/>
            </w:tcBorders>
            <w:vAlign w:val="center"/>
          </w:tcPr>
          <w:p w14:paraId="37B2409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43,807,186.65</w:t>
            </w:r>
          </w:p>
        </w:tc>
        <w:tc>
          <w:tcPr>
            <w:tcW w:w="1928" w:type="dxa"/>
            <w:tcBorders>
              <w:top w:val="single" w:color="auto" w:sz="2" w:space="0"/>
              <w:left w:val="single" w:color="auto" w:sz="2" w:space="0"/>
              <w:bottom w:val="single" w:color="auto" w:sz="2" w:space="0"/>
              <w:right w:val="single" w:color="auto" w:sz="2" w:space="0"/>
            </w:tcBorders>
            <w:vAlign w:val="center"/>
          </w:tcPr>
          <w:p w14:paraId="54886F9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224,733,921.94</w:t>
            </w:r>
          </w:p>
        </w:tc>
        <w:tc>
          <w:tcPr>
            <w:tcW w:w="1928" w:type="dxa"/>
            <w:tcBorders>
              <w:top w:val="single" w:color="auto" w:sz="2" w:space="0"/>
              <w:left w:val="single" w:color="auto" w:sz="2" w:space="0"/>
              <w:bottom w:val="single" w:color="auto" w:sz="2" w:space="0"/>
              <w:right w:val="single" w:color="auto" w:sz="2" w:space="0"/>
            </w:tcBorders>
            <w:vAlign w:val="center"/>
          </w:tcPr>
          <w:p w14:paraId="2AAD34C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37,192,021.59</w:t>
            </w:r>
          </w:p>
        </w:tc>
      </w:tr>
    </w:tbl>
    <w:p w14:paraId="208D1F12">
      <w:pPr>
        <w:spacing w:before="100" w:after="100" w:line="240" w:lineRule="exact"/>
        <w:jc w:val="left"/>
        <w:rPr>
          <w:rFonts w:ascii="宋体" w:hAnsi="宋体" w:eastAsia="宋体" w:cs="宋体"/>
          <w:sz w:val="18"/>
          <w:szCs w:val="18"/>
        </w:rPr>
      </w:pPr>
      <w:r>
        <w:rPr>
          <w:rFonts w:ascii="宋体" w:hAnsi="宋体" w:eastAsia="宋体" w:cs="宋体"/>
          <w:sz w:val="18"/>
          <w:szCs w:val="18"/>
        </w:rPr>
        <w:t>营业收入、营业成本的分解信息：</w:t>
      </w:r>
    </w:p>
    <w:p w14:paraId="6FE1CEE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6C763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49CC6A4">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D035FA2">
            <w:pPr>
              <w:spacing w:before="40" w:after="40" w:line="240" w:lineRule="exact"/>
              <w:jc w:val="center"/>
              <w:rPr>
                <w:rFonts w:ascii="宋体" w:hAnsi="宋体" w:eastAsia="宋体" w:cs="宋体"/>
                <w:sz w:val="18"/>
                <w:szCs w:val="18"/>
              </w:rPr>
            </w:pPr>
            <w:r>
              <w:rPr>
                <w:rFonts w:ascii="宋体" w:hAnsi="宋体" w:eastAsia="宋体" w:cs="宋体"/>
                <w:sz w:val="18"/>
                <w:szCs w:val="18"/>
              </w:rPr>
              <w:t>分部</w:t>
            </w:r>
            <w:r>
              <w:rPr>
                <w:rFonts w:hint="default" w:ascii="Times New Roman" w:hAnsi="Times New Roman" w:eastAsia="宋体" w:cs="Times New Roman"/>
                <w:sz w:val="18"/>
                <w:szCs w:val="18"/>
              </w:rPr>
              <w:t>1</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2D155DF">
            <w:pPr>
              <w:spacing w:before="40" w:after="40" w:line="240" w:lineRule="exact"/>
              <w:jc w:val="center"/>
              <w:rPr>
                <w:rFonts w:ascii="宋体" w:hAnsi="宋体" w:eastAsia="宋体" w:cs="宋体"/>
                <w:sz w:val="18"/>
                <w:szCs w:val="18"/>
              </w:rPr>
            </w:pPr>
            <w:r>
              <w:rPr>
                <w:rFonts w:ascii="宋体" w:hAnsi="宋体" w:eastAsia="宋体" w:cs="宋体"/>
                <w:sz w:val="18"/>
                <w:szCs w:val="18"/>
              </w:rPr>
              <w:t>分部</w:t>
            </w:r>
            <w:r>
              <w:rPr>
                <w:rFonts w:hint="default" w:ascii="Times New Roman" w:hAnsi="Times New Roman" w:eastAsia="宋体" w:cs="Times New Roman"/>
                <w:sz w:val="18"/>
                <w:szCs w:val="18"/>
              </w:rPr>
              <w:t>2</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4E0DDD9F">
            <w:pPr>
              <w:spacing w:before="0" w:after="0" w:line="240" w:lineRule="exact"/>
              <w:jc w:val="center"/>
              <w:rPr>
                <w:rFonts w:ascii="宋体" w:hAnsi="宋体" w:eastAsia="宋体" w:cs="宋体"/>
                <w:sz w:val="18"/>
                <w:szCs w:val="18"/>
              </w:rPr>
            </w:pP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D10BB56">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7F447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BC66E9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9F775A4">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DBB3642">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6F2429B">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1876743">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70F0739">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F91E351">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6186F4D">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A664FE7">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r>
      <w:tr w14:paraId="0CE3A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110A8AF">
            <w:pPr>
              <w:spacing w:before="40" w:after="40" w:line="240" w:lineRule="exact"/>
              <w:jc w:val="left"/>
              <w:rPr>
                <w:rFonts w:ascii="宋体" w:hAnsi="宋体" w:eastAsia="宋体" w:cs="宋体"/>
                <w:sz w:val="18"/>
                <w:szCs w:val="18"/>
              </w:rPr>
            </w:pPr>
            <w:r>
              <w:rPr>
                <w:rFonts w:ascii="宋体" w:hAnsi="宋体" w:eastAsia="宋体" w:cs="宋体"/>
                <w:sz w:val="18"/>
                <w:szCs w:val="18"/>
              </w:rPr>
              <w:t>业务类型</w:t>
            </w:r>
          </w:p>
        </w:tc>
        <w:tc>
          <w:tcPr>
            <w:tcW w:w="1071" w:type="dxa"/>
            <w:tcBorders>
              <w:top w:val="single" w:color="auto" w:sz="2" w:space="0"/>
              <w:left w:val="single" w:color="auto" w:sz="2" w:space="0"/>
              <w:bottom w:val="single" w:color="auto" w:sz="2" w:space="0"/>
              <w:right w:val="single" w:color="auto" w:sz="2" w:space="0"/>
            </w:tcBorders>
            <w:vAlign w:val="center"/>
          </w:tcPr>
          <w:p w14:paraId="4BDCEBE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01D8B3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A06FB1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93303E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B153C8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91EB8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970725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DA41071">
            <w:pPr>
              <w:spacing w:before="0" w:after="0" w:line="240" w:lineRule="exact"/>
              <w:jc w:val="right"/>
              <w:rPr>
                <w:rFonts w:ascii="宋体" w:hAnsi="宋体" w:eastAsia="宋体" w:cs="宋体"/>
                <w:sz w:val="18"/>
                <w:szCs w:val="18"/>
              </w:rPr>
            </w:pPr>
          </w:p>
        </w:tc>
      </w:tr>
      <w:tr w14:paraId="52E39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F2E7CD0">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E7C8F82"/>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6D261E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536E37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C9A60A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30C401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65B686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0602E8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D644AFC"/>
        </w:tc>
      </w:tr>
      <w:tr w14:paraId="23E42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0DC1E61">
            <w:pPr>
              <w:spacing w:before="0" w:after="0" w:line="240" w:lineRule="exact"/>
              <w:jc w:val="left"/>
              <w:rPr>
                <w:rFonts w:ascii="宋体" w:hAnsi="宋体" w:eastAsia="宋体" w:cs="宋体"/>
                <w:sz w:val="18"/>
                <w:szCs w:val="18"/>
              </w:rPr>
            </w:pPr>
            <w:r>
              <w:rPr>
                <w:rFonts w:ascii="宋体" w:hAnsi="宋体" w:eastAsia="宋体" w:cs="宋体"/>
                <w:sz w:val="18"/>
                <w:szCs w:val="18"/>
              </w:rPr>
              <w:t>医疗器械</w:t>
            </w:r>
          </w:p>
        </w:tc>
        <w:tc>
          <w:tcPr>
            <w:tcW w:w="1071" w:type="dxa"/>
            <w:tcBorders>
              <w:top w:val="single" w:color="auto" w:sz="2" w:space="0"/>
              <w:left w:val="single" w:color="auto" w:sz="2" w:space="0"/>
              <w:bottom w:val="single" w:color="auto" w:sz="2" w:space="0"/>
              <w:right w:val="single" w:color="auto" w:sz="2" w:space="0"/>
            </w:tcBorders>
            <w:vAlign w:val="center"/>
          </w:tcPr>
          <w:p w14:paraId="77D0E6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192,544,952.42</w:t>
            </w:r>
          </w:p>
        </w:tc>
        <w:tc>
          <w:tcPr>
            <w:tcW w:w="1071" w:type="dxa"/>
            <w:tcBorders>
              <w:top w:val="single" w:color="auto" w:sz="2" w:space="0"/>
              <w:left w:val="single" w:color="auto" w:sz="2" w:space="0"/>
              <w:bottom w:val="single" w:color="auto" w:sz="2" w:space="0"/>
              <w:right w:val="single" w:color="auto" w:sz="2" w:space="0"/>
            </w:tcBorders>
            <w:vAlign w:val="center"/>
          </w:tcPr>
          <w:p w14:paraId="477F17B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19,215,728.60</w:t>
            </w:r>
          </w:p>
        </w:tc>
        <w:tc>
          <w:tcPr>
            <w:tcW w:w="1071" w:type="dxa"/>
            <w:tcBorders>
              <w:top w:val="single" w:color="auto" w:sz="2" w:space="0"/>
              <w:left w:val="single" w:color="auto" w:sz="2" w:space="0"/>
              <w:bottom w:val="single" w:color="auto" w:sz="2" w:space="0"/>
              <w:right w:val="single" w:color="auto" w:sz="2" w:space="0"/>
            </w:tcBorders>
            <w:vAlign w:val="center"/>
          </w:tcPr>
          <w:p w14:paraId="207E7A84">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C6E323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3E55AC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C1D09C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7D4584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192,544,952.42</w:t>
            </w:r>
          </w:p>
        </w:tc>
        <w:tc>
          <w:tcPr>
            <w:tcW w:w="1071" w:type="dxa"/>
            <w:tcBorders>
              <w:top w:val="single" w:color="auto" w:sz="2" w:space="0"/>
              <w:left w:val="single" w:color="auto" w:sz="2" w:space="0"/>
              <w:bottom w:val="single" w:color="auto" w:sz="2" w:space="0"/>
              <w:right w:val="single" w:color="auto" w:sz="2" w:space="0"/>
            </w:tcBorders>
            <w:vAlign w:val="center"/>
          </w:tcPr>
          <w:p w14:paraId="3C14460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19,215,728.60</w:t>
            </w:r>
          </w:p>
        </w:tc>
      </w:tr>
      <w:tr w14:paraId="6B79B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1DE7C44">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071" w:type="dxa"/>
            <w:tcBorders>
              <w:top w:val="single" w:color="auto" w:sz="2" w:space="0"/>
              <w:left w:val="single" w:color="auto" w:sz="2" w:space="0"/>
              <w:bottom w:val="single" w:color="auto" w:sz="2" w:space="0"/>
              <w:right w:val="single" w:color="auto" w:sz="2" w:space="0"/>
            </w:tcBorders>
            <w:vAlign w:val="center"/>
          </w:tcPr>
          <w:p w14:paraId="4646C6B6">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8BB37F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78D3ED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B834A7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D55685B">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94B2BCD">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C549157">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86469CE">
            <w:pPr>
              <w:spacing w:before="0" w:after="0" w:line="240" w:lineRule="exact"/>
              <w:jc w:val="right"/>
              <w:rPr>
                <w:rFonts w:hint="default" w:ascii="Times New Roman" w:hAnsi="Times New Roman" w:eastAsia="宋体" w:cs="Times New Roman"/>
                <w:sz w:val="18"/>
                <w:szCs w:val="18"/>
              </w:rPr>
            </w:pPr>
          </w:p>
        </w:tc>
      </w:tr>
      <w:tr w14:paraId="0BDD2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1BBA1E6">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2A9D5DC">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A6D6C1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BBFE37D">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FC2D64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51CFD35">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1430B8C">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E06071E">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BC03FAC">
            <w:pPr>
              <w:spacing w:before="0" w:after="0" w:line="240" w:lineRule="exact"/>
              <w:jc w:val="right"/>
              <w:rPr>
                <w:rFonts w:hint="default" w:ascii="Times New Roman" w:hAnsi="Times New Roman" w:eastAsia="宋体" w:cs="Times New Roman"/>
                <w:sz w:val="18"/>
                <w:szCs w:val="18"/>
              </w:rPr>
            </w:pPr>
          </w:p>
        </w:tc>
      </w:tr>
      <w:tr w14:paraId="217A5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F0053C7">
            <w:pPr>
              <w:spacing w:before="0" w:after="0" w:line="240" w:lineRule="exact"/>
              <w:jc w:val="left"/>
              <w:rPr>
                <w:rFonts w:ascii="宋体" w:hAnsi="宋体" w:eastAsia="宋体" w:cs="宋体"/>
                <w:sz w:val="18"/>
                <w:szCs w:val="18"/>
              </w:rPr>
            </w:pPr>
            <w:r>
              <w:rPr>
                <w:rFonts w:ascii="宋体" w:hAnsi="宋体" w:eastAsia="宋体" w:cs="宋体"/>
                <w:sz w:val="18"/>
                <w:szCs w:val="18"/>
              </w:rPr>
              <w:t>北大区</w:t>
            </w:r>
          </w:p>
        </w:tc>
        <w:tc>
          <w:tcPr>
            <w:tcW w:w="1071" w:type="dxa"/>
            <w:tcBorders>
              <w:top w:val="single" w:color="auto" w:sz="2" w:space="0"/>
              <w:left w:val="single" w:color="auto" w:sz="2" w:space="0"/>
              <w:bottom w:val="single" w:color="auto" w:sz="2" w:space="0"/>
              <w:right w:val="single" w:color="auto" w:sz="2" w:space="0"/>
            </w:tcBorders>
            <w:vAlign w:val="center"/>
          </w:tcPr>
          <w:p w14:paraId="6C7CA9B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74,757,549.96</w:t>
            </w:r>
          </w:p>
        </w:tc>
        <w:tc>
          <w:tcPr>
            <w:tcW w:w="1071" w:type="dxa"/>
            <w:tcBorders>
              <w:top w:val="single" w:color="auto" w:sz="2" w:space="0"/>
              <w:left w:val="single" w:color="auto" w:sz="2" w:space="0"/>
              <w:bottom w:val="single" w:color="auto" w:sz="2" w:space="0"/>
              <w:right w:val="single" w:color="auto" w:sz="2" w:space="0"/>
            </w:tcBorders>
            <w:vAlign w:val="center"/>
          </w:tcPr>
          <w:p w14:paraId="6796F1C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6,331,107.07</w:t>
            </w:r>
          </w:p>
        </w:tc>
        <w:tc>
          <w:tcPr>
            <w:tcW w:w="1071" w:type="dxa"/>
            <w:tcBorders>
              <w:top w:val="single" w:color="auto" w:sz="2" w:space="0"/>
              <w:left w:val="single" w:color="auto" w:sz="2" w:space="0"/>
              <w:bottom w:val="single" w:color="auto" w:sz="2" w:space="0"/>
              <w:right w:val="single" w:color="auto" w:sz="2" w:space="0"/>
            </w:tcBorders>
            <w:vAlign w:val="center"/>
          </w:tcPr>
          <w:p w14:paraId="4BCB9BFF">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AEACAF7">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6469DE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D84021A">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92C4E8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74,757,549.96</w:t>
            </w:r>
          </w:p>
        </w:tc>
        <w:tc>
          <w:tcPr>
            <w:tcW w:w="1071" w:type="dxa"/>
            <w:tcBorders>
              <w:top w:val="single" w:color="auto" w:sz="2" w:space="0"/>
              <w:left w:val="single" w:color="auto" w:sz="2" w:space="0"/>
              <w:bottom w:val="single" w:color="auto" w:sz="2" w:space="0"/>
              <w:right w:val="single" w:color="auto" w:sz="2" w:space="0"/>
            </w:tcBorders>
            <w:vAlign w:val="center"/>
          </w:tcPr>
          <w:p w14:paraId="29EBC52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6,331,107.07</w:t>
            </w:r>
          </w:p>
        </w:tc>
      </w:tr>
      <w:tr w14:paraId="53B3A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57D0D1E">
            <w:pPr>
              <w:spacing w:before="0" w:after="0" w:line="240" w:lineRule="exact"/>
              <w:jc w:val="left"/>
              <w:rPr>
                <w:rFonts w:ascii="宋体" w:hAnsi="宋体" w:eastAsia="宋体" w:cs="宋体"/>
                <w:sz w:val="18"/>
                <w:szCs w:val="18"/>
              </w:rPr>
            </w:pPr>
            <w:r>
              <w:rPr>
                <w:rFonts w:ascii="宋体" w:hAnsi="宋体" w:eastAsia="宋体" w:cs="宋体"/>
                <w:sz w:val="18"/>
                <w:szCs w:val="18"/>
              </w:rPr>
              <w:t>东大区</w:t>
            </w:r>
          </w:p>
        </w:tc>
        <w:tc>
          <w:tcPr>
            <w:tcW w:w="1071" w:type="dxa"/>
            <w:tcBorders>
              <w:top w:val="single" w:color="auto" w:sz="2" w:space="0"/>
              <w:left w:val="single" w:color="auto" w:sz="2" w:space="0"/>
              <w:bottom w:val="single" w:color="auto" w:sz="2" w:space="0"/>
              <w:right w:val="single" w:color="auto" w:sz="2" w:space="0"/>
            </w:tcBorders>
            <w:vAlign w:val="center"/>
          </w:tcPr>
          <w:p w14:paraId="08EF6466">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52,430,530.82</w:t>
            </w:r>
          </w:p>
        </w:tc>
        <w:tc>
          <w:tcPr>
            <w:tcW w:w="1071" w:type="dxa"/>
            <w:tcBorders>
              <w:top w:val="single" w:color="auto" w:sz="2" w:space="0"/>
              <w:left w:val="single" w:color="auto" w:sz="2" w:space="0"/>
              <w:bottom w:val="single" w:color="auto" w:sz="2" w:space="0"/>
              <w:right w:val="single" w:color="auto" w:sz="2" w:space="0"/>
            </w:tcBorders>
            <w:vAlign w:val="center"/>
          </w:tcPr>
          <w:p w14:paraId="451FC3E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6,086,454.14</w:t>
            </w:r>
          </w:p>
        </w:tc>
        <w:tc>
          <w:tcPr>
            <w:tcW w:w="1071" w:type="dxa"/>
            <w:tcBorders>
              <w:top w:val="single" w:color="auto" w:sz="2" w:space="0"/>
              <w:left w:val="single" w:color="auto" w:sz="2" w:space="0"/>
              <w:bottom w:val="single" w:color="auto" w:sz="2" w:space="0"/>
              <w:right w:val="single" w:color="auto" w:sz="2" w:space="0"/>
            </w:tcBorders>
            <w:vAlign w:val="center"/>
          </w:tcPr>
          <w:p w14:paraId="00DE6FFB">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501D619">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B81B21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0A234C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DC9E32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52,430,530.82</w:t>
            </w:r>
          </w:p>
        </w:tc>
        <w:tc>
          <w:tcPr>
            <w:tcW w:w="1071" w:type="dxa"/>
            <w:tcBorders>
              <w:top w:val="single" w:color="auto" w:sz="2" w:space="0"/>
              <w:left w:val="single" w:color="auto" w:sz="2" w:space="0"/>
              <w:bottom w:val="single" w:color="auto" w:sz="2" w:space="0"/>
              <w:right w:val="single" w:color="auto" w:sz="2" w:space="0"/>
            </w:tcBorders>
            <w:vAlign w:val="center"/>
          </w:tcPr>
          <w:p w14:paraId="36D8CEB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6,086,454.14</w:t>
            </w:r>
          </w:p>
        </w:tc>
      </w:tr>
      <w:tr w14:paraId="71D65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254DA88">
            <w:pPr>
              <w:spacing w:before="0" w:after="0" w:line="240" w:lineRule="exact"/>
              <w:jc w:val="left"/>
              <w:rPr>
                <w:rFonts w:ascii="宋体" w:hAnsi="宋体" w:eastAsia="宋体" w:cs="宋体"/>
                <w:sz w:val="18"/>
                <w:szCs w:val="18"/>
              </w:rPr>
            </w:pPr>
            <w:r>
              <w:rPr>
                <w:rFonts w:ascii="宋体" w:hAnsi="宋体" w:eastAsia="宋体" w:cs="宋体"/>
                <w:sz w:val="18"/>
                <w:szCs w:val="18"/>
              </w:rPr>
              <w:t>南大区</w:t>
            </w:r>
          </w:p>
        </w:tc>
        <w:tc>
          <w:tcPr>
            <w:tcW w:w="1071" w:type="dxa"/>
            <w:tcBorders>
              <w:top w:val="single" w:color="auto" w:sz="2" w:space="0"/>
              <w:left w:val="single" w:color="auto" w:sz="2" w:space="0"/>
              <w:bottom w:val="single" w:color="auto" w:sz="2" w:space="0"/>
              <w:right w:val="single" w:color="auto" w:sz="2" w:space="0"/>
            </w:tcBorders>
            <w:vAlign w:val="center"/>
          </w:tcPr>
          <w:p w14:paraId="3F9E889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29,095,770.43</w:t>
            </w:r>
          </w:p>
        </w:tc>
        <w:tc>
          <w:tcPr>
            <w:tcW w:w="1071" w:type="dxa"/>
            <w:tcBorders>
              <w:top w:val="single" w:color="auto" w:sz="2" w:space="0"/>
              <w:left w:val="single" w:color="auto" w:sz="2" w:space="0"/>
              <w:bottom w:val="single" w:color="auto" w:sz="2" w:space="0"/>
              <w:right w:val="single" w:color="auto" w:sz="2" w:space="0"/>
            </w:tcBorders>
            <w:vAlign w:val="center"/>
          </w:tcPr>
          <w:p w14:paraId="1FC2A35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3,126,406.04</w:t>
            </w:r>
          </w:p>
        </w:tc>
        <w:tc>
          <w:tcPr>
            <w:tcW w:w="1071" w:type="dxa"/>
            <w:tcBorders>
              <w:top w:val="single" w:color="auto" w:sz="2" w:space="0"/>
              <w:left w:val="single" w:color="auto" w:sz="2" w:space="0"/>
              <w:bottom w:val="single" w:color="auto" w:sz="2" w:space="0"/>
              <w:right w:val="single" w:color="auto" w:sz="2" w:space="0"/>
            </w:tcBorders>
            <w:vAlign w:val="center"/>
          </w:tcPr>
          <w:p w14:paraId="2196BF3B">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A992B1D">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640A202">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EE20D31">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DDA133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29,095,770.43</w:t>
            </w:r>
          </w:p>
        </w:tc>
        <w:tc>
          <w:tcPr>
            <w:tcW w:w="1071" w:type="dxa"/>
            <w:tcBorders>
              <w:top w:val="single" w:color="auto" w:sz="2" w:space="0"/>
              <w:left w:val="single" w:color="auto" w:sz="2" w:space="0"/>
              <w:bottom w:val="single" w:color="auto" w:sz="2" w:space="0"/>
              <w:right w:val="single" w:color="auto" w:sz="2" w:space="0"/>
            </w:tcBorders>
            <w:vAlign w:val="center"/>
          </w:tcPr>
          <w:p w14:paraId="47B6DBC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3,126,406.04</w:t>
            </w:r>
          </w:p>
        </w:tc>
      </w:tr>
      <w:tr w14:paraId="0168E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51814BB">
            <w:pPr>
              <w:spacing w:before="0" w:after="0" w:line="240" w:lineRule="exact"/>
              <w:jc w:val="left"/>
              <w:rPr>
                <w:rFonts w:ascii="宋体" w:hAnsi="宋体" w:eastAsia="宋体" w:cs="宋体"/>
                <w:sz w:val="18"/>
                <w:szCs w:val="18"/>
              </w:rPr>
            </w:pPr>
            <w:r>
              <w:rPr>
                <w:rFonts w:ascii="宋体" w:hAnsi="宋体" w:eastAsia="宋体" w:cs="宋体"/>
                <w:sz w:val="18"/>
                <w:szCs w:val="18"/>
              </w:rPr>
              <w:t>西大区</w:t>
            </w:r>
          </w:p>
        </w:tc>
        <w:tc>
          <w:tcPr>
            <w:tcW w:w="1071" w:type="dxa"/>
            <w:tcBorders>
              <w:top w:val="single" w:color="auto" w:sz="2" w:space="0"/>
              <w:left w:val="single" w:color="auto" w:sz="2" w:space="0"/>
              <w:bottom w:val="single" w:color="auto" w:sz="2" w:space="0"/>
              <w:right w:val="single" w:color="auto" w:sz="2" w:space="0"/>
            </w:tcBorders>
            <w:vAlign w:val="center"/>
          </w:tcPr>
          <w:p w14:paraId="4074534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36,261,101.21</w:t>
            </w:r>
          </w:p>
        </w:tc>
        <w:tc>
          <w:tcPr>
            <w:tcW w:w="1071" w:type="dxa"/>
            <w:tcBorders>
              <w:top w:val="single" w:color="auto" w:sz="2" w:space="0"/>
              <w:left w:val="single" w:color="auto" w:sz="2" w:space="0"/>
              <w:bottom w:val="single" w:color="auto" w:sz="2" w:space="0"/>
              <w:right w:val="single" w:color="auto" w:sz="2" w:space="0"/>
            </w:tcBorders>
            <w:vAlign w:val="center"/>
          </w:tcPr>
          <w:p w14:paraId="537EE80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3,671,761.35</w:t>
            </w:r>
          </w:p>
        </w:tc>
        <w:tc>
          <w:tcPr>
            <w:tcW w:w="1071" w:type="dxa"/>
            <w:tcBorders>
              <w:top w:val="single" w:color="auto" w:sz="2" w:space="0"/>
              <w:left w:val="single" w:color="auto" w:sz="2" w:space="0"/>
              <w:bottom w:val="single" w:color="auto" w:sz="2" w:space="0"/>
              <w:right w:val="single" w:color="auto" w:sz="2" w:space="0"/>
            </w:tcBorders>
            <w:vAlign w:val="center"/>
          </w:tcPr>
          <w:p w14:paraId="70C50630">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5B1C841">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8184F8E">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375888E">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16E288B">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36,261,101.21</w:t>
            </w:r>
          </w:p>
        </w:tc>
        <w:tc>
          <w:tcPr>
            <w:tcW w:w="1071" w:type="dxa"/>
            <w:tcBorders>
              <w:top w:val="single" w:color="auto" w:sz="2" w:space="0"/>
              <w:left w:val="single" w:color="auto" w:sz="2" w:space="0"/>
              <w:bottom w:val="single" w:color="auto" w:sz="2" w:space="0"/>
              <w:right w:val="single" w:color="auto" w:sz="2" w:space="0"/>
            </w:tcBorders>
            <w:vAlign w:val="center"/>
          </w:tcPr>
          <w:p w14:paraId="4645F22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3,671,761.35</w:t>
            </w:r>
          </w:p>
        </w:tc>
      </w:tr>
      <w:tr w14:paraId="31371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B102C0F">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071" w:type="dxa"/>
            <w:tcBorders>
              <w:top w:val="single" w:color="auto" w:sz="2" w:space="0"/>
              <w:left w:val="single" w:color="auto" w:sz="2" w:space="0"/>
              <w:bottom w:val="single" w:color="auto" w:sz="2" w:space="0"/>
              <w:right w:val="single" w:color="auto" w:sz="2" w:space="0"/>
            </w:tcBorders>
            <w:vAlign w:val="center"/>
          </w:tcPr>
          <w:p w14:paraId="44D1D9B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B8EAAE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C1ED43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EC5DC3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B447EC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DACE6A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001CEB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B3B3B5C">
            <w:pPr>
              <w:spacing w:before="0" w:after="0" w:line="240" w:lineRule="exact"/>
              <w:jc w:val="right"/>
              <w:rPr>
                <w:rFonts w:ascii="宋体" w:hAnsi="宋体" w:eastAsia="宋体" w:cs="宋体"/>
                <w:sz w:val="18"/>
                <w:szCs w:val="18"/>
              </w:rPr>
            </w:pPr>
          </w:p>
        </w:tc>
      </w:tr>
      <w:tr w14:paraId="63C5E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4F5606F">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2C9A3B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2BE61B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741088D"/>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892F1E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F3198D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C5A819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127859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9BE1069"/>
        </w:tc>
      </w:tr>
      <w:tr w14:paraId="17CDD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98D4986">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172FC3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22B177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0BA517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30EFAA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9E61B0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32A189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FFFCB5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2EE3F2">
            <w:pPr>
              <w:spacing w:before="0" w:after="0" w:line="240" w:lineRule="exact"/>
              <w:jc w:val="right"/>
              <w:rPr>
                <w:rFonts w:ascii="宋体" w:hAnsi="宋体" w:eastAsia="宋体" w:cs="宋体"/>
                <w:sz w:val="18"/>
                <w:szCs w:val="18"/>
              </w:rPr>
            </w:pPr>
          </w:p>
        </w:tc>
      </w:tr>
      <w:tr w14:paraId="56600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C18E365">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071" w:type="dxa"/>
            <w:tcBorders>
              <w:top w:val="single" w:color="auto" w:sz="2" w:space="0"/>
              <w:left w:val="single" w:color="auto" w:sz="2" w:space="0"/>
              <w:bottom w:val="single" w:color="auto" w:sz="2" w:space="0"/>
              <w:right w:val="single" w:color="auto" w:sz="2" w:space="0"/>
            </w:tcBorders>
            <w:vAlign w:val="center"/>
          </w:tcPr>
          <w:p w14:paraId="775C2D6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C5ACA2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FE3F0D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89B56D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3B920D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9C5FFF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749DC2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28F5268">
            <w:pPr>
              <w:spacing w:before="0" w:after="0" w:line="240" w:lineRule="exact"/>
              <w:jc w:val="right"/>
              <w:rPr>
                <w:rFonts w:ascii="宋体" w:hAnsi="宋体" w:eastAsia="宋体" w:cs="宋体"/>
                <w:sz w:val="18"/>
                <w:szCs w:val="18"/>
              </w:rPr>
            </w:pPr>
          </w:p>
        </w:tc>
      </w:tr>
      <w:tr w14:paraId="707C6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9190619">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C5D1302"/>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F15EFB5"/>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6A6AFE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974285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957F2F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511A3A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E53465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EB70175"/>
        </w:tc>
      </w:tr>
      <w:tr w14:paraId="19EE0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5B38C14">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C92465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DD023E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A71681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C944BE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032C07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406C05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A50560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EB95FB3">
            <w:pPr>
              <w:spacing w:before="0" w:after="0" w:line="240" w:lineRule="exact"/>
              <w:jc w:val="right"/>
              <w:rPr>
                <w:rFonts w:ascii="宋体" w:hAnsi="宋体" w:eastAsia="宋体" w:cs="宋体"/>
                <w:sz w:val="18"/>
                <w:szCs w:val="18"/>
              </w:rPr>
            </w:pPr>
          </w:p>
        </w:tc>
      </w:tr>
      <w:tr w14:paraId="75AF8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463F0F2">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071" w:type="dxa"/>
            <w:tcBorders>
              <w:top w:val="single" w:color="auto" w:sz="2" w:space="0"/>
              <w:left w:val="single" w:color="auto" w:sz="2" w:space="0"/>
              <w:bottom w:val="single" w:color="auto" w:sz="2" w:space="0"/>
              <w:right w:val="single" w:color="auto" w:sz="2" w:space="0"/>
            </w:tcBorders>
            <w:vAlign w:val="center"/>
          </w:tcPr>
          <w:p w14:paraId="38E86D4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5213FC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A2307F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7B96A7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ED9F7E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D31554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0221D9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9C80D43">
            <w:pPr>
              <w:spacing w:before="0" w:after="0" w:line="240" w:lineRule="exact"/>
              <w:jc w:val="right"/>
              <w:rPr>
                <w:rFonts w:ascii="宋体" w:hAnsi="宋体" w:eastAsia="宋体" w:cs="宋体"/>
                <w:sz w:val="18"/>
                <w:szCs w:val="18"/>
              </w:rPr>
            </w:pPr>
          </w:p>
        </w:tc>
      </w:tr>
      <w:tr w14:paraId="07995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BAFC344">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9F01BE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6E5C0D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0BBAEC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64A5E82"/>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09B2E9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4A8E77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A8D94A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43047FA"/>
        </w:tc>
      </w:tr>
      <w:tr w14:paraId="29B97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B765417">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4E2F0C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643B70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B5A7C0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B0B8BA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8F0758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039613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EB0FA3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4B2C135">
            <w:pPr>
              <w:spacing w:before="0" w:after="0" w:line="240" w:lineRule="exact"/>
              <w:jc w:val="right"/>
              <w:rPr>
                <w:rFonts w:ascii="宋体" w:hAnsi="宋体" w:eastAsia="宋体" w:cs="宋体"/>
                <w:sz w:val="18"/>
                <w:szCs w:val="18"/>
              </w:rPr>
            </w:pPr>
          </w:p>
        </w:tc>
      </w:tr>
      <w:tr w14:paraId="273FE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3CCA60B">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071" w:type="dxa"/>
            <w:tcBorders>
              <w:top w:val="single" w:color="auto" w:sz="2" w:space="0"/>
              <w:left w:val="single" w:color="auto" w:sz="2" w:space="0"/>
              <w:bottom w:val="single" w:color="auto" w:sz="2" w:space="0"/>
              <w:right w:val="single" w:color="auto" w:sz="2" w:space="0"/>
            </w:tcBorders>
            <w:vAlign w:val="center"/>
          </w:tcPr>
          <w:p w14:paraId="35D6F2E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32D8E0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C3154D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C017E9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8EB1FC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89592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2E1EB0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9D355D5">
            <w:pPr>
              <w:spacing w:before="0" w:after="0" w:line="240" w:lineRule="exact"/>
              <w:jc w:val="right"/>
              <w:rPr>
                <w:rFonts w:ascii="宋体" w:hAnsi="宋体" w:eastAsia="宋体" w:cs="宋体"/>
                <w:sz w:val="18"/>
                <w:szCs w:val="18"/>
              </w:rPr>
            </w:pPr>
          </w:p>
        </w:tc>
      </w:tr>
      <w:tr w14:paraId="02C36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C9E0E2B">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EC9E36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9FD1865"/>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C5DE9C2"/>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2FB29A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1BA44E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870A9E2"/>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D0B864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074D454"/>
        </w:tc>
      </w:tr>
      <w:tr w14:paraId="2632C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7FC9F13">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BF99D2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F4C63E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F98730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456109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7D4BF7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C9B086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AC93E2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4E6D87C">
            <w:pPr>
              <w:spacing w:before="0" w:after="0" w:line="240" w:lineRule="exact"/>
              <w:jc w:val="right"/>
              <w:rPr>
                <w:rFonts w:ascii="宋体" w:hAnsi="宋体" w:eastAsia="宋体" w:cs="宋体"/>
                <w:sz w:val="18"/>
                <w:szCs w:val="18"/>
              </w:rPr>
            </w:pPr>
          </w:p>
        </w:tc>
      </w:tr>
      <w:tr w14:paraId="011D3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48AB623">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071" w:type="dxa"/>
            <w:tcBorders>
              <w:top w:val="single" w:color="auto" w:sz="2" w:space="0"/>
              <w:left w:val="single" w:color="auto" w:sz="2" w:space="0"/>
              <w:bottom w:val="single" w:color="auto" w:sz="2" w:space="0"/>
              <w:right w:val="single" w:color="auto" w:sz="2" w:space="0"/>
            </w:tcBorders>
            <w:vAlign w:val="center"/>
          </w:tcPr>
          <w:p w14:paraId="4037D66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FEBC07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5E0CD2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B8C995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E5978F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ABEC77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B7AA2C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48D48CE">
            <w:pPr>
              <w:spacing w:before="0" w:after="0" w:line="240" w:lineRule="exact"/>
              <w:jc w:val="right"/>
              <w:rPr>
                <w:rFonts w:ascii="宋体" w:hAnsi="宋体" w:eastAsia="宋体" w:cs="宋体"/>
                <w:sz w:val="18"/>
                <w:szCs w:val="18"/>
              </w:rPr>
            </w:pPr>
          </w:p>
        </w:tc>
      </w:tr>
      <w:tr w14:paraId="48F70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C41B754">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44D6BF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1EA63C5"/>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2551ED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CDB981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7A5245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CB19685"/>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727A0FD"/>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C9B9CBF"/>
        </w:tc>
      </w:tr>
      <w:tr w14:paraId="41F00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C924B5A">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499B8D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41ABAF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D9A145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9E5782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8E4702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C6394B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03184D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066ED97">
            <w:pPr>
              <w:spacing w:before="0" w:after="0" w:line="240" w:lineRule="exact"/>
              <w:jc w:val="right"/>
              <w:rPr>
                <w:rFonts w:ascii="宋体" w:hAnsi="宋体" w:eastAsia="宋体" w:cs="宋体"/>
                <w:sz w:val="18"/>
                <w:szCs w:val="18"/>
              </w:rPr>
            </w:pPr>
          </w:p>
        </w:tc>
      </w:tr>
      <w:tr w14:paraId="7346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20AC70D">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14:paraId="45F3B9B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192,544,952.42</w:t>
            </w:r>
          </w:p>
        </w:tc>
        <w:tc>
          <w:tcPr>
            <w:tcW w:w="1071" w:type="dxa"/>
            <w:tcBorders>
              <w:top w:val="single" w:color="auto" w:sz="2" w:space="0"/>
              <w:left w:val="single" w:color="auto" w:sz="2" w:space="0"/>
              <w:bottom w:val="single" w:color="auto" w:sz="2" w:space="0"/>
              <w:right w:val="single" w:color="auto" w:sz="2" w:space="0"/>
            </w:tcBorders>
            <w:vAlign w:val="center"/>
          </w:tcPr>
          <w:p w14:paraId="6445729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19,215,728.60</w:t>
            </w:r>
          </w:p>
        </w:tc>
        <w:tc>
          <w:tcPr>
            <w:tcW w:w="1071" w:type="dxa"/>
            <w:tcBorders>
              <w:top w:val="single" w:color="auto" w:sz="2" w:space="0"/>
              <w:left w:val="single" w:color="auto" w:sz="2" w:space="0"/>
              <w:bottom w:val="single" w:color="auto" w:sz="2" w:space="0"/>
              <w:right w:val="single" w:color="auto" w:sz="2" w:space="0"/>
            </w:tcBorders>
            <w:vAlign w:val="center"/>
          </w:tcPr>
          <w:p w14:paraId="507C1FCC">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3A002A6">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ECFC18B">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403D017">
            <w:pPr>
              <w:spacing w:before="0" w:after="0" w:line="240" w:lineRule="exact"/>
              <w:jc w:val="right"/>
              <w:rPr>
                <w:rFonts w:hint="default"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4A2551">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192,544,952.42</w:t>
            </w:r>
          </w:p>
        </w:tc>
        <w:tc>
          <w:tcPr>
            <w:tcW w:w="1071" w:type="dxa"/>
            <w:tcBorders>
              <w:top w:val="single" w:color="auto" w:sz="2" w:space="0"/>
              <w:left w:val="single" w:color="auto" w:sz="2" w:space="0"/>
              <w:bottom w:val="single" w:color="auto" w:sz="2" w:space="0"/>
              <w:right w:val="single" w:color="auto" w:sz="2" w:space="0"/>
            </w:tcBorders>
            <w:vAlign w:val="center"/>
          </w:tcPr>
          <w:p w14:paraId="4C63DB4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19,215,728.60</w:t>
            </w:r>
          </w:p>
        </w:tc>
      </w:tr>
    </w:tbl>
    <w:p w14:paraId="3E313785">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14:paraId="16D700AC">
      <w:pPr>
        <w:spacing w:before="0" w:after="0" w:line="0" w:lineRule="exact"/>
        <w:jc w:val="left"/>
      </w:pP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08109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11FECB3">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6C13EA6">
            <w:pPr>
              <w:spacing w:before="40" w:after="40" w:line="240" w:lineRule="exact"/>
              <w:jc w:val="center"/>
              <w:rPr>
                <w:rFonts w:ascii="宋体" w:hAnsi="宋体" w:eastAsia="宋体" w:cs="宋体"/>
                <w:sz w:val="18"/>
                <w:szCs w:val="18"/>
              </w:rPr>
            </w:pPr>
            <w:r>
              <w:rPr>
                <w:rFonts w:ascii="宋体" w:hAnsi="宋体" w:eastAsia="宋体" w:cs="宋体"/>
                <w:sz w:val="18"/>
                <w:szCs w:val="18"/>
              </w:rPr>
              <w:t>履行履约义务的时间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3215E75">
            <w:pPr>
              <w:spacing w:before="40" w:after="40" w:line="240" w:lineRule="exact"/>
              <w:jc w:val="center"/>
              <w:rPr>
                <w:rFonts w:ascii="宋体" w:hAnsi="宋体" w:eastAsia="宋体" w:cs="宋体"/>
                <w:sz w:val="18"/>
                <w:szCs w:val="18"/>
              </w:rPr>
            </w:pPr>
            <w:r>
              <w:rPr>
                <w:rFonts w:ascii="宋体" w:hAnsi="宋体" w:eastAsia="宋体" w:cs="宋体"/>
                <w:sz w:val="18"/>
                <w:szCs w:val="18"/>
              </w:rPr>
              <w:t>重要的支付条款</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68B7A48">
            <w:pPr>
              <w:spacing w:before="40" w:after="40" w:line="240" w:lineRule="exact"/>
              <w:jc w:val="center"/>
              <w:rPr>
                <w:rFonts w:ascii="宋体" w:hAnsi="宋体" w:eastAsia="宋体" w:cs="宋体"/>
                <w:sz w:val="18"/>
                <w:szCs w:val="18"/>
              </w:rPr>
            </w:pPr>
            <w:r>
              <w:rPr>
                <w:rFonts w:ascii="宋体" w:hAnsi="宋体" w:eastAsia="宋体" w:cs="宋体"/>
                <w:sz w:val="18"/>
                <w:szCs w:val="18"/>
              </w:rPr>
              <w:t>公司承诺转让商品的性质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542012A">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是否为主要责任人</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644645E">
            <w:pPr>
              <w:spacing w:before="40" w:after="40" w:line="240" w:lineRule="exact"/>
              <w:jc w:val="center"/>
              <w:rPr>
                <w:rFonts w:ascii="宋体" w:hAnsi="宋体" w:eastAsia="宋体" w:cs="宋体"/>
                <w:sz w:val="18"/>
                <w:szCs w:val="18"/>
              </w:rPr>
            </w:pPr>
            <w:r>
              <w:rPr>
                <w:rFonts w:ascii="宋体" w:hAnsi="宋体" w:eastAsia="宋体" w:cs="宋体"/>
                <w:sz w:val="18"/>
                <w:szCs w:val="18"/>
              </w:rPr>
              <w:t>公司承担的预期将退还给客户的款项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D41BB6A">
            <w:pPr>
              <w:spacing w:before="40" w:after="40" w:line="240" w:lineRule="exact"/>
              <w:jc w:val="center"/>
              <w:rPr>
                <w:rFonts w:ascii="宋体" w:hAnsi="宋体" w:eastAsia="宋体" w:cs="宋体"/>
                <w:sz w:val="18"/>
                <w:szCs w:val="18"/>
              </w:rPr>
            </w:pPr>
            <w:r>
              <w:rPr>
                <w:rFonts w:ascii="宋体" w:hAnsi="宋体" w:eastAsia="宋体" w:cs="宋体"/>
                <w:sz w:val="18"/>
                <w:szCs w:val="18"/>
              </w:rPr>
              <w:t>公司提供的质量保证类型及相关义务</w:t>
            </w:r>
          </w:p>
        </w:tc>
      </w:tr>
    </w:tbl>
    <w:p w14:paraId="05347806">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4707EF26">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14:paraId="6BB3012A">
      <w:pPr>
        <w:spacing w:before="0" w:after="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w:t>
      </w:r>
      <w:r>
        <w:rPr>
          <w:rFonts w:hint="default" w:ascii="Times New Roman" w:hAnsi="Times New Roman" w:eastAsia="宋体" w:cs="Times New Roman"/>
          <w:sz w:val="18"/>
          <w:szCs w:val="18"/>
        </w:rPr>
        <w:t>0</w:t>
      </w:r>
      <w:r>
        <w:rPr>
          <w:rFonts w:ascii="宋体" w:hAnsi="宋体" w:eastAsia="宋体" w:cs="宋体"/>
          <w:sz w:val="18"/>
          <w:szCs w:val="18"/>
        </w:rPr>
        <w:t>.</w:t>
      </w:r>
      <w:r>
        <w:rPr>
          <w:rFonts w:hint="default" w:ascii="Times New Roman" w:hAnsi="Times New Roman" w:eastAsia="宋体" w:cs="Times New Roman"/>
          <w:sz w:val="18"/>
          <w:szCs w:val="18"/>
        </w:rPr>
        <w:t>00</w:t>
      </w:r>
      <w:r>
        <w:rPr>
          <w:rFonts w:ascii="宋体" w:hAnsi="宋体" w:eastAsia="宋体" w:cs="宋体"/>
          <w:sz w:val="18"/>
          <w:szCs w:val="18"/>
        </w:rPr>
        <w:t>元，其中，</w:t>
      </w:r>
      <w:r>
        <w:rPr>
          <w:rFonts w:hint="default" w:ascii="Times New Roman" w:hAnsi="Times New Roman" w:eastAsia="宋体" w:cs="Times New Roman"/>
          <w:sz w:val="18"/>
          <w:szCs w:val="18"/>
        </w:rPr>
        <w:t>0</w:t>
      </w:r>
      <w:r>
        <w:rPr>
          <w:rFonts w:ascii="宋体" w:hAnsi="宋体" w:eastAsia="宋体" w:cs="宋体"/>
          <w:sz w:val="18"/>
          <w:szCs w:val="18"/>
        </w:rPr>
        <w:t>.</w:t>
      </w:r>
      <w:r>
        <w:rPr>
          <w:rFonts w:hint="default" w:ascii="Times New Roman" w:hAnsi="Times New Roman" w:eastAsia="宋体" w:cs="Times New Roman"/>
          <w:sz w:val="18"/>
          <w:szCs w:val="18"/>
        </w:rPr>
        <w:t>00</w:t>
      </w:r>
      <w:r>
        <w:rPr>
          <w:rFonts w:ascii="宋体" w:hAnsi="宋体" w:eastAsia="宋体" w:cs="宋体"/>
          <w:sz w:val="18"/>
          <w:szCs w:val="18"/>
        </w:rPr>
        <w:t>元预计将于-年度确认收入，</w:t>
      </w:r>
      <w:r>
        <w:rPr>
          <w:rFonts w:hint="default" w:ascii="Times New Roman" w:hAnsi="Times New Roman" w:eastAsia="宋体" w:cs="Times New Roman"/>
          <w:sz w:val="18"/>
          <w:szCs w:val="18"/>
        </w:rPr>
        <w:t>0</w:t>
      </w:r>
      <w:r>
        <w:rPr>
          <w:rFonts w:ascii="宋体" w:hAnsi="宋体" w:eastAsia="宋体" w:cs="宋体"/>
          <w:sz w:val="18"/>
          <w:szCs w:val="18"/>
        </w:rPr>
        <w:t>.</w:t>
      </w:r>
      <w:r>
        <w:rPr>
          <w:rFonts w:hint="default" w:ascii="Times New Roman" w:hAnsi="Times New Roman" w:eastAsia="宋体" w:cs="Times New Roman"/>
          <w:sz w:val="18"/>
          <w:szCs w:val="18"/>
        </w:rPr>
        <w:t>00</w:t>
      </w:r>
      <w:r>
        <w:rPr>
          <w:rFonts w:ascii="宋体" w:hAnsi="宋体" w:eastAsia="宋体" w:cs="宋体"/>
          <w:sz w:val="18"/>
          <w:szCs w:val="18"/>
        </w:rPr>
        <w:t>元预计将于-年度确认收入，</w:t>
      </w:r>
      <w:r>
        <w:rPr>
          <w:rFonts w:hint="default" w:ascii="Times New Roman" w:hAnsi="Times New Roman" w:eastAsia="宋体" w:cs="Times New Roman"/>
          <w:sz w:val="18"/>
          <w:szCs w:val="18"/>
        </w:rPr>
        <w:t>0</w:t>
      </w:r>
      <w:r>
        <w:rPr>
          <w:rFonts w:ascii="宋体" w:hAnsi="宋体" w:eastAsia="宋体" w:cs="宋体"/>
          <w:sz w:val="18"/>
          <w:szCs w:val="18"/>
        </w:rPr>
        <w:t>.</w:t>
      </w:r>
      <w:r>
        <w:rPr>
          <w:rFonts w:hint="default" w:ascii="Times New Roman" w:hAnsi="Times New Roman" w:eastAsia="宋体" w:cs="Times New Roman"/>
          <w:sz w:val="18"/>
          <w:szCs w:val="18"/>
        </w:rPr>
        <w:t>00</w:t>
      </w:r>
      <w:r>
        <w:rPr>
          <w:rFonts w:ascii="宋体" w:hAnsi="宋体" w:eastAsia="宋体" w:cs="宋体"/>
          <w:sz w:val="18"/>
          <w:szCs w:val="18"/>
        </w:rPr>
        <w:t>元预计将于-年度确认收入。</w:t>
      </w:r>
    </w:p>
    <w:p w14:paraId="6002210E">
      <w:pPr>
        <w:spacing w:before="100" w:after="100" w:line="240" w:lineRule="exact"/>
        <w:jc w:val="left"/>
        <w:rPr>
          <w:rFonts w:ascii="宋体" w:hAnsi="宋体" w:eastAsia="宋体" w:cs="宋体"/>
          <w:sz w:val="18"/>
          <w:szCs w:val="18"/>
        </w:rPr>
      </w:pPr>
      <w:r>
        <w:rPr>
          <w:rFonts w:ascii="宋体" w:hAnsi="宋体" w:eastAsia="宋体" w:cs="宋体"/>
          <w:sz w:val="18"/>
          <w:szCs w:val="18"/>
        </w:rPr>
        <w:t>重大合同变更或重大交易价格调整</w:t>
      </w:r>
    </w:p>
    <w:p w14:paraId="3AB93754">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F6FF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255135">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19BAFB">
            <w:pPr>
              <w:spacing w:before="40" w:after="40" w:line="240" w:lineRule="exact"/>
              <w:jc w:val="center"/>
              <w:rPr>
                <w:rFonts w:ascii="宋体" w:hAnsi="宋体" w:eastAsia="宋体" w:cs="宋体"/>
                <w:sz w:val="18"/>
                <w:szCs w:val="18"/>
              </w:rPr>
            </w:pPr>
            <w:r>
              <w:rPr>
                <w:rFonts w:ascii="宋体" w:hAnsi="宋体" w:eastAsia="宋体" w:cs="宋体"/>
                <w:sz w:val="18"/>
                <w:szCs w:val="18"/>
              </w:rPr>
              <w:t>会计处理方法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C817C7">
            <w:pPr>
              <w:spacing w:before="40" w:after="40" w:line="240" w:lineRule="exact"/>
              <w:jc w:val="center"/>
              <w:rPr>
                <w:rFonts w:ascii="宋体" w:hAnsi="宋体" w:eastAsia="宋体" w:cs="宋体"/>
                <w:sz w:val="18"/>
                <w:szCs w:val="18"/>
              </w:rPr>
            </w:pPr>
            <w:r>
              <w:rPr>
                <w:rFonts w:ascii="宋体" w:hAnsi="宋体" w:eastAsia="宋体" w:cs="宋体"/>
                <w:sz w:val="18"/>
                <w:szCs w:val="18"/>
              </w:rPr>
              <w:t>对收入的影响金额</w:t>
            </w:r>
          </w:p>
        </w:tc>
      </w:tr>
    </w:tbl>
    <w:p w14:paraId="62928E05">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7B50C2BD">
      <w:pPr>
        <w:pStyle w:val="3"/>
        <w:keepNext/>
        <w:keepLines/>
        <w:spacing w:before="300" w:after="300" w:line="280" w:lineRule="exact"/>
        <w:jc w:val="left"/>
        <w:outlineLvl w:val="2"/>
        <w:rPr>
          <w:rFonts w:ascii="宋体" w:hAnsi="宋体" w:eastAsia="宋体" w:cs="宋体"/>
          <w:b/>
          <w:bCs/>
          <w:sz w:val="21"/>
          <w:szCs w:val="21"/>
        </w:rPr>
      </w:pPr>
      <w:bookmarkStart w:id="462" w:name="_Toc989259"/>
      <w:r>
        <w:rPr>
          <w:rFonts w:hint="default" w:ascii="Times New Roman" w:hAnsi="Times New Roman" w:eastAsia="宋体" w:cs="Times New Roman"/>
          <w:b/>
          <w:bCs/>
          <w:sz w:val="21"/>
          <w:szCs w:val="21"/>
        </w:rPr>
        <w:t>5</w:t>
      </w:r>
      <w:r>
        <w:rPr>
          <w:rFonts w:ascii="宋体" w:hAnsi="宋体" w:eastAsia="宋体" w:cs="宋体"/>
          <w:b/>
          <w:bCs/>
          <w:sz w:val="21"/>
          <w:szCs w:val="21"/>
        </w:rPr>
        <w:t>、投资收益</w:t>
      </w:r>
      <w:bookmarkEnd w:id="462"/>
    </w:p>
    <w:p w14:paraId="0E58B8A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DD5C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DAC34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755E88">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F1ED5C">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778E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734526">
            <w:pPr>
              <w:spacing w:before="40" w:after="40" w:line="240" w:lineRule="exact"/>
              <w:jc w:val="lef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1D078E4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824483">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-580,897.27</w:t>
            </w:r>
          </w:p>
        </w:tc>
      </w:tr>
      <w:tr w14:paraId="6E381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3F265C">
            <w:pPr>
              <w:spacing w:before="40" w:after="40" w:line="240" w:lineRule="exact"/>
              <w:jc w:val="left"/>
              <w:rPr>
                <w:rFonts w:ascii="宋体" w:hAnsi="宋体" w:eastAsia="宋体" w:cs="宋体"/>
                <w:sz w:val="18"/>
                <w:szCs w:val="18"/>
              </w:rPr>
            </w:pPr>
            <w:r>
              <w:rPr>
                <w:rFonts w:ascii="宋体" w:hAnsi="宋体" w:eastAsia="宋体" w:cs="宋体"/>
                <w:sz w:val="18"/>
                <w:szCs w:val="18"/>
              </w:rPr>
              <w:t>处置长期股权投资产生的投资收益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7FB5017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EF1DC6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-865,543.53</w:t>
            </w:r>
          </w:p>
        </w:tc>
      </w:tr>
      <w:tr w14:paraId="67CAC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178B4B8">
            <w:pPr>
              <w:spacing w:before="0" w:after="0" w:line="240" w:lineRule="exact"/>
              <w:jc w:val="left"/>
              <w:rPr>
                <w:rFonts w:ascii="宋体" w:hAnsi="宋体" w:eastAsia="宋体" w:cs="宋体"/>
                <w:sz w:val="18"/>
                <w:szCs w:val="18"/>
              </w:rPr>
            </w:pPr>
            <w:r>
              <w:rPr>
                <w:rFonts w:ascii="宋体" w:hAnsi="宋体" w:eastAsia="宋体" w:cs="宋体"/>
                <w:sz w:val="18"/>
                <w:szCs w:val="18"/>
              </w:rPr>
              <w:t>债务重组收益</w:t>
            </w:r>
          </w:p>
        </w:tc>
        <w:tc>
          <w:tcPr>
            <w:tcW w:w="3213" w:type="dxa"/>
            <w:tcBorders>
              <w:top w:val="single" w:color="auto" w:sz="2" w:space="0"/>
              <w:left w:val="single" w:color="auto" w:sz="2" w:space="0"/>
              <w:bottom w:val="single" w:color="auto" w:sz="2" w:space="0"/>
              <w:right w:val="single" w:color="auto" w:sz="2" w:space="0"/>
            </w:tcBorders>
            <w:vAlign w:val="center"/>
          </w:tcPr>
          <w:p w14:paraId="6B577BB6">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5293DCC">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3,522,812.00</w:t>
            </w:r>
          </w:p>
        </w:tc>
      </w:tr>
      <w:tr w14:paraId="78A0A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267C37">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97C5C7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0C75D69">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2,076,371.20</w:t>
            </w:r>
          </w:p>
        </w:tc>
      </w:tr>
    </w:tbl>
    <w:p w14:paraId="5FC2FCB3">
      <w:pPr>
        <w:pStyle w:val="2"/>
        <w:keepNext/>
        <w:keepLines/>
        <w:spacing w:before="300" w:after="300" w:line="320" w:lineRule="exact"/>
        <w:jc w:val="left"/>
        <w:outlineLvl w:val="1"/>
        <w:rPr>
          <w:rFonts w:ascii="宋体" w:hAnsi="宋体" w:eastAsia="宋体" w:cs="宋体"/>
          <w:b/>
          <w:bCs/>
          <w:sz w:val="24"/>
          <w:szCs w:val="24"/>
        </w:rPr>
      </w:pPr>
      <w:bookmarkStart w:id="463" w:name="_Toc989260"/>
      <w:bookmarkStart w:id="464" w:name="_Toc22427"/>
      <w:r>
        <w:rPr>
          <w:rFonts w:ascii="宋体" w:hAnsi="宋体" w:eastAsia="宋体" w:cs="宋体"/>
          <w:b/>
          <w:bCs/>
          <w:sz w:val="24"/>
          <w:szCs w:val="24"/>
        </w:rPr>
        <w:t>二十一、补充资料</w:t>
      </w:r>
      <w:bookmarkEnd w:id="463"/>
      <w:bookmarkEnd w:id="464"/>
    </w:p>
    <w:p w14:paraId="3ED8DDB5">
      <w:pPr>
        <w:pStyle w:val="3"/>
        <w:keepNext/>
        <w:keepLines/>
        <w:spacing w:before="300" w:after="300" w:line="280" w:lineRule="exact"/>
        <w:jc w:val="left"/>
        <w:outlineLvl w:val="2"/>
        <w:rPr>
          <w:rFonts w:ascii="宋体" w:hAnsi="宋体" w:eastAsia="宋体" w:cs="宋体"/>
          <w:b/>
          <w:bCs/>
          <w:sz w:val="21"/>
          <w:szCs w:val="21"/>
        </w:rPr>
      </w:pPr>
      <w:bookmarkStart w:id="465" w:name="_Toc989261"/>
      <w:r>
        <w:rPr>
          <w:rFonts w:hint="default" w:ascii="Times New Roman" w:hAnsi="Times New Roman" w:eastAsia="宋体" w:cs="Times New Roman"/>
          <w:b/>
          <w:bCs/>
          <w:sz w:val="21"/>
          <w:szCs w:val="21"/>
        </w:rPr>
        <w:t>1</w:t>
      </w:r>
      <w:r>
        <w:rPr>
          <w:rFonts w:ascii="宋体" w:hAnsi="宋体" w:eastAsia="宋体" w:cs="宋体"/>
          <w:b/>
          <w:bCs/>
          <w:sz w:val="21"/>
          <w:szCs w:val="21"/>
        </w:rPr>
        <w:t>、当期非经常性损益明细表</w:t>
      </w:r>
      <w:bookmarkEnd w:id="465"/>
    </w:p>
    <w:p w14:paraId="6285819E">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5E438946">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5292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04A619">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8AF792">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A3CC95">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14:paraId="24841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F977F1">
            <w:pPr>
              <w:spacing w:before="40" w:after="40" w:line="240" w:lineRule="exact"/>
              <w:jc w:val="left"/>
              <w:rPr>
                <w:rFonts w:ascii="宋体" w:hAnsi="宋体" w:eastAsia="宋体" w:cs="宋体"/>
                <w:sz w:val="18"/>
                <w:szCs w:val="18"/>
              </w:rPr>
            </w:pPr>
            <w:r>
              <w:rPr>
                <w:rFonts w:ascii="宋体" w:hAnsi="宋体" w:eastAsia="宋体" w:cs="宋体"/>
                <w:sz w:val="18"/>
                <w:szCs w:val="18"/>
              </w:rPr>
              <w:t>非流动性资产处置损益</w:t>
            </w:r>
          </w:p>
        </w:tc>
        <w:tc>
          <w:tcPr>
            <w:tcW w:w="3213" w:type="dxa"/>
            <w:tcBorders>
              <w:top w:val="single" w:color="auto" w:sz="2" w:space="0"/>
              <w:left w:val="single" w:color="auto" w:sz="2" w:space="0"/>
              <w:bottom w:val="single" w:color="auto" w:sz="2" w:space="0"/>
              <w:right w:val="single" w:color="auto" w:sz="2" w:space="0"/>
            </w:tcBorders>
            <w:vAlign w:val="center"/>
          </w:tcPr>
          <w:p w14:paraId="5DB612D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21,940.67</w:t>
            </w:r>
          </w:p>
        </w:tc>
        <w:tc>
          <w:tcPr>
            <w:tcW w:w="3213" w:type="dxa"/>
            <w:tcBorders>
              <w:top w:val="single" w:color="auto" w:sz="2" w:space="0"/>
              <w:left w:val="single" w:color="auto" w:sz="2" w:space="0"/>
              <w:bottom w:val="single" w:color="auto" w:sz="2" w:space="0"/>
              <w:right w:val="single" w:color="auto" w:sz="2" w:space="0"/>
            </w:tcBorders>
            <w:vAlign w:val="center"/>
          </w:tcPr>
          <w:p w14:paraId="6D6C8371">
            <w:pPr>
              <w:spacing w:before="0" w:after="0" w:line="240" w:lineRule="exact"/>
              <w:jc w:val="left"/>
              <w:rPr>
                <w:rFonts w:ascii="宋体" w:hAnsi="宋体" w:eastAsia="宋体" w:cs="宋体"/>
                <w:sz w:val="18"/>
                <w:szCs w:val="18"/>
              </w:rPr>
            </w:pPr>
          </w:p>
        </w:tc>
      </w:tr>
      <w:tr w14:paraId="5BF28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8A206D">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14:paraId="5371987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1,241,805.05</w:t>
            </w:r>
          </w:p>
        </w:tc>
        <w:tc>
          <w:tcPr>
            <w:tcW w:w="3213" w:type="dxa"/>
            <w:tcBorders>
              <w:top w:val="single" w:color="auto" w:sz="2" w:space="0"/>
              <w:left w:val="single" w:color="auto" w:sz="2" w:space="0"/>
              <w:bottom w:val="single" w:color="auto" w:sz="2" w:space="0"/>
              <w:right w:val="single" w:color="auto" w:sz="2" w:space="0"/>
            </w:tcBorders>
            <w:vAlign w:val="center"/>
          </w:tcPr>
          <w:p w14:paraId="1604E458">
            <w:pPr>
              <w:spacing w:before="0" w:after="0" w:line="240" w:lineRule="exact"/>
              <w:jc w:val="left"/>
              <w:rPr>
                <w:rFonts w:ascii="宋体" w:hAnsi="宋体" w:eastAsia="宋体" w:cs="宋体"/>
                <w:sz w:val="18"/>
                <w:szCs w:val="18"/>
              </w:rPr>
            </w:pPr>
          </w:p>
        </w:tc>
      </w:tr>
      <w:tr w14:paraId="6C0CD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F56698">
            <w:pPr>
              <w:spacing w:before="40" w:after="40" w:line="240" w:lineRule="exact"/>
              <w:jc w:val="left"/>
              <w:rPr>
                <w:rFonts w:ascii="宋体" w:hAnsi="宋体" w:eastAsia="宋体" w:cs="宋体"/>
                <w:sz w:val="18"/>
                <w:szCs w:val="18"/>
              </w:rPr>
            </w:pPr>
            <w:r>
              <w:rPr>
                <w:rFonts w:ascii="宋体" w:hAnsi="宋体" w:eastAsia="宋体" w:cs="宋体"/>
                <w:sz w:val="18"/>
                <w:szCs w:val="18"/>
              </w:rPr>
              <w:t>债务重组损益</w:t>
            </w:r>
          </w:p>
        </w:tc>
        <w:tc>
          <w:tcPr>
            <w:tcW w:w="3213" w:type="dxa"/>
            <w:tcBorders>
              <w:top w:val="single" w:color="auto" w:sz="2" w:space="0"/>
              <w:left w:val="single" w:color="auto" w:sz="2" w:space="0"/>
              <w:bottom w:val="single" w:color="auto" w:sz="2" w:space="0"/>
              <w:right w:val="single" w:color="auto" w:sz="2" w:space="0"/>
            </w:tcBorders>
            <w:vAlign w:val="center"/>
          </w:tcPr>
          <w:p w14:paraId="70B82E6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81,750.00</w:t>
            </w:r>
          </w:p>
        </w:tc>
        <w:tc>
          <w:tcPr>
            <w:tcW w:w="3213" w:type="dxa"/>
            <w:tcBorders>
              <w:top w:val="single" w:color="auto" w:sz="2" w:space="0"/>
              <w:left w:val="single" w:color="auto" w:sz="2" w:space="0"/>
              <w:bottom w:val="single" w:color="auto" w:sz="2" w:space="0"/>
              <w:right w:val="single" w:color="auto" w:sz="2" w:space="0"/>
            </w:tcBorders>
            <w:vAlign w:val="center"/>
          </w:tcPr>
          <w:p w14:paraId="52B1848F">
            <w:pPr>
              <w:spacing w:before="0" w:after="0" w:line="240" w:lineRule="exact"/>
              <w:jc w:val="left"/>
              <w:rPr>
                <w:rFonts w:ascii="宋体" w:hAnsi="宋体" w:eastAsia="宋体" w:cs="宋体"/>
                <w:sz w:val="18"/>
                <w:szCs w:val="18"/>
              </w:rPr>
            </w:pPr>
          </w:p>
        </w:tc>
      </w:tr>
      <w:tr w14:paraId="336F7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9750CA">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14:paraId="52988734">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-3,172,951.32</w:t>
            </w:r>
          </w:p>
        </w:tc>
        <w:tc>
          <w:tcPr>
            <w:tcW w:w="3213" w:type="dxa"/>
            <w:tcBorders>
              <w:top w:val="single" w:color="auto" w:sz="2" w:space="0"/>
              <w:left w:val="single" w:color="auto" w:sz="2" w:space="0"/>
              <w:bottom w:val="single" w:color="auto" w:sz="2" w:space="0"/>
              <w:right w:val="single" w:color="auto" w:sz="2" w:space="0"/>
            </w:tcBorders>
            <w:vAlign w:val="center"/>
          </w:tcPr>
          <w:p w14:paraId="3A308BA4">
            <w:pPr>
              <w:spacing w:before="0" w:after="0" w:line="240" w:lineRule="exact"/>
              <w:jc w:val="left"/>
              <w:rPr>
                <w:rFonts w:ascii="宋体" w:hAnsi="宋体" w:eastAsia="宋体" w:cs="宋体"/>
                <w:sz w:val="18"/>
                <w:szCs w:val="18"/>
              </w:rPr>
            </w:pPr>
          </w:p>
        </w:tc>
      </w:tr>
      <w:tr w14:paraId="7F1D2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F672D1">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14:paraId="3F50799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-324,529.28</w:t>
            </w:r>
          </w:p>
        </w:tc>
        <w:tc>
          <w:tcPr>
            <w:tcW w:w="3213" w:type="dxa"/>
            <w:tcBorders>
              <w:top w:val="single" w:color="auto" w:sz="2" w:space="0"/>
              <w:left w:val="single" w:color="auto" w:sz="2" w:space="0"/>
              <w:bottom w:val="single" w:color="auto" w:sz="2" w:space="0"/>
              <w:right w:val="single" w:color="auto" w:sz="2" w:space="0"/>
            </w:tcBorders>
            <w:vAlign w:val="center"/>
          </w:tcPr>
          <w:p w14:paraId="1C6F27CE">
            <w:pPr>
              <w:spacing w:before="0" w:after="0" w:line="240" w:lineRule="exact"/>
              <w:jc w:val="left"/>
              <w:rPr>
                <w:rFonts w:ascii="宋体" w:hAnsi="宋体" w:eastAsia="宋体" w:cs="宋体"/>
                <w:sz w:val="18"/>
                <w:szCs w:val="18"/>
              </w:rPr>
            </w:pPr>
          </w:p>
        </w:tc>
      </w:tr>
      <w:tr w14:paraId="7856C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C21BD1">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14:paraId="5A014C2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462,964.69</w:t>
            </w:r>
          </w:p>
        </w:tc>
        <w:tc>
          <w:tcPr>
            <w:tcW w:w="3213" w:type="dxa"/>
            <w:tcBorders>
              <w:top w:val="single" w:color="auto" w:sz="2" w:space="0"/>
              <w:left w:val="single" w:color="auto" w:sz="2" w:space="0"/>
              <w:bottom w:val="single" w:color="auto" w:sz="2" w:space="0"/>
              <w:right w:val="single" w:color="auto" w:sz="2" w:space="0"/>
            </w:tcBorders>
            <w:vAlign w:val="center"/>
          </w:tcPr>
          <w:p w14:paraId="4CC78114">
            <w:pPr>
              <w:spacing w:before="0" w:after="0" w:line="240" w:lineRule="exact"/>
              <w:jc w:val="left"/>
              <w:rPr>
                <w:rFonts w:ascii="宋体" w:hAnsi="宋体" w:eastAsia="宋体" w:cs="宋体"/>
                <w:sz w:val="18"/>
                <w:szCs w:val="18"/>
              </w:rPr>
            </w:pPr>
          </w:p>
        </w:tc>
      </w:tr>
      <w:tr w14:paraId="7F524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9905E6">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67A63A0">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-1,965,891.01</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046A5C">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14:paraId="24BBC0E3">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14:paraId="117AB466">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AB43321">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14:paraId="7AB2E190">
      <w:pPr>
        <w:spacing w:before="100" w:after="10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w:t>
      </w:r>
      <w:r>
        <w:rPr>
          <w:rFonts w:hint="default" w:ascii="Times New Roman" w:hAnsi="Times New Roman" w:eastAsia="宋体" w:cs="Times New Roman"/>
          <w:sz w:val="18"/>
          <w:szCs w:val="18"/>
        </w:rPr>
        <w:t>1</w:t>
      </w:r>
      <w:r>
        <w:rPr>
          <w:rFonts w:ascii="宋体" w:hAnsi="宋体" w:eastAsia="宋体" w:cs="宋体"/>
          <w:sz w:val="18"/>
          <w:szCs w:val="18"/>
        </w:rPr>
        <w:t>号——非经常性损益》中列举的非经常性损益项目界定为经常性损益项目的情况说明</w:t>
      </w:r>
    </w:p>
    <w:p w14:paraId="357AF991">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A82D2DC">
      <w:pPr>
        <w:pStyle w:val="3"/>
        <w:keepNext/>
        <w:keepLines/>
        <w:spacing w:before="300" w:after="300" w:line="280" w:lineRule="exact"/>
        <w:jc w:val="left"/>
        <w:outlineLvl w:val="2"/>
        <w:rPr>
          <w:rFonts w:ascii="宋体" w:hAnsi="宋体" w:eastAsia="宋体" w:cs="宋体"/>
          <w:b/>
          <w:bCs/>
          <w:sz w:val="21"/>
          <w:szCs w:val="21"/>
        </w:rPr>
      </w:pPr>
      <w:bookmarkStart w:id="466" w:name="_Toc989262"/>
      <w:r>
        <w:rPr>
          <w:rFonts w:hint="default" w:ascii="Times New Roman" w:hAnsi="Times New Roman" w:eastAsia="宋体" w:cs="Times New Roman"/>
          <w:b/>
          <w:bCs/>
          <w:sz w:val="21"/>
          <w:szCs w:val="21"/>
        </w:rPr>
        <w:t>2</w:t>
      </w:r>
      <w:r>
        <w:rPr>
          <w:rFonts w:ascii="宋体" w:hAnsi="宋体" w:eastAsia="宋体" w:cs="宋体"/>
          <w:b/>
          <w:bCs/>
          <w:sz w:val="21"/>
          <w:szCs w:val="21"/>
        </w:rPr>
        <w:t>、净资产收益率及每股收益</w:t>
      </w:r>
      <w:bookmarkEnd w:id="466"/>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1A8E3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5E790B4">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9293B93">
            <w:pPr>
              <w:spacing w:before="40" w:after="40" w:line="240" w:lineRule="exact"/>
              <w:jc w:val="center"/>
              <w:rPr>
                <w:rFonts w:ascii="宋体" w:hAnsi="宋体" w:eastAsia="宋体" w:cs="宋体"/>
                <w:sz w:val="18"/>
                <w:szCs w:val="18"/>
              </w:rPr>
            </w:pPr>
            <w:r>
              <w:rPr>
                <w:rFonts w:ascii="宋体" w:hAnsi="宋体" w:eastAsia="宋体" w:cs="宋体"/>
                <w:sz w:val="18"/>
                <w:szCs w:val="18"/>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BBEC3C1">
            <w:pPr>
              <w:spacing w:before="40" w:after="40" w:line="240" w:lineRule="exact"/>
              <w:jc w:val="center"/>
              <w:rPr>
                <w:rFonts w:ascii="宋体" w:hAnsi="宋体" w:eastAsia="宋体" w:cs="宋体"/>
                <w:sz w:val="18"/>
                <w:szCs w:val="18"/>
              </w:rPr>
            </w:pPr>
            <w:r>
              <w:rPr>
                <w:rFonts w:ascii="宋体" w:hAnsi="宋体" w:eastAsia="宋体" w:cs="宋体"/>
                <w:sz w:val="18"/>
                <w:szCs w:val="18"/>
              </w:rPr>
              <w:t>每股收益</w:t>
            </w:r>
          </w:p>
        </w:tc>
      </w:tr>
      <w:tr w14:paraId="71EBC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54B9A79"/>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F27F499"/>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A125591">
            <w:pPr>
              <w:spacing w:before="40" w:after="40" w:line="240" w:lineRule="exact"/>
              <w:jc w:val="center"/>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584E504">
            <w:pPr>
              <w:spacing w:before="40" w:after="40" w:line="240" w:lineRule="exact"/>
              <w:jc w:val="center"/>
              <w:rPr>
                <w:rFonts w:ascii="宋体" w:hAnsi="宋体" w:eastAsia="宋体" w:cs="宋体"/>
                <w:sz w:val="18"/>
                <w:szCs w:val="18"/>
              </w:rPr>
            </w:pPr>
            <w:r>
              <w:rPr>
                <w:rFonts w:ascii="宋体" w:hAnsi="宋体" w:eastAsia="宋体" w:cs="宋体"/>
                <w:sz w:val="18"/>
                <w:szCs w:val="18"/>
              </w:rPr>
              <w:t>稀释每股收益（元/股）</w:t>
            </w:r>
          </w:p>
        </w:tc>
      </w:tr>
      <w:tr w14:paraId="17419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570B008">
            <w:pPr>
              <w:spacing w:before="40" w:after="40" w:line="240" w:lineRule="exact"/>
              <w:jc w:val="left"/>
              <w:rPr>
                <w:rFonts w:ascii="宋体" w:hAnsi="宋体" w:eastAsia="宋体" w:cs="宋体"/>
                <w:sz w:val="18"/>
                <w:szCs w:val="18"/>
              </w:rPr>
            </w:pPr>
            <w:r>
              <w:rPr>
                <w:rFonts w:ascii="宋体" w:hAnsi="宋体" w:eastAsia="宋体" w:cs="宋体"/>
                <w:sz w:val="18"/>
                <w:szCs w:val="18"/>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14:paraId="1F872F62">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4.38%</w:t>
            </w:r>
          </w:p>
        </w:tc>
        <w:tc>
          <w:tcPr>
            <w:tcW w:w="2410" w:type="dxa"/>
            <w:tcBorders>
              <w:top w:val="single" w:color="auto" w:sz="2" w:space="0"/>
              <w:left w:val="single" w:color="auto" w:sz="2" w:space="0"/>
              <w:bottom w:val="single" w:color="auto" w:sz="2" w:space="0"/>
              <w:right w:val="single" w:color="auto" w:sz="2" w:space="0"/>
            </w:tcBorders>
            <w:vAlign w:val="center"/>
          </w:tcPr>
          <w:p w14:paraId="08961C6F">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w:t>
            </w:r>
          </w:p>
        </w:tc>
        <w:tc>
          <w:tcPr>
            <w:tcW w:w="2410" w:type="dxa"/>
            <w:tcBorders>
              <w:top w:val="single" w:color="auto" w:sz="2" w:space="0"/>
              <w:left w:val="single" w:color="auto" w:sz="2" w:space="0"/>
              <w:bottom w:val="single" w:color="auto" w:sz="2" w:space="0"/>
              <w:right w:val="single" w:color="auto" w:sz="2" w:space="0"/>
            </w:tcBorders>
            <w:vAlign w:val="center"/>
          </w:tcPr>
          <w:p w14:paraId="33B13D68">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w:t>
            </w:r>
          </w:p>
        </w:tc>
      </w:tr>
      <w:tr w14:paraId="50FA8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754DF98">
            <w:pPr>
              <w:spacing w:before="40" w:after="40" w:line="240" w:lineRule="exact"/>
              <w:jc w:val="left"/>
              <w:rPr>
                <w:rFonts w:ascii="宋体" w:hAnsi="宋体" w:eastAsia="宋体" w:cs="宋体"/>
                <w:sz w:val="18"/>
                <w:szCs w:val="18"/>
              </w:rPr>
            </w:pPr>
            <w:r>
              <w:rPr>
                <w:rFonts w:ascii="宋体" w:hAnsi="宋体" w:eastAsia="宋体" w:cs="宋体"/>
                <w:sz w:val="18"/>
                <w:szCs w:val="18"/>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14:paraId="7385D4CD">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4.73%</w:t>
            </w:r>
          </w:p>
        </w:tc>
        <w:tc>
          <w:tcPr>
            <w:tcW w:w="2410" w:type="dxa"/>
            <w:tcBorders>
              <w:top w:val="single" w:color="auto" w:sz="2" w:space="0"/>
              <w:left w:val="single" w:color="auto" w:sz="2" w:space="0"/>
              <w:bottom w:val="single" w:color="auto" w:sz="2" w:space="0"/>
              <w:right w:val="single" w:color="auto" w:sz="2" w:space="0"/>
            </w:tcBorders>
            <w:vAlign w:val="center"/>
          </w:tcPr>
          <w:p w14:paraId="375B9EE7">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0.10</w:t>
            </w:r>
          </w:p>
        </w:tc>
        <w:tc>
          <w:tcPr>
            <w:tcW w:w="2410" w:type="dxa"/>
            <w:tcBorders>
              <w:top w:val="single" w:color="auto" w:sz="2" w:space="0"/>
              <w:left w:val="single" w:color="auto" w:sz="2" w:space="0"/>
              <w:bottom w:val="single" w:color="auto" w:sz="2" w:space="0"/>
              <w:right w:val="single" w:color="auto" w:sz="2" w:space="0"/>
            </w:tcBorders>
            <w:vAlign w:val="center"/>
          </w:tcPr>
          <w:p w14:paraId="1223306A">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0.10</w:t>
            </w:r>
          </w:p>
        </w:tc>
      </w:tr>
    </w:tbl>
    <w:p w14:paraId="52169B63">
      <w:pPr>
        <w:pStyle w:val="3"/>
        <w:keepNext/>
        <w:keepLines/>
        <w:spacing w:before="300" w:after="300" w:line="280" w:lineRule="exact"/>
        <w:jc w:val="left"/>
        <w:outlineLvl w:val="2"/>
        <w:rPr>
          <w:rFonts w:ascii="宋体" w:hAnsi="宋体" w:eastAsia="宋体" w:cs="宋体"/>
          <w:b/>
          <w:bCs/>
          <w:sz w:val="21"/>
          <w:szCs w:val="21"/>
        </w:rPr>
      </w:pPr>
      <w:bookmarkStart w:id="467" w:name="_Toc989263"/>
      <w:r>
        <w:rPr>
          <w:rFonts w:hint="default" w:ascii="Times New Roman" w:hAnsi="Times New Roman" w:eastAsia="宋体" w:cs="Times New Roman"/>
          <w:b/>
          <w:bCs/>
          <w:sz w:val="21"/>
          <w:szCs w:val="21"/>
        </w:rPr>
        <w:t>3</w:t>
      </w:r>
      <w:r>
        <w:rPr>
          <w:rFonts w:ascii="宋体" w:hAnsi="宋体" w:eastAsia="宋体" w:cs="宋体"/>
          <w:b/>
          <w:bCs/>
          <w:sz w:val="21"/>
          <w:szCs w:val="21"/>
        </w:rPr>
        <w:t>、境内外会计准则下会计数据差异</w:t>
      </w:r>
      <w:bookmarkEnd w:id="467"/>
    </w:p>
    <w:p w14:paraId="4FE16924">
      <w:pPr>
        <w:keepNext/>
        <w:keepLines/>
        <w:spacing w:before="300" w:after="300" w:line="280" w:lineRule="exact"/>
        <w:jc w:val="left"/>
        <w:outlineLvl w:val="3"/>
        <w:rPr>
          <w:rFonts w:ascii="宋体" w:hAnsi="宋体" w:eastAsia="宋体" w:cs="宋体"/>
          <w:b/>
          <w:bCs/>
          <w:sz w:val="21"/>
          <w:szCs w:val="21"/>
        </w:rPr>
      </w:pPr>
      <w:bookmarkStart w:id="468" w:name="_Toc989264"/>
      <w:r>
        <w:rPr>
          <w:rFonts w:ascii="宋体" w:hAnsi="宋体" w:eastAsia="宋体" w:cs="宋体"/>
          <w:b/>
          <w:bCs/>
          <w:sz w:val="21"/>
          <w:szCs w:val="21"/>
        </w:rPr>
        <w:t>（</w:t>
      </w:r>
      <w:r>
        <w:rPr>
          <w:rFonts w:hint="default" w:ascii="Times New Roman" w:hAnsi="Times New Roman" w:eastAsia="宋体" w:cs="Times New Roman"/>
          <w:b/>
          <w:bCs/>
          <w:sz w:val="21"/>
          <w:szCs w:val="21"/>
        </w:rPr>
        <w:t>1</w:t>
      </w:r>
      <w:r>
        <w:rPr>
          <w:rFonts w:ascii="宋体" w:hAnsi="宋体" w:eastAsia="宋体" w:cs="宋体"/>
          <w:b/>
          <w:bCs/>
          <w:sz w:val="21"/>
          <w:szCs w:val="21"/>
        </w:rPr>
        <w:t>） 同时按照国际会计准则与按中国会计准则披露的财务报告中净利润和净资产差异情况</w:t>
      </w:r>
      <w:bookmarkEnd w:id="468"/>
    </w:p>
    <w:p w14:paraId="13CC02FA">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4693DC7">
      <w:pPr>
        <w:keepNext/>
        <w:keepLines/>
        <w:spacing w:before="300" w:after="300" w:line="280" w:lineRule="exact"/>
        <w:jc w:val="left"/>
        <w:outlineLvl w:val="3"/>
        <w:rPr>
          <w:rFonts w:ascii="宋体" w:hAnsi="宋体" w:eastAsia="宋体" w:cs="宋体"/>
          <w:b/>
          <w:bCs/>
          <w:sz w:val="21"/>
          <w:szCs w:val="21"/>
        </w:rPr>
      </w:pPr>
      <w:bookmarkStart w:id="469" w:name="_Toc989265"/>
      <w:r>
        <w:rPr>
          <w:rFonts w:ascii="宋体" w:hAnsi="宋体" w:eastAsia="宋体" w:cs="宋体"/>
          <w:b/>
          <w:bCs/>
          <w:sz w:val="21"/>
          <w:szCs w:val="21"/>
        </w:rPr>
        <w:t>（</w:t>
      </w:r>
      <w:r>
        <w:rPr>
          <w:rFonts w:hint="default" w:ascii="Times New Roman" w:hAnsi="Times New Roman" w:eastAsia="宋体" w:cs="Times New Roman"/>
          <w:b/>
          <w:bCs/>
          <w:sz w:val="21"/>
          <w:szCs w:val="21"/>
        </w:rPr>
        <w:t>2</w:t>
      </w:r>
      <w:r>
        <w:rPr>
          <w:rFonts w:ascii="宋体" w:hAnsi="宋体" w:eastAsia="宋体" w:cs="宋体"/>
          <w:b/>
          <w:bCs/>
          <w:sz w:val="21"/>
          <w:szCs w:val="21"/>
        </w:rPr>
        <w:t>） 同时按照境外会计准则与按中国会计准则披露的财务报告中净利润和净资产差异情况</w:t>
      </w:r>
      <w:bookmarkEnd w:id="469"/>
    </w:p>
    <w:p w14:paraId="1925BC30">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91E16B9">
      <w:pPr>
        <w:keepNext/>
        <w:keepLines/>
        <w:spacing w:before="300" w:after="300" w:line="280" w:lineRule="exact"/>
        <w:jc w:val="left"/>
        <w:outlineLvl w:val="3"/>
        <w:rPr>
          <w:rFonts w:ascii="宋体" w:hAnsi="宋体" w:eastAsia="宋体" w:cs="宋体"/>
          <w:b/>
          <w:bCs/>
          <w:sz w:val="21"/>
          <w:szCs w:val="21"/>
        </w:rPr>
      </w:pPr>
      <w:bookmarkStart w:id="470" w:name="_Toc989266"/>
      <w:r>
        <w:rPr>
          <w:rFonts w:ascii="宋体" w:hAnsi="宋体" w:eastAsia="宋体" w:cs="宋体"/>
          <w:b/>
          <w:bCs/>
          <w:sz w:val="21"/>
          <w:szCs w:val="21"/>
        </w:rPr>
        <w:t>（</w:t>
      </w:r>
      <w:r>
        <w:rPr>
          <w:rFonts w:hint="default" w:ascii="Times New Roman" w:hAnsi="Times New Roman" w:eastAsia="宋体" w:cs="Times New Roman"/>
          <w:b/>
          <w:bCs/>
          <w:sz w:val="21"/>
          <w:szCs w:val="21"/>
        </w:rPr>
        <w:t>3</w:t>
      </w:r>
      <w:r>
        <w:rPr>
          <w:rFonts w:ascii="宋体" w:hAnsi="宋体" w:eastAsia="宋体" w:cs="宋体"/>
          <w:b/>
          <w:bCs/>
          <w:sz w:val="21"/>
          <w:szCs w:val="21"/>
        </w:rPr>
        <w:t>） 境内外会计准则下会计数据差异原因说明，对已经境外审计机构审计的数据进行差异调节的，应注明该境外机构的名称</w:t>
      </w:r>
      <w:bookmarkEnd w:id="470"/>
    </w:p>
    <w:p w14:paraId="1866C516">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2137979">
      <w:pPr>
        <w:spacing w:before="100" w:after="100" w:line="0" w:lineRule="exact"/>
        <w:jc w:val="left"/>
      </w:pP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al Narrow">
    <w:altName w:val="Arial"/>
    <w:panose1 w:val="00000000000000000000"/>
    <w:charset w:val="00"/>
    <w:family w:val="auto"/>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BE616">
    <w:pPr>
      <w:pStyle w:val="12"/>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6887">
    <w:pPr>
      <w:pStyle w:val="10"/>
      <w:pBdr>
        <w:bottom w:val="single" w:color="auto" w:sz="6" w:space="1"/>
      </w:pBdr>
    </w:pPr>
    <w:r>
      <w:t>冠昊生物科技股份有限公司2025年年度报告全文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E44A074F"/>
    <w:multiLevelType w:val="singleLevel"/>
    <w:tmpl w:val="E44A074F"/>
    <w:lvl w:ilvl="0" w:tentative="0">
      <w:start w:val="1"/>
      <w:numFmt w:val="decimal"/>
      <w:suff w:val="nothing"/>
      <w:lvlText w:val="%1、"/>
      <w:lvlJc w:val="left"/>
    </w:lvl>
  </w:abstractNum>
  <w:abstractNum w:abstractNumId="2">
    <w:nsid w:val="59ADCABA"/>
    <w:multiLevelType w:val="multilevel"/>
    <w:tmpl w:val="59ADCAB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62E484A2"/>
    <w:multiLevelType w:val="singleLevel"/>
    <w:tmpl w:val="62E484A2"/>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rsids>
    <w:rsidRoot w:val="00000000"/>
    <w:rsid w:val="004A0487"/>
    <w:rsid w:val="007C44D9"/>
    <w:rsid w:val="025C159D"/>
    <w:rsid w:val="036E5B30"/>
    <w:rsid w:val="04443922"/>
    <w:rsid w:val="05114EDC"/>
    <w:rsid w:val="05CA44E8"/>
    <w:rsid w:val="05FB0B46"/>
    <w:rsid w:val="05FB6F31"/>
    <w:rsid w:val="089944A9"/>
    <w:rsid w:val="08B10358"/>
    <w:rsid w:val="08E858AD"/>
    <w:rsid w:val="08FC0CCA"/>
    <w:rsid w:val="099519E5"/>
    <w:rsid w:val="0A9A7472"/>
    <w:rsid w:val="0ADA4537"/>
    <w:rsid w:val="0AF33577"/>
    <w:rsid w:val="0B2D4A2E"/>
    <w:rsid w:val="0B966410"/>
    <w:rsid w:val="0C360518"/>
    <w:rsid w:val="0D682F64"/>
    <w:rsid w:val="0FC962CA"/>
    <w:rsid w:val="10A741DE"/>
    <w:rsid w:val="111007BC"/>
    <w:rsid w:val="115B2AFF"/>
    <w:rsid w:val="11AE548E"/>
    <w:rsid w:val="13105D04"/>
    <w:rsid w:val="131E63B6"/>
    <w:rsid w:val="135F61B2"/>
    <w:rsid w:val="13B82867"/>
    <w:rsid w:val="157463C1"/>
    <w:rsid w:val="15EB26A4"/>
    <w:rsid w:val="17826121"/>
    <w:rsid w:val="17DF28E3"/>
    <w:rsid w:val="191E3943"/>
    <w:rsid w:val="19502A2A"/>
    <w:rsid w:val="1A015FF9"/>
    <w:rsid w:val="1ABA5A6D"/>
    <w:rsid w:val="1C5D68E3"/>
    <w:rsid w:val="1C8C2366"/>
    <w:rsid w:val="1CA03585"/>
    <w:rsid w:val="1CDF2836"/>
    <w:rsid w:val="1D1B676C"/>
    <w:rsid w:val="1FB301B8"/>
    <w:rsid w:val="204075FE"/>
    <w:rsid w:val="204634C8"/>
    <w:rsid w:val="20687025"/>
    <w:rsid w:val="209D0385"/>
    <w:rsid w:val="20B42736"/>
    <w:rsid w:val="21EC32C9"/>
    <w:rsid w:val="220F5F4E"/>
    <w:rsid w:val="22241693"/>
    <w:rsid w:val="23045086"/>
    <w:rsid w:val="243A2F7C"/>
    <w:rsid w:val="24EB4CE4"/>
    <w:rsid w:val="24F649B4"/>
    <w:rsid w:val="277D7855"/>
    <w:rsid w:val="2842411B"/>
    <w:rsid w:val="29121B7F"/>
    <w:rsid w:val="297A26A8"/>
    <w:rsid w:val="2B285689"/>
    <w:rsid w:val="2C362D97"/>
    <w:rsid w:val="2C5B7754"/>
    <w:rsid w:val="2D603BB0"/>
    <w:rsid w:val="2DC647A7"/>
    <w:rsid w:val="2E085AD2"/>
    <w:rsid w:val="2E4814FD"/>
    <w:rsid w:val="30333C5F"/>
    <w:rsid w:val="30650573"/>
    <w:rsid w:val="309C1D56"/>
    <w:rsid w:val="30D7502F"/>
    <w:rsid w:val="312A7E39"/>
    <w:rsid w:val="317254D7"/>
    <w:rsid w:val="31A50EFF"/>
    <w:rsid w:val="31B771F8"/>
    <w:rsid w:val="320E092F"/>
    <w:rsid w:val="328672F4"/>
    <w:rsid w:val="33005939"/>
    <w:rsid w:val="34AB35B3"/>
    <w:rsid w:val="35260DFF"/>
    <w:rsid w:val="362B296D"/>
    <w:rsid w:val="38953CE0"/>
    <w:rsid w:val="39072D1B"/>
    <w:rsid w:val="3ACA050B"/>
    <w:rsid w:val="3B38059C"/>
    <w:rsid w:val="3BC606A0"/>
    <w:rsid w:val="3CA803D8"/>
    <w:rsid w:val="3CF14C03"/>
    <w:rsid w:val="3DE47B36"/>
    <w:rsid w:val="3EEB7F48"/>
    <w:rsid w:val="3F573BE8"/>
    <w:rsid w:val="3F5A5FAE"/>
    <w:rsid w:val="3F996DE7"/>
    <w:rsid w:val="40071882"/>
    <w:rsid w:val="40A5279C"/>
    <w:rsid w:val="43D5349C"/>
    <w:rsid w:val="443F1622"/>
    <w:rsid w:val="455475CD"/>
    <w:rsid w:val="469E347A"/>
    <w:rsid w:val="46EE7D0C"/>
    <w:rsid w:val="481E460F"/>
    <w:rsid w:val="4B2941E0"/>
    <w:rsid w:val="4B915BC9"/>
    <w:rsid w:val="4BA7381D"/>
    <w:rsid w:val="4BB279EE"/>
    <w:rsid w:val="4C3E469C"/>
    <w:rsid w:val="4CD55219"/>
    <w:rsid w:val="4F4E3061"/>
    <w:rsid w:val="53A33550"/>
    <w:rsid w:val="550272FB"/>
    <w:rsid w:val="553D7179"/>
    <w:rsid w:val="55BF4420"/>
    <w:rsid w:val="56692192"/>
    <w:rsid w:val="590649AC"/>
    <w:rsid w:val="59380D1C"/>
    <w:rsid w:val="5B255B12"/>
    <w:rsid w:val="5BFF11F8"/>
    <w:rsid w:val="5CC069BB"/>
    <w:rsid w:val="5D0B7D34"/>
    <w:rsid w:val="5F1F2324"/>
    <w:rsid w:val="5F4E2993"/>
    <w:rsid w:val="60145C01"/>
    <w:rsid w:val="60474C82"/>
    <w:rsid w:val="606D70BF"/>
    <w:rsid w:val="6181445A"/>
    <w:rsid w:val="62743A40"/>
    <w:rsid w:val="65AB2B63"/>
    <w:rsid w:val="66127C81"/>
    <w:rsid w:val="6620029B"/>
    <w:rsid w:val="673267FF"/>
    <w:rsid w:val="675114E9"/>
    <w:rsid w:val="68160E1A"/>
    <w:rsid w:val="69503956"/>
    <w:rsid w:val="698753B5"/>
    <w:rsid w:val="6A3A44B6"/>
    <w:rsid w:val="6AB34522"/>
    <w:rsid w:val="6CBC11B2"/>
    <w:rsid w:val="6CD66B4D"/>
    <w:rsid w:val="6D777EBF"/>
    <w:rsid w:val="6E655F2D"/>
    <w:rsid w:val="6E773352"/>
    <w:rsid w:val="70531E2E"/>
    <w:rsid w:val="7560440F"/>
    <w:rsid w:val="758A2545"/>
    <w:rsid w:val="770E7401"/>
    <w:rsid w:val="778857AA"/>
    <w:rsid w:val="779E42D6"/>
    <w:rsid w:val="782555FC"/>
    <w:rsid w:val="79CE500B"/>
    <w:rsid w:val="79FB72EC"/>
    <w:rsid w:val="7A2B5FDD"/>
    <w:rsid w:val="7AC7547F"/>
    <w:rsid w:val="7C273E90"/>
    <w:rsid w:val="7C8D5568"/>
    <w:rsid w:val="7D087430"/>
    <w:rsid w:val="7D191C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imes New Roman" w:hAnsi="Times New Roman" w:eastAsia="宋体" w:cs="Times New Roman"/>
      <w:sz w:val="21"/>
      <w:szCs w:val="22"/>
    </w:rPr>
  </w:style>
  <w:style w:type="paragraph" w:styleId="2">
    <w:name w:val="heading 2"/>
    <w:basedOn w:val="1"/>
    <w:next w:val="1"/>
    <w:unhideWhenUsed/>
    <w:qFormat/>
    <w:uiPriority w:val="9"/>
    <w:pPr>
      <w:keepNext/>
      <w:keepLines/>
      <w:spacing w:before="156" w:after="156" w:line="240" w:lineRule="auto"/>
      <w:outlineLvl w:val="1"/>
    </w:pPr>
    <w:rPr>
      <w:sz w:val="21"/>
      <w:szCs w:val="21"/>
    </w:rPr>
  </w:style>
  <w:style w:type="paragraph" w:styleId="3">
    <w:name w:val="heading 3"/>
    <w:basedOn w:val="1"/>
    <w:next w:val="1"/>
    <w:qFormat/>
    <w:uiPriority w:val="99"/>
    <w:pPr>
      <w:keepNext/>
      <w:keepLines/>
      <w:spacing w:before="300" w:after="300" w:line="241" w:lineRule="auto"/>
      <w:jc w:val="both"/>
      <w:outlineLvl w:val="2"/>
    </w:pPr>
    <w:rPr>
      <w:rFonts w:eastAsia="宋体"/>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oc 1"/>
    <w:basedOn w:val="1"/>
    <w:next w:val="1"/>
    <w:autoRedefine/>
    <w:qFormat/>
    <w:uiPriority w:val="39"/>
  </w:style>
  <w:style w:type="paragraph" w:styleId="5">
    <w:name w:val="toc 2"/>
    <w:basedOn w:val="1"/>
    <w:next w:val="1"/>
    <w:autoRedefine/>
    <w:unhideWhenUsed/>
    <w:qFormat/>
    <w:uiPriority w:val="39"/>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Header 1"/>
    <w:qFormat/>
    <w:uiPriority w:val="0"/>
    <w:pPr>
      <w:jc w:val="right"/>
    </w:pPr>
    <w:rPr>
      <w:rFonts w:ascii="宋体" w:hAnsi="Times New Roman" w:eastAsia="宋体" w:cs="Times New Roman"/>
      <w:sz w:val="18"/>
      <w:szCs w:val="18"/>
    </w:rPr>
  </w:style>
  <w:style w:type="paragraph" w:customStyle="1" w:styleId="11">
    <w:name w:val="heading h1"/>
    <w:basedOn w:val="1"/>
    <w:next w:val="1"/>
    <w:qFormat/>
    <w:uiPriority w:val="9"/>
    <w:pPr>
      <w:keepNext/>
      <w:keepLines/>
      <w:spacing w:before="240" w:after="240" w:line="578" w:lineRule="auto"/>
      <w:outlineLvl w:val="0"/>
    </w:pPr>
    <w:rPr>
      <w:kern w:val="44"/>
      <w:sz w:val="44"/>
      <w:szCs w:val="44"/>
    </w:rPr>
  </w:style>
  <w:style w:type="paragraph" w:customStyle="1" w:styleId="12">
    <w:name w:val="fotter 1"/>
    <w:qFormat/>
    <w:uiPriority w:val="0"/>
    <w:pPr>
      <w:jc w:val="right"/>
    </w:pPr>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155</Pages>
  <Words>94125</Words>
  <Characters>126664</Characters>
  <TotalTime>14</TotalTime>
  <ScaleCrop>false</ScaleCrop>
  <LinksUpToDate>false</LinksUpToDate>
  <CharactersWithSpaces>127276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2026-03-24T10:53:00Z</dcterms:created>
  <dc:creator>Administrator</dc:creator>
  <cp:lastModifiedBy>李群</cp:lastModifiedBy>
  <dcterms:modified xsi:type="dcterms:W3CDTF">2026-03-26T01:34:25Z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eyJoZGlkIjoiYWRlOTk1ZDM4MjkzZjgxMjZiN2M3ZjNmNDQ5NGIzZGYiLCJ1c2VySWQiOiIzNDI3ODI2OTEifQ==</vt:lpwstr>
  </property>
  <property fmtid="{D5CDD505-2E9C-101B-9397-08002B2CF9AE}" pid="3" name="KSOProductBuildVer">
    <vt:lpwstr>2052-12.1.0.25225</vt:lpwstr>
  </property>
  <property fmtid="{D5CDD505-2E9C-101B-9397-08002B2CF9AE}" pid="4" name="ICV">
    <vt:lpwstr>8CF414CD03914162A607EAB2D4922652_13</vt:lpwstr>
  </property>
</Properties>
</file>