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2CB1DA">
      <w:pPr>
        <w:tabs>
          <w:tab w:val="left" w:pos="195"/>
        </w:tabs>
        <w:spacing w:line="500" w:lineRule="exact"/>
        <w:jc w:val="center"/>
        <w:rPr>
          <w:bCs/>
          <w:sz w:val="24"/>
        </w:rPr>
      </w:pPr>
      <w:bookmarkStart w:id="0" w:name="_Hlk282766308"/>
      <w:r>
        <w:rPr>
          <w:rFonts w:hint="eastAsia"/>
          <w:kern w:val="0"/>
          <w:sz w:val="24"/>
        </w:rPr>
        <w:t xml:space="preserve"> </w:t>
      </w:r>
      <w:r>
        <w:rPr>
          <w:kern w:val="0"/>
          <w:sz w:val="24"/>
        </w:rPr>
        <w:t>证券代码：300238         证券简称：冠昊生物         公告编号：</w:t>
      </w:r>
      <w:r>
        <w:rPr>
          <w:rFonts w:hint="eastAsia"/>
          <w:kern w:val="0"/>
          <w:sz w:val="24"/>
        </w:rPr>
        <w:t>2026-009</w:t>
      </w:r>
    </w:p>
    <w:p w14:paraId="024AE001">
      <w:pPr>
        <w:tabs>
          <w:tab w:val="left" w:pos="195"/>
        </w:tabs>
        <w:spacing w:before="312" w:beforeLines="100" w:line="500" w:lineRule="exact"/>
        <w:jc w:val="center"/>
        <w:rPr>
          <w:rFonts w:hint="eastAsia" w:ascii="黑体" w:hAnsi="黑体" w:eastAsia="黑体"/>
          <w:bCs/>
          <w:sz w:val="30"/>
          <w:szCs w:val="30"/>
        </w:rPr>
      </w:pPr>
      <w:r>
        <w:rPr>
          <w:rFonts w:hint="eastAsia" w:ascii="黑体" w:hAnsi="黑体" w:eastAsia="黑体"/>
          <w:bCs/>
          <w:sz w:val="30"/>
          <w:szCs w:val="30"/>
        </w:rPr>
        <w:t>冠昊生物科技股份有限公司</w:t>
      </w:r>
      <w:bookmarkEnd w:id="0"/>
    </w:p>
    <w:p w14:paraId="24C4E3CF">
      <w:pPr>
        <w:tabs>
          <w:tab w:val="left" w:pos="195"/>
        </w:tabs>
        <w:spacing w:before="156" w:beforeLines="50" w:after="468" w:afterLines="150" w:line="500" w:lineRule="exact"/>
        <w:jc w:val="center"/>
        <w:rPr>
          <w:rFonts w:ascii="宋体" w:cs="宋体"/>
          <w:kern w:val="0"/>
          <w:sz w:val="24"/>
        </w:rPr>
      </w:pPr>
      <w:r>
        <w:rPr>
          <w:rFonts w:hint="eastAsia" w:ascii="黑体" w:hAnsi="黑体" w:eastAsia="黑体"/>
          <w:bCs/>
          <w:sz w:val="30"/>
          <w:szCs w:val="30"/>
        </w:rPr>
        <w:t>关于董事、高级管理人员薪酬方案的公告</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925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460" w:type="dxa"/>
          </w:tcPr>
          <w:p w14:paraId="48E05E9A">
            <w:pPr>
              <w:autoSpaceDE w:val="0"/>
              <w:autoSpaceDN w:val="0"/>
              <w:adjustRightInd w:val="0"/>
              <w:spacing w:line="500" w:lineRule="exact"/>
              <w:ind w:firstLine="480" w:firstLineChars="200"/>
              <w:jc w:val="left"/>
              <w:rPr>
                <w:rFonts w:ascii="宋体" w:cs="宋体"/>
                <w:kern w:val="0"/>
                <w:sz w:val="24"/>
              </w:rPr>
            </w:pPr>
            <w:r>
              <w:rPr>
                <w:rFonts w:hint="eastAsia" w:ascii="宋体" w:cs="宋体"/>
                <w:kern w:val="0"/>
                <w:sz w:val="24"/>
              </w:rPr>
              <w:t>本公司及董事会全体人员保证信息披露的内容真实、准确和完整，没有虚假记载、误导性陈述或者重大遗漏。</w:t>
            </w:r>
          </w:p>
        </w:tc>
      </w:tr>
    </w:tbl>
    <w:p w14:paraId="71462926">
      <w:pPr>
        <w:tabs>
          <w:tab w:val="left" w:pos="195"/>
        </w:tabs>
        <w:spacing w:line="500" w:lineRule="exact"/>
        <w:ind w:firstLine="480" w:firstLineChars="200"/>
        <w:rPr>
          <w:sz w:val="24"/>
        </w:rPr>
      </w:pPr>
      <w:r>
        <w:rPr>
          <w:rFonts w:hint="eastAsia" w:ascii="宋体" w:hAnsi="宋体"/>
          <w:sz w:val="24"/>
        </w:rPr>
        <w:t>冠昊生物科技股份有限公司（以下简称“公司”）</w:t>
      </w:r>
      <w:r>
        <w:rPr>
          <w:sz w:val="24"/>
        </w:rPr>
        <w:t>于</w:t>
      </w:r>
      <w:r>
        <w:rPr>
          <w:rFonts w:hint="eastAsia"/>
          <w:sz w:val="24"/>
        </w:rPr>
        <w:t>2026</w:t>
      </w:r>
      <w:r>
        <w:rPr>
          <w:sz w:val="24"/>
        </w:rPr>
        <w:t>年</w:t>
      </w:r>
      <w:r>
        <w:rPr>
          <w:rFonts w:hint="eastAsia"/>
          <w:sz w:val="24"/>
        </w:rPr>
        <w:t>3</w:t>
      </w:r>
      <w:r>
        <w:rPr>
          <w:sz w:val="24"/>
        </w:rPr>
        <w:t>月</w:t>
      </w:r>
      <w:r>
        <w:rPr>
          <w:rFonts w:hint="eastAsia"/>
          <w:sz w:val="24"/>
        </w:rPr>
        <w:t>25</w:t>
      </w:r>
      <w:r>
        <w:rPr>
          <w:sz w:val="24"/>
        </w:rPr>
        <w:t>日召开第</w:t>
      </w:r>
      <w:r>
        <w:rPr>
          <w:rFonts w:hint="eastAsia"/>
          <w:sz w:val="24"/>
        </w:rPr>
        <w:t>六</w:t>
      </w:r>
      <w:r>
        <w:rPr>
          <w:sz w:val="24"/>
        </w:rPr>
        <w:t>届董事会第</w:t>
      </w:r>
      <w:r>
        <w:rPr>
          <w:rFonts w:hint="eastAsia"/>
          <w:sz w:val="24"/>
        </w:rPr>
        <w:t>十八</w:t>
      </w:r>
      <w:r>
        <w:rPr>
          <w:sz w:val="24"/>
        </w:rPr>
        <w:t>次会议，审议了《</w:t>
      </w:r>
      <w:r>
        <w:rPr>
          <w:rFonts w:hint="eastAsia"/>
          <w:sz w:val="24"/>
        </w:rPr>
        <w:t>关于公司董事薪酬与考核方案的议案》《关于高级管理人员薪酬与考核方案的议案》</w:t>
      </w:r>
      <w:r>
        <w:rPr>
          <w:rFonts w:hint="eastAsia"/>
          <w:sz w:val="24"/>
          <w:lang w:eastAsia="zh-CN"/>
        </w:rPr>
        <w:t>。</w:t>
      </w:r>
      <w:r>
        <w:rPr>
          <w:rFonts w:hint="eastAsia"/>
          <w:sz w:val="24"/>
          <w:lang w:val="en-US" w:eastAsia="zh-CN"/>
        </w:rPr>
        <w:t>其中，</w:t>
      </w:r>
      <w:r>
        <w:rPr>
          <w:rFonts w:hint="eastAsia"/>
          <w:sz w:val="24"/>
        </w:rPr>
        <w:t>全体董事对《关于公司董事薪酬与考核方案的议案》回避表决，该议案直接提交</w:t>
      </w:r>
      <w:r>
        <w:rPr>
          <w:rFonts w:hint="eastAsia"/>
          <w:sz w:val="24"/>
          <w:lang w:val="en-US" w:eastAsia="zh-CN"/>
        </w:rPr>
        <w:t>公司</w:t>
      </w:r>
      <w:r>
        <w:rPr>
          <w:rFonts w:hint="eastAsia"/>
          <w:sz w:val="24"/>
        </w:rPr>
        <w:t>股东会审议</w:t>
      </w:r>
      <w:r>
        <w:rPr>
          <w:rFonts w:hint="eastAsia"/>
          <w:sz w:val="24"/>
          <w:lang w:eastAsia="zh-CN"/>
        </w:rPr>
        <w:t>；</w:t>
      </w:r>
      <w:r>
        <w:rPr>
          <w:rFonts w:hint="eastAsia"/>
          <w:sz w:val="24"/>
          <w:highlight w:val="none"/>
          <w:lang w:val="en-US" w:eastAsia="zh-CN"/>
        </w:rPr>
        <w:t>董事张永明先生、王新志先生对</w:t>
      </w:r>
      <w:r>
        <w:rPr>
          <w:rFonts w:hint="eastAsia"/>
          <w:sz w:val="24"/>
          <w:highlight w:val="none"/>
        </w:rPr>
        <w:t>《关于高级管理人员薪酬与考核方案的议案》</w:t>
      </w:r>
      <w:r>
        <w:rPr>
          <w:rFonts w:hint="eastAsia"/>
          <w:sz w:val="24"/>
          <w:highlight w:val="none"/>
          <w:lang w:val="en-US" w:eastAsia="zh-CN"/>
        </w:rPr>
        <w:t>回避表决，</w:t>
      </w:r>
      <w:r>
        <w:rPr>
          <w:rFonts w:hint="eastAsia"/>
          <w:sz w:val="24"/>
          <w:lang w:val="en-US" w:eastAsia="zh-CN"/>
        </w:rPr>
        <w:t>该议案已经董事会审议通过</w:t>
      </w:r>
      <w:r>
        <w:rPr>
          <w:sz w:val="24"/>
        </w:rPr>
        <w:t>。现将有关事项公告如下：</w:t>
      </w:r>
    </w:p>
    <w:p w14:paraId="0FFA8674">
      <w:pPr>
        <w:tabs>
          <w:tab w:val="left" w:pos="195"/>
        </w:tabs>
        <w:spacing w:line="500" w:lineRule="exact"/>
        <w:ind w:firstLine="480" w:firstLineChars="200"/>
        <w:rPr>
          <w:sz w:val="24"/>
        </w:rPr>
      </w:pPr>
      <w:r>
        <w:rPr>
          <w:rFonts w:hint="eastAsia"/>
          <w:sz w:val="24"/>
        </w:rPr>
        <w:t>为进一步规范公司董事、高级管理人员薪酬管理体系，不断健全科学有效的激励约束机制，充分调动董事和高级管理人员工作的积极性和创造性，促进公司持续稳定健康发展，根据《公司法》</w:t>
      </w:r>
      <w:r>
        <w:rPr>
          <w:rFonts w:hint="eastAsia"/>
          <w:sz w:val="24"/>
          <w:lang w:eastAsia="zh-CN"/>
        </w:rPr>
        <w:t>、</w:t>
      </w:r>
      <w:bookmarkStart w:id="1" w:name="_GoBack"/>
      <w:bookmarkEnd w:id="1"/>
      <w:r>
        <w:rPr>
          <w:rFonts w:hint="eastAsia"/>
          <w:sz w:val="24"/>
        </w:rPr>
        <w:t>《上市公司治理准则》等法律法规、规范性文件和《公司章程》等有关规定，结合公司的经营绩效情况及</w:t>
      </w:r>
      <w:r>
        <w:rPr>
          <w:rFonts w:hint="eastAsia" w:ascii="宋体" w:hAnsi="宋体"/>
          <w:sz w:val="24"/>
        </w:rPr>
        <w:t>岗位职责</w:t>
      </w:r>
      <w:r>
        <w:rPr>
          <w:rFonts w:hint="eastAsia"/>
          <w:sz w:val="24"/>
        </w:rPr>
        <w:t>并参照相同行业或相当规模，公司董事、高级管理人员薪酬方案如下：</w:t>
      </w:r>
    </w:p>
    <w:p w14:paraId="4CD5B99F">
      <w:pPr>
        <w:spacing w:line="500" w:lineRule="exact"/>
        <w:ind w:firstLine="482" w:firstLineChars="200"/>
        <w:rPr>
          <w:b/>
          <w:sz w:val="24"/>
        </w:rPr>
      </w:pPr>
      <w:r>
        <w:rPr>
          <w:b/>
          <w:sz w:val="24"/>
        </w:rPr>
        <w:t>一、</w:t>
      </w:r>
      <w:r>
        <w:rPr>
          <w:rFonts w:hint="eastAsia"/>
          <w:b/>
          <w:sz w:val="24"/>
        </w:rPr>
        <w:t>适用对象</w:t>
      </w:r>
    </w:p>
    <w:p w14:paraId="247D31B4">
      <w:pPr>
        <w:spacing w:before="0" w:line="500" w:lineRule="exact"/>
        <w:ind w:firstLine="480" w:firstLineChars="200"/>
        <w:rPr>
          <w:sz w:val="24"/>
        </w:rPr>
      </w:pPr>
      <w:r>
        <w:rPr>
          <w:rFonts w:hint="eastAsia"/>
          <w:sz w:val="24"/>
        </w:rPr>
        <w:t>公司董事（包括独立董事、外部董事、内部董事）、高级管理人员。</w:t>
      </w:r>
    </w:p>
    <w:p w14:paraId="21FB398A">
      <w:pPr>
        <w:spacing w:before="0" w:line="500" w:lineRule="exact"/>
        <w:ind w:firstLine="482" w:firstLineChars="200"/>
        <w:rPr>
          <w:sz w:val="24"/>
        </w:rPr>
      </w:pPr>
      <w:r>
        <w:rPr>
          <w:rFonts w:hint="eastAsia" w:ascii="宋体" w:hAnsi="宋体"/>
          <w:b/>
          <w:sz w:val="24"/>
        </w:rPr>
        <w:t>二、适用</w:t>
      </w:r>
      <w:r>
        <w:rPr>
          <w:rFonts w:hint="eastAsia"/>
          <w:b/>
          <w:sz w:val="24"/>
        </w:rPr>
        <w:t>期限</w:t>
      </w:r>
    </w:p>
    <w:p w14:paraId="344C9DE9">
      <w:pPr>
        <w:spacing w:line="500" w:lineRule="exact"/>
        <w:ind w:firstLine="480" w:firstLineChars="200"/>
        <w:rPr>
          <w:sz w:val="24"/>
        </w:rPr>
      </w:pPr>
      <w:r>
        <w:rPr>
          <w:rFonts w:hint="eastAsia"/>
          <w:sz w:val="24"/>
        </w:rPr>
        <w:t>董事、高级管理人员的薪酬方案生效后实施至新的薪酬方案履行审批程序及执行之日有效。</w:t>
      </w:r>
    </w:p>
    <w:p w14:paraId="1710EEE1">
      <w:pPr>
        <w:spacing w:before="0" w:line="500" w:lineRule="exact"/>
        <w:ind w:firstLine="482" w:firstLineChars="200"/>
        <w:rPr>
          <w:sz w:val="24"/>
        </w:rPr>
      </w:pPr>
      <w:r>
        <w:rPr>
          <w:rFonts w:hint="eastAsia" w:ascii="宋体" w:hAnsi="宋体"/>
          <w:b/>
          <w:sz w:val="24"/>
        </w:rPr>
        <w:t>三、薪酬方案</w:t>
      </w:r>
    </w:p>
    <w:p w14:paraId="7A89635C">
      <w:pPr>
        <w:spacing w:line="500" w:lineRule="exact"/>
        <w:ind w:firstLine="480" w:firstLineChars="200"/>
        <w:rPr>
          <w:rFonts w:hint="eastAsia" w:ascii="宋体" w:hAnsi="宋体"/>
          <w:sz w:val="24"/>
        </w:rPr>
      </w:pPr>
      <w:r>
        <w:rPr>
          <w:rFonts w:hint="eastAsia"/>
          <w:sz w:val="24"/>
          <w:lang w:val="en-US" w:eastAsia="zh-CN"/>
        </w:rPr>
        <w:t>1</w:t>
      </w:r>
      <w:r>
        <w:rPr>
          <w:sz w:val="24"/>
        </w:rPr>
        <w:t>、</w:t>
      </w:r>
      <w:r>
        <w:rPr>
          <w:rFonts w:hint="eastAsia" w:ascii="宋体" w:hAnsi="宋体"/>
          <w:sz w:val="24"/>
        </w:rPr>
        <w:t>公司独立董事薪酬方案</w:t>
      </w:r>
    </w:p>
    <w:p w14:paraId="05A6E1C9">
      <w:pPr>
        <w:spacing w:line="500" w:lineRule="exact"/>
        <w:ind w:firstLine="480" w:firstLineChars="200"/>
        <w:rPr>
          <w:rFonts w:hint="eastAsia" w:ascii="宋体" w:hAnsi="宋体"/>
          <w:sz w:val="24"/>
        </w:rPr>
      </w:pPr>
      <w:r>
        <w:rPr>
          <w:rFonts w:hint="eastAsia" w:ascii="宋体" w:hAnsi="宋体"/>
          <w:sz w:val="24"/>
        </w:rPr>
        <w:t>独立董事领取固定薪酬为</w:t>
      </w:r>
      <w:r>
        <w:rPr>
          <w:sz w:val="24"/>
        </w:rPr>
        <w:t>10.00</w:t>
      </w:r>
      <w:r>
        <w:rPr>
          <w:rFonts w:hint="eastAsia" w:ascii="宋体" w:hAnsi="宋体"/>
          <w:sz w:val="24"/>
        </w:rPr>
        <w:t>万元/年（税前）。</w:t>
      </w:r>
    </w:p>
    <w:p w14:paraId="0CF71E08">
      <w:pPr>
        <w:spacing w:line="500" w:lineRule="exact"/>
        <w:ind w:firstLine="480" w:firstLineChars="200"/>
        <w:rPr>
          <w:rFonts w:hint="eastAsia" w:ascii="宋体" w:hAnsi="宋体"/>
          <w:sz w:val="24"/>
        </w:rPr>
      </w:pPr>
      <w:r>
        <w:rPr>
          <w:rFonts w:hint="eastAsia"/>
          <w:sz w:val="24"/>
          <w:lang w:val="en-US" w:eastAsia="zh-CN"/>
        </w:rPr>
        <w:t>2</w:t>
      </w:r>
      <w:r>
        <w:rPr>
          <w:sz w:val="24"/>
        </w:rPr>
        <w:t>、</w:t>
      </w:r>
      <w:r>
        <w:rPr>
          <w:rFonts w:hint="eastAsia" w:ascii="宋体" w:hAnsi="宋体"/>
          <w:sz w:val="24"/>
        </w:rPr>
        <w:t>公司非独立董事、高级管理人员薪酬方案</w:t>
      </w:r>
    </w:p>
    <w:p w14:paraId="121677D8">
      <w:pPr>
        <w:spacing w:line="500" w:lineRule="exact"/>
        <w:ind w:firstLine="480" w:firstLineChars="200"/>
        <w:rPr>
          <w:rFonts w:hint="eastAsia" w:ascii="宋体" w:hAnsi="宋体"/>
          <w:sz w:val="24"/>
        </w:rPr>
      </w:pPr>
      <w:r>
        <w:rPr>
          <w:rFonts w:hint="eastAsia" w:ascii="宋体" w:hAnsi="宋体"/>
          <w:sz w:val="24"/>
        </w:rPr>
        <w:t>公司外部董事不领取津贴。公司内部董事按照其担任的具体职务领取相应的薪酬，不再领取董事</w:t>
      </w:r>
      <w:r>
        <w:rPr>
          <w:rFonts w:hint="eastAsia" w:ascii="宋体" w:hAnsi="宋体"/>
          <w:sz w:val="24"/>
          <w:lang w:val="en-US" w:eastAsia="zh-CN"/>
        </w:rPr>
        <w:t>津贴</w:t>
      </w:r>
      <w:r>
        <w:rPr>
          <w:rFonts w:hint="eastAsia" w:ascii="宋体" w:hAnsi="宋体"/>
          <w:sz w:val="24"/>
        </w:rPr>
        <w:t>。</w:t>
      </w:r>
    </w:p>
    <w:p w14:paraId="61EA0251">
      <w:pPr>
        <w:spacing w:line="500" w:lineRule="exact"/>
        <w:ind w:firstLine="480" w:firstLineChars="200"/>
        <w:rPr>
          <w:rFonts w:hint="eastAsia" w:ascii="宋体" w:hAnsi="宋体"/>
          <w:sz w:val="24"/>
        </w:rPr>
      </w:pPr>
      <w:r>
        <w:rPr>
          <w:rFonts w:hint="eastAsia" w:ascii="宋体" w:hAnsi="宋体"/>
          <w:sz w:val="24"/>
        </w:rPr>
        <w:t>公司内部董事、高级管理人员的薪酬由基本薪酬、绩效薪酬和中长期激励收入等组成，其中绩效薪酬占比原则上不低于基本薪酬与绩效薪酬总额的</w:t>
      </w:r>
      <w:r>
        <w:rPr>
          <w:sz w:val="24"/>
        </w:rPr>
        <w:t>50%</w:t>
      </w:r>
      <w:r>
        <w:rPr>
          <w:rFonts w:hint="eastAsia"/>
          <w:sz w:val="24"/>
        </w:rPr>
        <w:t>。</w:t>
      </w:r>
    </w:p>
    <w:p w14:paraId="307944C2">
      <w:pPr>
        <w:spacing w:line="500" w:lineRule="exact"/>
        <w:ind w:firstLine="480" w:firstLineChars="200"/>
        <w:rPr>
          <w:rFonts w:hint="eastAsia" w:ascii="宋体" w:hAnsi="宋体"/>
          <w:sz w:val="24"/>
        </w:rPr>
      </w:pPr>
      <w:r>
        <w:rPr>
          <w:rFonts w:hint="eastAsia" w:ascii="宋体" w:hAnsi="宋体"/>
          <w:sz w:val="24"/>
        </w:rPr>
        <w:t>（一）基本薪酬：按其岗位职责和履职情况，结合行业薪酬水平等因素确定，按月发放；</w:t>
      </w:r>
    </w:p>
    <w:p w14:paraId="395B8459">
      <w:pPr>
        <w:spacing w:line="500" w:lineRule="exact"/>
        <w:ind w:firstLine="480" w:firstLineChars="200"/>
        <w:rPr>
          <w:rFonts w:hint="eastAsia" w:ascii="宋体" w:hAnsi="宋体"/>
          <w:sz w:val="24"/>
        </w:rPr>
      </w:pPr>
      <w:r>
        <w:rPr>
          <w:rFonts w:hint="eastAsia" w:ascii="宋体" w:hAnsi="宋体"/>
          <w:sz w:val="24"/>
        </w:rPr>
        <w:t>（二）绩效薪酬：根据个人岗位绩效考核情况、公司目标完成情况等综合考核结果确定，按各考核周期进行考核发放，其中一定比例的绩效薪酬依据经审计的财务数据在年度报告披露和绩效评价后发放；</w:t>
      </w:r>
    </w:p>
    <w:p w14:paraId="475550FE">
      <w:pPr>
        <w:spacing w:line="500" w:lineRule="exact"/>
        <w:ind w:firstLine="480" w:firstLineChars="200"/>
        <w:rPr>
          <w:rFonts w:hint="eastAsia" w:ascii="宋体" w:hAnsi="宋体"/>
          <w:sz w:val="24"/>
        </w:rPr>
      </w:pPr>
      <w:r>
        <w:rPr>
          <w:rFonts w:hint="eastAsia" w:ascii="宋体" w:hAnsi="宋体"/>
          <w:sz w:val="24"/>
        </w:rPr>
        <w:t>（三）中长期激励收入：指与中长期考核评价结果相联系的收入，包括但不限于股票期权、限制性股票、员工持股计划以及公司根据实际情况发放的中长期专项奖金、激励或奖励等。具体方案由公司根据相关法律法规另行制定。</w:t>
      </w:r>
    </w:p>
    <w:p w14:paraId="7E94A72D">
      <w:pPr>
        <w:spacing w:before="0" w:line="500" w:lineRule="exact"/>
        <w:ind w:firstLine="482" w:firstLineChars="200"/>
        <w:rPr>
          <w:rFonts w:hint="eastAsia" w:ascii="宋体" w:hAnsi="宋体"/>
          <w:b/>
          <w:sz w:val="24"/>
        </w:rPr>
      </w:pPr>
      <w:r>
        <w:rPr>
          <w:rFonts w:hint="eastAsia" w:ascii="宋体" w:hAnsi="宋体"/>
          <w:b/>
          <w:sz w:val="24"/>
        </w:rPr>
        <w:t>四、其他</w:t>
      </w:r>
    </w:p>
    <w:p w14:paraId="076E6AD0">
      <w:pPr>
        <w:numPr>
          <w:ilvl w:val="0"/>
          <w:numId w:val="1"/>
        </w:numPr>
        <w:tabs>
          <w:tab w:val="left" w:pos="195"/>
          <w:tab w:val="clear" w:pos="0"/>
        </w:tabs>
        <w:spacing w:line="500" w:lineRule="exact"/>
        <w:ind w:firstLine="480" w:firstLineChars="200"/>
        <w:rPr>
          <w:sz w:val="24"/>
        </w:rPr>
      </w:pPr>
      <w:r>
        <w:rPr>
          <w:rFonts w:hint="eastAsia"/>
          <w:sz w:val="24"/>
        </w:rPr>
        <w:t>上述薪酬均为税前金额，其涉及的个人所得税由公司统一代扣代缴；</w:t>
      </w:r>
    </w:p>
    <w:p w14:paraId="530D8903">
      <w:pPr>
        <w:numPr>
          <w:ilvl w:val="0"/>
          <w:numId w:val="1"/>
        </w:numPr>
        <w:tabs>
          <w:tab w:val="left" w:pos="195"/>
          <w:tab w:val="clear" w:pos="0"/>
        </w:tabs>
        <w:spacing w:line="500" w:lineRule="exact"/>
        <w:ind w:firstLine="480" w:firstLineChars="200"/>
        <w:rPr>
          <w:sz w:val="24"/>
        </w:rPr>
      </w:pPr>
      <w:r>
        <w:rPr>
          <w:rFonts w:hint="eastAsia"/>
          <w:sz w:val="24"/>
        </w:rPr>
        <w:t>公司董事、高级管理人员因换届、改选、任期内辞职、解聘等原因离任的，薪酬按其实际任期进行计算发放；</w:t>
      </w:r>
    </w:p>
    <w:p w14:paraId="5A80F01A">
      <w:pPr>
        <w:numPr>
          <w:ilvl w:val="0"/>
          <w:numId w:val="1"/>
        </w:numPr>
        <w:tabs>
          <w:tab w:val="left" w:pos="195"/>
          <w:tab w:val="clear" w:pos="0"/>
        </w:tabs>
        <w:spacing w:line="500" w:lineRule="exact"/>
        <w:ind w:firstLine="480" w:firstLineChars="200"/>
        <w:rPr>
          <w:sz w:val="24"/>
        </w:rPr>
      </w:pPr>
      <w:r>
        <w:rPr>
          <w:rFonts w:hint="eastAsia"/>
          <w:sz w:val="24"/>
        </w:rPr>
        <w:t>上述方案未尽事宜，按国家法律法规、规范性文件及《公司章程》等规定执行。</w:t>
      </w:r>
    </w:p>
    <w:p w14:paraId="1F35DD8A">
      <w:pPr>
        <w:numPr>
          <w:ilvl w:val="0"/>
          <w:numId w:val="2"/>
        </w:numPr>
        <w:spacing w:before="0" w:line="500" w:lineRule="exact"/>
        <w:ind w:firstLine="482" w:firstLineChars="200"/>
        <w:rPr>
          <w:rFonts w:hint="eastAsia" w:ascii="宋体" w:hAnsi="宋体"/>
          <w:b/>
          <w:sz w:val="24"/>
        </w:rPr>
      </w:pPr>
      <w:r>
        <w:rPr>
          <w:rFonts w:hint="eastAsia" w:ascii="宋体" w:hAnsi="宋体"/>
          <w:b/>
          <w:sz w:val="24"/>
        </w:rPr>
        <w:t>备查文件</w:t>
      </w:r>
    </w:p>
    <w:p w14:paraId="35CF7D30">
      <w:pPr>
        <w:numPr>
          <w:ilvl w:val="0"/>
          <w:numId w:val="3"/>
        </w:numPr>
        <w:tabs>
          <w:tab w:val="left" w:pos="195"/>
          <w:tab w:val="clear" w:pos="0"/>
        </w:tabs>
        <w:spacing w:line="500" w:lineRule="exact"/>
        <w:ind w:firstLine="480" w:firstLineChars="200"/>
        <w:rPr>
          <w:sz w:val="24"/>
        </w:rPr>
      </w:pPr>
      <w:r>
        <w:rPr>
          <w:sz w:val="24"/>
        </w:rPr>
        <w:t>第六届董事会第</w:t>
      </w:r>
      <w:r>
        <w:rPr>
          <w:rFonts w:hint="eastAsia"/>
          <w:sz w:val="24"/>
        </w:rPr>
        <w:t>十八</w:t>
      </w:r>
      <w:r>
        <w:rPr>
          <w:sz w:val="24"/>
        </w:rPr>
        <w:t>次会议决议；</w:t>
      </w:r>
    </w:p>
    <w:p w14:paraId="2D151BEC">
      <w:pPr>
        <w:numPr>
          <w:ilvl w:val="0"/>
          <w:numId w:val="3"/>
        </w:numPr>
        <w:tabs>
          <w:tab w:val="left" w:pos="195"/>
          <w:tab w:val="clear" w:pos="0"/>
        </w:tabs>
        <w:spacing w:line="500" w:lineRule="exact"/>
        <w:ind w:firstLine="480" w:firstLineChars="200"/>
        <w:rPr>
          <w:sz w:val="24"/>
        </w:rPr>
      </w:pPr>
      <w:r>
        <w:rPr>
          <w:sz w:val="24"/>
        </w:rPr>
        <w:t>第</w:t>
      </w:r>
      <w:r>
        <w:rPr>
          <w:rFonts w:hint="eastAsia"/>
          <w:sz w:val="24"/>
        </w:rPr>
        <w:t>六</w:t>
      </w:r>
      <w:r>
        <w:rPr>
          <w:sz w:val="24"/>
        </w:rPr>
        <w:t>届董事会薪酬与考核委员会第</w:t>
      </w:r>
      <w:r>
        <w:rPr>
          <w:rFonts w:hint="eastAsia"/>
          <w:sz w:val="24"/>
        </w:rPr>
        <w:t>四</w:t>
      </w:r>
      <w:r>
        <w:rPr>
          <w:sz w:val="24"/>
        </w:rPr>
        <w:t>次会议决议。</w:t>
      </w:r>
    </w:p>
    <w:p w14:paraId="6A82730B">
      <w:pPr>
        <w:spacing w:before="0" w:line="500" w:lineRule="exact"/>
        <w:ind w:firstLine="480" w:firstLineChars="200"/>
        <w:rPr>
          <w:sz w:val="24"/>
        </w:rPr>
      </w:pPr>
      <w:r>
        <w:rPr>
          <w:rFonts w:hint="eastAsia"/>
          <w:sz w:val="24"/>
        </w:rPr>
        <w:t>特此公告。</w:t>
      </w:r>
    </w:p>
    <w:p w14:paraId="3D2399AC">
      <w:pPr>
        <w:spacing w:line="500" w:lineRule="exact"/>
        <w:jc w:val="right"/>
        <w:rPr>
          <w:rFonts w:hint="eastAsia" w:ascii="宋体" w:hAnsi="宋体"/>
          <w:sz w:val="24"/>
        </w:rPr>
      </w:pPr>
    </w:p>
    <w:p w14:paraId="0518683C">
      <w:pPr>
        <w:spacing w:line="500" w:lineRule="exact"/>
        <w:jc w:val="right"/>
        <w:rPr>
          <w:rFonts w:hint="eastAsia" w:ascii="宋体" w:hAnsi="宋体"/>
          <w:sz w:val="24"/>
        </w:rPr>
      </w:pPr>
    </w:p>
    <w:p w14:paraId="60AE4F93">
      <w:pPr>
        <w:spacing w:line="500" w:lineRule="exact"/>
        <w:jc w:val="right"/>
        <w:rPr>
          <w:rFonts w:hint="eastAsia" w:ascii="宋体" w:hAnsi="宋体"/>
          <w:sz w:val="24"/>
        </w:rPr>
      </w:pPr>
      <w:r>
        <w:rPr>
          <w:rFonts w:hint="eastAsia" w:ascii="宋体" w:hAnsi="宋体"/>
          <w:sz w:val="24"/>
        </w:rPr>
        <w:t>冠昊生物科技股份有限公司董事会</w:t>
      </w:r>
    </w:p>
    <w:p w14:paraId="50508945">
      <w:pPr>
        <w:wordWrap w:val="0"/>
        <w:spacing w:line="500" w:lineRule="exact"/>
        <w:jc w:val="right"/>
        <w:rPr>
          <w:sz w:val="24"/>
        </w:rPr>
      </w:pPr>
      <w:r>
        <w:rPr>
          <w:rFonts w:hint="eastAsia"/>
          <w:sz w:val="24"/>
        </w:rPr>
        <w:t>2026</w:t>
      </w:r>
      <w:r>
        <w:rPr>
          <w:sz w:val="24"/>
        </w:rPr>
        <w:t>年</w:t>
      </w:r>
      <w:r>
        <w:rPr>
          <w:rFonts w:hint="eastAsia"/>
          <w:sz w:val="24"/>
        </w:rPr>
        <w:t>3</w:t>
      </w:r>
      <w:r>
        <w:rPr>
          <w:sz w:val="24"/>
        </w:rPr>
        <w:t>月</w:t>
      </w:r>
      <w:r>
        <w:rPr>
          <w:rFonts w:hint="eastAsia"/>
          <w:sz w:val="24"/>
        </w:rPr>
        <w:t>26</w:t>
      </w:r>
      <w:r>
        <w:rPr>
          <w:sz w:val="24"/>
        </w:rPr>
        <w:t>日</w:t>
      </w:r>
      <w:r>
        <w:rPr>
          <w:rFonts w:hint="eastAsia"/>
          <w:sz w:val="24"/>
        </w:rPr>
        <w:t xml:space="preserve">       </w:t>
      </w:r>
    </w:p>
    <w:sectPr>
      <w:footerReference r:id="rId3" w:type="even"/>
      <w:pgSz w:w="11906" w:h="16838"/>
      <w:pgMar w:top="144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A382C">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42D0FDA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9DD1D"/>
    <w:multiLevelType w:val="singleLevel"/>
    <w:tmpl w:val="A969DD1D"/>
    <w:lvl w:ilvl="0" w:tentative="0">
      <w:start w:val="1"/>
      <w:numFmt w:val="decimal"/>
      <w:suff w:val="nothing"/>
      <w:lvlText w:val="%1、"/>
      <w:lvlJc w:val="left"/>
      <w:pPr>
        <w:tabs>
          <w:tab w:val="left" w:pos="0"/>
        </w:tabs>
      </w:pPr>
      <w:rPr>
        <w:rFonts w:hint="default"/>
        <w:sz w:val="24"/>
      </w:rPr>
    </w:lvl>
  </w:abstractNum>
  <w:abstractNum w:abstractNumId="1">
    <w:nsid w:val="CA9782E0"/>
    <w:multiLevelType w:val="singleLevel"/>
    <w:tmpl w:val="CA9782E0"/>
    <w:lvl w:ilvl="0" w:tentative="0">
      <w:start w:val="5"/>
      <w:numFmt w:val="chineseCounting"/>
      <w:suff w:val="nothing"/>
      <w:lvlText w:val="%1、"/>
      <w:lvlJc w:val="left"/>
      <w:rPr>
        <w:rFonts w:hint="eastAsia"/>
      </w:rPr>
    </w:lvl>
  </w:abstractNum>
  <w:abstractNum w:abstractNumId="2">
    <w:nsid w:val="42A0142D"/>
    <w:multiLevelType w:val="singleLevel"/>
    <w:tmpl w:val="42A0142D"/>
    <w:lvl w:ilvl="0" w:tentative="0">
      <w:start w:val="1"/>
      <w:numFmt w:val="decimal"/>
      <w:suff w:val="nothing"/>
      <w:lvlText w:val="%1、"/>
      <w:lvlJc w:val="left"/>
      <w:pPr>
        <w:tabs>
          <w:tab w:val="left" w:pos="0"/>
        </w:tabs>
      </w:pPr>
      <w:rPr>
        <w:rFonts w:hint="default"/>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zQ4MDZlNWYwNzEwODVkMjAzNjIxM2M2NjM5N2IifQ=="/>
  </w:docVars>
  <w:rsids>
    <w:rsidRoot w:val="00172A27"/>
    <w:rsid w:val="000070CF"/>
    <w:rsid w:val="0001019F"/>
    <w:rsid w:val="00025368"/>
    <w:rsid w:val="00035D5C"/>
    <w:rsid w:val="000364C2"/>
    <w:rsid w:val="00055E41"/>
    <w:rsid w:val="00062EB3"/>
    <w:rsid w:val="00077D67"/>
    <w:rsid w:val="000818BF"/>
    <w:rsid w:val="00082992"/>
    <w:rsid w:val="00083230"/>
    <w:rsid w:val="000A4285"/>
    <w:rsid w:val="000B2FD3"/>
    <w:rsid w:val="000B3710"/>
    <w:rsid w:val="000B510B"/>
    <w:rsid w:val="000C2AC8"/>
    <w:rsid w:val="000D4F3A"/>
    <w:rsid w:val="000E155E"/>
    <w:rsid w:val="000F5091"/>
    <w:rsid w:val="00105B57"/>
    <w:rsid w:val="00132408"/>
    <w:rsid w:val="00135F05"/>
    <w:rsid w:val="001365B7"/>
    <w:rsid w:val="00150E5B"/>
    <w:rsid w:val="00170C94"/>
    <w:rsid w:val="00172A27"/>
    <w:rsid w:val="001751BF"/>
    <w:rsid w:val="00183DDA"/>
    <w:rsid w:val="00184F80"/>
    <w:rsid w:val="001872DC"/>
    <w:rsid w:val="0019251D"/>
    <w:rsid w:val="001B28D3"/>
    <w:rsid w:val="001B7F57"/>
    <w:rsid w:val="001C537C"/>
    <w:rsid w:val="001C76CB"/>
    <w:rsid w:val="001D55FB"/>
    <w:rsid w:val="001F5777"/>
    <w:rsid w:val="002160D5"/>
    <w:rsid w:val="0022171B"/>
    <w:rsid w:val="00223BC7"/>
    <w:rsid w:val="00232610"/>
    <w:rsid w:val="00252119"/>
    <w:rsid w:val="002551FA"/>
    <w:rsid w:val="002734FE"/>
    <w:rsid w:val="00273EBF"/>
    <w:rsid w:val="002C6D09"/>
    <w:rsid w:val="002D628D"/>
    <w:rsid w:val="002E15F0"/>
    <w:rsid w:val="002E2494"/>
    <w:rsid w:val="002F14E5"/>
    <w:rsid w:val="002F4052"/>
    <w:rsid w:val="002F6ED0"/>
    <w:rsid w:val="003006AC"/>
    <w:rsid w:val="00315201"/>
    <w:rsid w:val="00317F73"/>
    <w:rsid w:val="003233E7"/>
    <w:rsid w:val="00345C89"/>
    <w:rsid w:val="0036044C"/>
    <w:rsid w:val="0037062E"/>
    <w:rsid w:val="00370ECE"/>
    <w:rsid w:val="00371650"/>
    <w:rsid w:val="0038167A"/>
    <w:rsid w:val="00387F3D"/>
    <w:rsid w:val="003A0C99"/>
    <w:rsid w:val="003A5A57"/>
    <w:rsid w:val="003B2951"/>
    <w:rsid w:val="003D1313"/>
    <w:rsid w:val="003D2250"/>
    <w:rsid w:val="003D474D"/>
    <w:rsid w:val="003D5572"/>
    <w:rsid w:val="003F11BC"/>
    <w:rsid w:val="004013A9"/>
    <w:rsid w:val="004047D5"/>
    <w:rsid w:val="00413897"/>
    <w:rsid w:val="00425DC2"/>
    <w:rsid w:val="00431D3C"/>
    <w:rsid w:val="00441A1B"/>
    <w:rsid w:val="00445FD1"/>
    <w:rsid w:val="0044651E"/>
    <w:rsid w:val="00447BFD"/>
    <w:rsid w:val="00451609"/>
    <w:rsid w:val="004518C4"/>
    <w:rsid w:val="004564FA"/>
    <w:rsid w:val="00462AFD"/>
    <w:rsid w:val="0046528A"/>
    <w:rsid w:val="00466875"/>
    <w:rsid w:val="0047100B"/>
    <w:rsid w:val="004811C5"/>
    <w:rsid w:val="004826BC"/>
    <w:rsid w:val="00486D5E"/>
    <w:rsid w:val="004A0F04"/>
    <w:rsid w:val="004A63C9"/>
    <w:rsid w:val="004B4FA7"/>
    <w:rsid w:val="004C5661"/>
    <w:rsid w:val="004D65EC"/>
    <w:rsid w:val="004F193A"/>
    <w:rsid w:val="004F7F9B"/>
    <w:rsid w:val="00515B8F"/>
    <w:rsid w:val="00523075"/>
    <w:rsid w:val="0054428A"/>
    <w:rsid w:val="005507AD"/>
    <w:rsid w:val="00552B8D"/>
    <w:rsid w:val="00556E30"/>
    <w:rsid w:val="005575B2"/>
    <w:rsid w:val="00573658"/>
    <w:rsid w:val="00591938"/>
    <w:rsid w:val="00592D96"/>
    <w:rsid w:val="005A58DE"/>
    <w:rsid w:val="005B14F6"/>
    <w:rsid w:val="005C193E"/>
    <w:rsid w:val="005E0390"/>
    <w:rsid w:val="005E7F39"/>
    <w:rsid w:val="005F13F0"/>
    <w:rsid w:val="005F35CD"/>
    <w:rsid w:val="005F7C45"/>
    <w:rsid w:val="00600554"/>
    <w:rsid w:val="00606DB9"/>
    <w:rsid w:val="00612798"/>
    <w:rsid w:val="00623410"/>
    <w:rsid w:val="0064137F"/>
    <w:rsid w:val="00654A9A"/>
    <w:rsid w:val="00655FEE"/>
    <w:rsid w:val="00656329"/>
    <w:rsid w:val="00670389"/>
    <w:rsid w:val="00672885"/>
    <w:rsid w:val="00681D01"/>
    <w:rsid w:val="0068587D"/>
    <w:rsid w:val="00691960"/>
    <w:rsid w:val="006940CA"/>
    <w:rsid w:val="00695755"/>
    <w:rsid w:val="006A084D"/>
    <w:rsid w:val="006B4844"/>
    <w:rsid w:val="006C65BB"/>
    <w:rsid w:val="006D5DF6"/>
    <w:rsid w:val="006D7BF0"/>
    <w:rsid w:val="006E07FA"/>
    <w:rsid w:val="006E68DE"/>
    <w:rsid w:val="006F51CF"/>
    <w:rsid w:val="00707CFF"/>
    <w:rsid w:val="00711597"/>
    <w:rsid w:val="00714FFE"/>
    <w:rsid w:val="007222F6"/>
    <w:rsid w:val="00730E20"/>
    <w:rsid w:val="007369F9"/>
    <w:rsid w:val="00737158"/>
    <w:rsid w:val="00746086"/>
    <w:rsid w:val="00754A42"/>
    <w:rsid w:val="00770518"/>
    <w:rsid w:val="00773F40"/>
    <w:rsid w:val="00774B8B"/>
    <w:rsid w:val="00786992"/>
    <w:rsid w:val="00793875"/>
    <w:rsid w:val="007A0329"/>
    <w:rsid w:val="007A38AC"/>
    <w:rsid w:val="007A3BA4"/>
    <w:rsid w:val="007A41B3"/>
    <w:rsid w:val="007B191C"/>
    <w:rsid w:val="007B4173"/>
    <w:rsid w:val="007B4CCA"/>
    <w:rsid w:val="007C3118"/>
    <w:rsid w:val="007C46B7"/>
    <w:rsid w:val="007C6C2B"/>
    <w:rsid w:val="007E0BFB"/>
    <w:rsid w:val="007E18A4"/>
    <w:rsid w:val="007E51DA"/>
    <w:rsid w:val="007E690D"/>
    <w:rsid w:val="007E7221"/>
    <w:rsid w:val="007F47FE"/>
    <w:rsid w:val="00804401"/>
    <w:rsid w:val="00805758"/>
    <w:rsid w:val="00814244"/>
    <w:rsid w:val="00816360"/>
    <w:rsid w:val="00845C7E"/>
    <w:rsid w:val="008630C0"/>
    <w:rsid w:val="00875CD0"/>
    <w:rsid w:val="00886D15"/>
    <w:rsid w:val="00891AA0"/>
    <w:rsid w:val="00895EC7"/>
    <w:rsid w:val="00896ED8"/>
    <w:rsid w:val="008A6F88"/>
    <w:rsid w:val="008C066B"/>
    <w:rsid w:val="008C66B6"/>
    <w:rsid w:val="008C7A4D"/>
    <w:rsid w:val="008E5DFB"/>
    <w:rsid w:val="00906EBE"/>
    <w:rsid w:val="009151A5"/>
    <w:rsid w:val="00923BC5"/>
    <w:rsid w:val="00933028"/>
    <w:rsid w:val="00934A13"/>
    <w:rsid w:val="00935D89"/>
    <w:rsid w:val="00936B5F"/>
    <w:rsid w:val="0094501D"/>
    <w:rsid w:val="00962574"/>
    <w:rsid w:val="009648A0"/>
    <w:rsid w:val="0097074D"/>
    <w:rsid w:val="0098202A"/>
    <w:rsid w:val="00984696"/>
    <w:rsid w:val="009B2B91"/>
    <w:rsid w:val="009C12A2"/>
    <w:rsid w:val="009E23EC"/>
    <w:rsid w:val="00A00BD7"/>
    <w:rsid w:val="00A06BB2"/>
    <w:rsid w:val="00A141C3"/>
    <w:rsid w:val="00A40563"/>
    <w:rsid w:val="00A405AB"/>
    <w:rsid w:val="00A4171F"/>
    <w:rsid w:val="00A45732"/>
    <w:rsid w:val="00A46788"/>
    <w:rsid w:val="00A66EB0"/>
    <w:rsid w:val="00A72BD7"/>
    <w:rsid w:val="00A7398D"/>
    <w:rsid w:val="00A74E03"/>
    <w:rsid w:val="00A87224"/>
    <w:rsid w:val="00A95FE4"/>
    <w:rsid w:val="00AA1D3B"/>
    <w:rsid w:val="00AB0AAC"/>
    <w:rsid w:val="00AB58AD"/>
    <w:rsid w:val="00AD0857"/>
    <w:rsid w:val="00AD0AC3"/>
    <w:rsid w:val="00AF1ADC"/>
    <w:rsid w:val="00AF2140"/>
    <w:rsid w:val="00AF26A1"/>
    <w:rsid w:val="00B0320E"/>
    <w:rsid w:val="00B1023B"/>
    <w:rsid w:val="00B10910"/>
    <w:rsid w:val="00B12CFC"/>
    <w:rsid w:val="00B1645A"/>
    <w:rsid w:val="00B1649D"/>
    <w:rsid w:val="00B2774D"/>
    <w:rsid w:val="00B32D46"/>
    <w:rsid w:val="00B337DD"/>
    <w:rsid w:val="00B35B81"/>
    <w:rsid w:val="00B360A3"/>
    <w:rsid w:val="00B37F0E"/>
    <w:rsid w:val="00B540FC"/>
    <w:rsid w:val="00B5565A"/>
    <w:rsid w:val="00B613CA"/>
    <w:rsid w:val="00B65ACD"/>
    <w:rsid w:val="00B65C65"/>
    <w:rsid w:val="00BA1450"/>
    <w:rsid w:val="00BA66CA"/>
    <w:rsid w:val="00BC7F1B"/>
    <w:rsid w:val="00BD1D1A"/>
    <w:rsid w:val="00BD6C61"/>
    <w:rsid w:val="00BE7FE3"/>
    <w:rsid w:val="00C0238C"/>
    <w:rsid w:val="00C12F7B"/>
    <w:rsid w:val="00C203EC"/>
    <w:rsid w:val="00C31498"/>
    <w:rsid w:val="00C37037"/>
    <w:rsid w:val="00C4079E"/>
    <w:rsid w:val="00C42A66"/>
    <w:rsid w:val="00C44689"/>
    <w:rsid w:val="00C4643D"/>
    <w:rsid w:val="00C54D44"/>
    <w:rsid w:val="00C6775C"/>
    <w:rsid w:val="00C756C6"/>
    <w:rsid w:val="00C75DB1"/>
    <w:rsid w:val="00C9230F"/>
    <w:rsid w:val="00CB5651"/>
    <w:rsid w:val="00CC303C"/>
    <w:rsid w:val="00CC30BC"/>
    <w:rsid w:val="00CD3A06"/>
    <w:rsid w:val="00CE160E"/>
    <w:rsid w:val="00CE4890"/>
    <w:rsid w:val="00CE5796"/>
    <w:rsid w:val="00D021EE"/>
    <w:rsid w:val="00D03285"/>
    <w:rsid w:val="00D16076"/>
    <w:rsid w:val="00D44B14"/>
    <w:rsid w:val="00D478C7"/>
    <w:rsid w:val="00D66CCD"/>
    <w:rsid w:val="00D70639"/>
    <w:rsid w:val="00D81B52"/>
    <w:rsid w:val="00D84DE5"/>
    <w:rsid w:val="00D873A1"/>
    <w:rsid w:val="00D913C0"/>
    <w:rsid w:val="00D924E1"/>
    <w:rsid w:val="00D95148"/>
    <w:rsid w:val="00DB6732"/>
    <w:rsid w:val="00DC1DC7"/>
    <w:rsid w:val="00DD3F59"/>
    <w:rsid w:val="00DE1943"/>
    <w:rsid w:val="00DF20DC"/>
    <w:rsid w:val="00DF304B"/>
    <w:rsid w:val="00E01193"/>
    <w:rsid w:val="00E06565"/>
    <w:rsid w:val="00E10067"/>
    <w:rsid w:val="00E34529"/>
    <w:rsid w:val="00E428A2"/>
    <w:rsid w:val="00E44D42"/>
    <w:rsid w:val="00E60783"/>
    <w:rsid w:val="00E62C9C"/>
    <w:rsid w:val="00E65E64"/>
    <w:rsid w:val="00E66C9B"/>
    <w:rsid w:val="00E73DE0"/>
    <w:rsid w:val="00E744B1"/>
    <w:rsid w:val="00E77A14"/>
    <w:rsid w:val="00E81621"/>
    <w:rsid w:val="00E817FC"/>
    <w:rsid w:val="00E86535"/>
    <w:rsid w:val="00E875F8"/>
    <w:rsid w:val="00EA1E15"/>
    <w:rsid w:val="00EA352A"/>
    <w:rsid w:val="00EB1BC4"/>
    <w:rsid w:val="00EB2E65"/>
    <w:rsid w:val="00ED2E87"/>
    <w:rsid w:val="00EE40F0"/>
    <w:rsid w:val="00F064E4"/>
    <w:rsid w:val="00F07DAC"/>
    <w:rsid w:val="00F121FC"/>
    <w:rsid w:val="00F16BA8"/>
    <w:rsid w:val="00F31CAD"/>
    <w:rsid w:val="00F34E15"/>
    <w:rsid w:val="00F400ED"/>
    <w:rsid w:val="00F64031"/>
    <w:rsid w:val="00F72357"/>
    <w:rsid w:val="00F76871"/>
    <w:rsid w:val="00F805A4"/>
    <w:rsid w:val="00F8308D"/>
    <w:rsid w:val="00F84F27"/>
    <w:rsid w:val="00F9338D"/>
    <w:rsid w:val="00F938E9"/>
    <w:rsid w:val="00FA0816"/>
    <w:rsid w:val="00FA45AE"/>
    <w:rsid w:val="00FA6D68"/>
    <w:rsid w:val="00FB76B8"/>
    <w:rsid w:val="00FC2719"/>
    <w:rsid w:val="00FF3734"/>
    <w:rsid w:val="03906825"/>
    <w:rsid w:val="04700DA8"/>
    <w:rsid w:val="05766F28"/>
    <w:rsid w:val="085E53BC"/>
    <w:rsid w:val="09205A07"/>
    <w:rsid w:val="0A206DCD"/>
    <w:rsid w:val="0BA457F7"/>
    <w:rsid w:val="0BA47589"/>
    <w:rsid w:val="0F1123A3"/>
    <w:rsid w:val="0F9D4A1B"/>
    <w:rsid w:val="123D6DCF"/>
    <w:rsid w:val="12FA65E2"/>
    <w:rsid w:val="153145C9"/>
    <w:rsid w:val="15E46F00"/>
    <w:rsid w:val="163D2AB4"/>
    <w:rsid w:val="1A654388"/>
    <w:rsid w:val="1C7F35C7"/>
    <w:rsid w:val="1E393902"/>
    <w:rsid w:val="1EFF2FFD"/>
    <w:rsid w:val="2043516B"/>
    <w:rsid w:val="20786EA5"/>
    <w:rsid w:val="20AD7500"/>
    <w:rsid w:val="24057A7A"/>
    <w:rsid w:val="278542BB"/>
    <w:rsid w:val="28243AD4"/>
    <w:rsid w:val="29015351"/>
    <w:rsid w:val="29D1468A"/>
    <w:rsid w:val="2CE20C87"/>
    <w:rsid w:val="2D572346"/>
    <w:rsid w:val="2FA22140"/>
    <w:rsid w:val="2FD7142C"/>
    <w:rsid w:val="30154F51"/>
    <w:rsid w:val="33CB7E40"/>
    <w:rsid w:val="34F77B28"/>
    <w:rsid w:val="35774B61"/>
    <w:rsid w:val="35D20537"/>
    <w:rsid w:val="3BA24031"/>
    <w:rsid w:val="3BF319C3"/>
    <w:rsid w:val="3FD84EFF"/>
    <w:rsid w:val="417D0085"/>
    <w:rsid w:val="45E666F2"/>
    <w:rsid w:val="484C51D9"/>
    <w:rsid w:val="48580F04"/>
    <w:rsid w:val="4AAA3786"/>
    <w:rsid w:val="4AFD3010"/>
    <w:rsid w:val="4DF711BF"/>
    <w:rsid w:val="53A60F32"/>
    <w:rsid w:val="54CB48A4"/>
    <w:rsid w:val="5512108E"/>
    <w:rsid w:val="56066443"/>
    <w:rsid w:val="58483A46"/>
    <w:rsid w:val="5D8365CC"/>
    <w:rsid w:val="679240A1"/>
    <w:rsid w:val="67ED0ED9"/>
    <w:rsid w:val="69017BCF"/>
    <w:rsid w:val="6A2227BD"/>
    <w:rsid w:val="6AD06444"/>
    <w:rsid w:val="6EB02F99"/>
    <w:rsid w:val="6F0642DD"/>
    <w:rsid w:val="6F855CD4"/>
    <w:rsid w:val="70CD22E2"/>
    <w:rsid w:val="71A42A8A"/>
    <w:rsid w:val="733B7751"/>
    <w:rsid w:val="752D45C7"/>
    <w:rsid w:val="76733229"/>
    <w:rsid w:val="7AEA5A84"/>
    <w:rsid w:val="7AF679AD"/>
    <w:rsid w:val="7BB96FE3"/>
    <w:rsid w:val="7F2C4E05"/>
    <w:rsid w:val="7F60324E"/>
    <w:rsid w:val="7FBB0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szCs w:val="20"/>
    </w:rPr>
  </w:style>
  <w:style w:type="paragraph" w:styleId="3">
    <w:name w:val="annotation text"/>
    <w:basedOn w:val="1"/>
    <w:autoRedefine/>
    <w:qFormat/>
    <w:uiPriority w:val="0"/>
    <w:pPr>
      <w:jc w:val="left"/>
    </w:pPr>
  </w:style>
  <w:style w:type="paragraph" w:styleId="4">
    <w:name w:val="Date"/>
    <w:basedOn w:val="1"/>
    <w:next w:val="1"/>
    <w:autoRedefine/>
    <w:qFormat/>
    <w:uiPriority w:val="0"/>
    <w:pPr>
      <w:ind w:left="100" w:leftChars="2500"/>
    </w:pPr>
  </w:style>
  <w:style w:type="paragraph" w:styleId="5">
    <w:name w:val="Balloon Text"/>
    <w:basedOn w:val="1"/>
    <w:autoRedefine/>
    <w:qFormat/>
    <w:uiPriority w:val="0"/>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qFormat/>
    <w:uiPriority w:val="0"/>
    <w:rPr>
      <w:b/>
      <w:bCs/>
    </w:rPr>
  </w:style>
  <w:style w:type="character" w:styleId="11">
    <w:name w:val="page number"/>
    <w:qFormat/>
    <w:uiPriority w:val="0"/>
  </w:style>
  <w:style w:type="character" w:styleId="12">
    <w:name w:val="Hyperlink"/>
    <w:autoRedefine/>
    <w:qFormat/>
    <w:uiPriority w:val="0"/>
    <w:rPr>
      <w:color w:val="0000FF"/>
      <w:u w:val="single"/>
    </w:rPr>
  </w:style>
  <w:style w:type="character" w:styleId="13">
    <w:name w:val="annotation reference"/>
    <w:autoRedefine/>
    <w:qFormat/>
    <w:uiPriority w:val="0"/>
    <w:rPr>
      <w:sz w:val="21"/>
      <w:szCs w:val="21"/>
    </w:rPr>
  </w:style>
  <w:style w:type="character" w:customStyle="1" w:styleId="14">
    <w:name w:val="页脚 字符"/>
    <w:link w:val="6"/>
    <w:autoRedefine/>
    <w:qFormat/>
    <w:uiPriority w:val="99"/>
    <w:rPr>
      <w:kern w:val="2"/>
      <w:sz w:val="18"/>
      <w:szCs w:val="18"/>
    </w:rPr>
  </w:style>
  <w:style w:type="character" w:customStyle="1" w:styleId="15">
    <w:name w:val="页眉 字符"/>
    <w:link w:val="7"/>
    <w:autoRedefine/>
    <w:qFormat/>
    <w:uiPriority w:val="99"/>
    <w:rPr>
      <w:kern w:val="2"/>
      <w:sz w:val="18"/>
      <w:szCs w:val="18"/>
    </w:rPr>
  </w:style>
  <w:style w:type="paragraph" w:customStyle="1" w:styleId="16">
    <w:name w:val="1 Char"/>
    <w:basedOn w:val="1"/>
    <w:autoRedefine/>
    <w:qFormat/>
    <w:uiPriority w:val="0"/>
  </w:style>
  <w:style w:type="paragraph" w:customStyle="1" w:styleId="17">
    <w:name w:val="Char"/>
    <w:basedOn w:val="1"/>
    <w:autoRedefine/>
    <w:qFormat/>
    <w:uiPriority w:val="0"/>
  </w:style>
  <w:style w:type="paragraph" w:customStyle="1" w:styleId="18">
    <w:name w:val="Chapter"/>
    <w:next w:val="1"/>
    <w:autoRedefine/>
    <w:qFormat/>
    <w:uiPriority w:val="99"/>
    <w:pPr>
      <w:keepNext/>
      <w:keepLines/>
      <w:widowControl w:val="0"/>
      <w:spacing w:before="300" w:after="300" w:line="241" w:lineRule="auto"/>
      <w:jc w:val="both"/>
    </w:pPr>
    <w:rPr>
      <w:rFonts w:ascii="Times New Roman" w:hAnsi="Times New Roman" w:eastAsia="宋体" w:cs="Times New Roman"/>
      <w:b/>
      <w:bCs/>
      <w:kern w:val="28"/>
      <w:sz w:val="24"/>
      <w:szCs w:val="24"/>
      <w:lang w:val="en-US" w:eastAsia="zh-CN" w:bidi="ar-SA"/>
    </w:rPr>
  </w:style>
  <w:style w:type="paragraph" w:customStyle="1" w:styleId="19">
    <w:name w:val="Char Char Char Char"/>
    <w:basedOn w:val="1"/>
    <w:autoRedefine/>
    <w:qFormat/>
    <w:uiPriority w:val="0"/>
    <w:pPr>
      <w:widowControl/>
      <w:spacing w:before="312" w:beforeLines="100" w:after="160" w:line="240" w:lineRule="exact"/>
      <w:jc w:val="left"/>
    </w:pPr>
    <w:rPr>
      <w:rFonts w:ascii="Verdana" w:hAnsi="Verdana"/>
      <w:kern w:val="0"/>
      <w:sz w:val="32"/>
      <w:szCs w:val="32"/>
      <w:lang w:eastAsia="en-US"/>
    </w:rPr>
  </w:style>
  <w:style w:type="paragraph" w:customStyle="1" w:styleId="2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1117</Words>
  <Characters>1143</Characters>
  <Lines>8</Lines>
  <Paragraphs>2</Paragraphs>
  <TotalTime>4</TotalTime>
  <ScaleCrop>false</ScaleCrop>
  <LinksUpToDate>false</LinksUpToDate>
  <CharactersWithSpaces>1169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2016-12-07T07:12:00Z</dcterms:created>
  <dc:creator>User</dc:creator>
  <cp:lastModifiedBy>李群</cp:lastModifiedBy>
  <cp:lastPrinted>2025-04-21T15:42:00Z</cp:lastPrinted>
  <dcterms:modified xsi:type="dcterms:W3CDTF">2026-03-24T08:57:10Z</dcterms:modified>
  <dc:title>证券代码：300238      证券简称：冠昊生物       公告编号：2011-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AB45AC1A61DF41F09CCF890C8128B683_13</vt:lpwstr>
  </property>
  <property fmtid="{D5CDD505-2E9C-101B-9397-08002B2CF9AE}" pid="4" name="KSOTemplateDocerSaveRecord">
    <vt:lpwstr>eyJoZGlkIjoiYWRlOTk1ZDM4MjkzZjgxMjZiN2M3ZjNmNDQ5NGIzZGYiLCJ1c2VySWQiOiIzNDI3ODI2OTEifQ==</vt:lpwstr>
  </property>
</Properties>
</file>