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A2CB1DA">
      <w:pPr>
        <w:tabs>
          <w:tab w:val="left" w:pos="195"/>
        </w:tabs>
        <w:spacing w:line="500" w:lineRule="exact"/>
        <w:jc w:val="center"/>
        <w:rPr>
          <w:bCs/>
          <w:sz w:val="24"/>
        </w:rPr>
      </w:pPr>
      <w:bookmarkStart w:id="0" w:name="_Hlk282766308"/>
      <w:r>
        <w:rPr>
          <w:kern w:val="0"/>
          <w:sz w:val="24"/>
        </w:rPr>
        <w:t>证券代码：300238         证券简称：冠昊生物         公告编号：</w:t>
      </w:r>
      <w:r>
        <w:rPr>
          <w:rFonts w:hint="eastAsia"/>
          <w:kern w:val="0"/>
          <w:sz w:val="24"/>
        </w:rPr>
        <w:t>2026-008</w:t>
      </w:r>
    </w:p>
    <w:p w14:paraId="024AE001">
      <w:pPr>
        <w:tabs>
          <w:tab w:val="left" w:pos="195"/>
        </w:tabs>
        <w:spacing w:before="312" w:beforeLines="100" w:line="500" w:lineRule="exact"/>
        <w:jc w:val="center"/>
        <w:rPr>
          <w:rFonts w:hint="eastAsia" w:ascii="黑体" w:hAnsi="黑体" w:eastAsia="黑体"/>
          <w:bCs/>
          <w:sz w:val="30"/>
          <w:szCs w:val="30"/>
        </w:rPr>
      </w:pPr>
      <w:r>
        <w:rPr>
          <w:rFonts w:hint="eastAsia" w:ascii="黑体" w:hAnsi="黑体" w:eastAsia="黑体"/>
          <w:bCs/>
          <w:sz w:val="30"/>
          <w:szCs w:val="30"/>
        </w:rPr>
        <w:t>冠昊生物科技股份有限公司</w:t>
      </w:r>
      <w:bookmarkEnd w:id="0"/>
    </w:p>
    <w:p w14:paraId="24C4E3CF">
      <w:pPr>
        <w:tabs>
          <w:tab w:val="left" w:pos="195"/>
        </w:tabs>
        <w:spacing w:before="156" w:beforeLines="50" w:after="468" w:afterLines="150" w:line="500" w:lineRule="exact"/>
        <w:jc w:val="center"/>
        <w:rPr>
          <w:rFonts w:ascii="宋体" w:cs="宋体"/>
          <w:kern w:val="0"/>
          <w:sz w:val="24"/>
        </w:rPr>
      </w:pPr>
      <w:r>
        <w:rPr>
          <w:rFonts w:hint="eastAsia" w:ascii="黑体" w:hAnsi="黑体" w:eastAsia="黑体"/>
          <w:bCs/>
          <w:sz w:val="30"/>
          <w:szCs w:val="30"/>
        </w:rPr>
        <w:t>关于公司</w:t>
      </w:r>
      <w:r>
        <w:rPr>
          <w:rFonts w:hint="eastAsia" w:eastAsia="黑体"/>
          <w:bCs/>
          <w:sz w:val="30"/>
          <w:szCs w:val="30"/>
        </w:rPr>
        <w:t>2025</w:t>
      </w:r>
      <w:r>
        <w:rPr>
          <w:rFonts w:hint="eastAsia" w:ascii="黑体" w:hAnsi="黑体" w:eastAsia="黑体"/>
          <w:bCs/>
          <w:sz w:val="30"/>
          <w:szCs w:val="30"/>
        </w:rPr>
        <w:t>年度拟不进行利润分配的专项说明</w:t>
      </w:r>
    </w:p>
    <w:tbl>
      <w:tblPr>
        <w:tblStyle w:val="9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 w14:paraId="69254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8460" w:type="dxa"/>
          </w:tcPr>
          <w:p w14:paraId="48E05E9A">
            <w:pPr>
              <w:autoSpaceDE w:val="0"/>
              <w:autoSpaceDN w:val="0"/>
              <w:adjustRightInd w:val="0"/>
              <w:spacing w:line="500" w:lineRule="exact"/>
              <w:ind w:firstLine="480" w:firstLineChars="200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本公司及董事会全体人员保证信息披露的内容真实、准确和完整，没有虚假记载、误导性陈述或者重大遗漏。</w:t>
            </w:r>
          </w:p>
        </w:tc>
      </w:tr>
    </w:tbl>
    <w:p w14:paraId="6E1BF2F0">
      <w:pPr>
        <w:tabs>
          <w:tab w:val="left" w:pos="195"/>
        </w:tabs>
        <w:spacing w:before="156" w:beforeLines="50" w:after="156" w:afterLines="50" w:line="500" w:lineRule="exact"/>
        <w:ind w:firstLine="482" w:firstLineChars="200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特别提示：</w:t>
      </w:r>
    </w:p>
    <w:p w14:paraId="63987B19">
      <w:pPr>
        <w:tabs>
          <w:tab w:val="left" w:pos="195"/>
        </w:tabs>
        <w:spacing w:before="156" w:beforeLines="50" w:after="156" w:afterLines="50" w:line="50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1、</w:t>
      </w:r>
      <w:r>
        <w:rPr>
          <w:rFonts w:hint="eastAsia" w:ascii="宋体" w:hAnsi="宋体"/>
          <w:sz w:val="24"/>
        </w:rPr>
        <w:t>冠昊生物科技股份有限公司（以下简称“公司”）</w:t>
      </w:r>
      <w:r>
        <w:rPr>
          <w:rFonts w:hint="eastAsia"/>
          <w:sz w:val="24"/>
        </w:rPr>
        <w:t>2025</w:t>
      </w:r>
      <w:r>
        <w:rPr>
          <w:rFonts w:ascii="宋体" w:hAnsi="宋体"/>
          <w:sz w:val="24"/>
        </w:rPr>
        <w:t>年度</w:t>
      </w:r>
      <w:r>
        <w:rPr>
          <w:rFonts w:hint="eastAsia"/>
          <w:sz w:val="24"/>
        </w:rPr>
        <w:t>不进行利润分配，亦不进行资本公积金转增股本或其他形式的分配</w:t>
      </w:r>
      <w:r>
        <w:rPr>
          <w:rFonts w:ascii="宋体" w:hAnsi="宋体"/>
          <w:sz w:val="24"/>
        </w:rPr>
        <w:t>。</w:t>
      </w:r>
    </w:p>
    <w:p w14:paraId="38E11B1A">
      <w:pPr>
        <w:tabs>
          <w:tab w:val="left" w:pos="195"/>
        </w:tabs>
        <w:spacing w:before="156" w:beforeLines="50" w:after="156" w:afterLines="50" w:line="50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2、公司不触及《</w:t>
      </w:r>
      <w:r>
        <w:rPr>
          <w:rFonts w:hint="eastAsia" w:ascii="宋体" w:hAnsi="宋体"/>
          <w:sz w:val="24"/>
        </w:rPr>
        <w:t>深圳证券交易所</w:t>
      </w:r>
      <w:r>
        <w:rPr>
          <w:rFonts w:ascii="宋体" w:hAnsi="宋体"/>
          <w:sz w:val="24"/>
        </w:rPr>
        <w:t>创业板股票上市规则》第</w:t>
      </w:r>
      <w:r>
        <w:rPr>
          <w:sz w:val="24"/>
        </w:rPr>
        <w:t>9.4</w:t>
      </w:r>
      <w:r>
        <w:rPr>
          <w:rFonts w:ascii="宋体" w:hAnsi="宋体"/>
          <w:sz w:val="24"/>
        </w:rPr>
        <w:t>条规定的可能被实施其他风险警示的情形。</w:t>
      </w:r>
    </w:p>
    <w:p w14:paraId="21D795B1">
      <w:pPr>
        <w:spacing w:line="500" w:lineRule="exact"/>
        <w:ind w:firstLine="482" w:firstLineChars="200"/>
        <w:rPr>
          <w:b/>
          <w:sz w:val="24"/>
        </w:rPr>
      </w:pPr>
      <w:r>
        <w:rPr>
          <w:rFonts w:hint="eastAsia"/>
          <w:b/>
          <w:sz w:val="24"/>
        </w:rPr>
        <w:t>一、审议程序</w:t>
      </w:r>
    </w:p>
    <w:p w14:paraId="3917FC57">
      <w:pPr>
        <w:spacing w:line="500" w:lineRule="exact"/>
        <w:ind w:firstLine="480" w:firstLineChars="200"/>
        <w:rPr>
          <w:bCs/>
          <w:sz w:val="24"/>
        </w:rPr>
      </w:pPr>
      <w:r>
        <w:rPr>
          <w:rFonts w:hint="eastAsia"/>
          <w:bCs/>
          <w:sz w:val="24"/>
        </w:rPr>
        <w:t>冠昊生物科技股份有限公司（以下简称“公司”）于2026年3月25日召开第六届董事会第十八次会议，审议通过《关于公司2025年度利润分配预案的议案》，公司董事会认为本次利润分配方案符合《公司法》等法律法规及《公司章程》关于利润分配的相关规定，同意公司2025年度拟不进行利润分配，亦不进行资本公积金转增股本或其他形式的分配，并同意将该议案提交公司股东会审议。</w:t>
      </w:r>
    </w:p>
    <w:p w14:paraId="7B70D363">
      <w:pPr>
        <w:spacing w:line="500" w:lineRule="exact"/>
        <w:ind w:firstLine="480" w:firstLineChars="200"/>
        <w:rPr>
          <w:bCs/>
          <w:sz w:val="24"/>
        </w:rPr>
      </w:pPr>
      <w:r>
        <w:rPr>
          <w:rFonts w:hint="eastAsia"/>
          <w:bCs/>
          <w:sz w:val="24"/>
        </w:rPr>
        <w:t>二、</w:t>
      </w:r>
      <w:r>
        <w:rPr>
          <w:rFonts w:hint="eastAsia"/>
          <w:b/>
          <w:sz w:val="24"/>
        </w:rPr>
        <w:t>利润分配预案的基本情况</w:t>
      </w:r>
    </w:p>
    <w:p w14:paraId="5DAD3662">
      <w:pPr>
        <w:adjustRightInd w:val="0"/>
        <w:snapToGrid w:val="0"/>
        <w:spacing w:line="5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经大信会计师事务所（特殊普通合伙）审计，公司2025年度实现归属于上市公司股东的净利润</w:t>
      </w:r>
      <w:r>
        <w:rPr>
          <w:sz w:val="24"/>
        </w:rPr>
        <w:t>24,346,028.28</w:t>
      </w:r>
      <w:r>
        <w:rPr>
          <w:rFonts w:hint="eastAsia"/>
          <w:sz w:val="24"/>
        </w:rPr>
        <w:t>元，母公司2025年度实现净利润</w:t>
      </w:r>
      <w:r>
        <w:rPr>
          <w:sz w:val="24"/>
        </w:rPr>
        <w:t>45,202,967.11</w:t>
      </w:r>
      <w:r>
        <w:rPr>
          <w:rFonts w:hint="eastAsia"/>
          <w:sz w:val="24"/>
        </w:rPr>
        <w:t>元，减本期提取的法定盈余公积</w:t>
      </w:r>
      <w:r>
        <w:rPr>
          <w:sz w:val="24"/>
        </w:rPr>
        <w:t>331,375.21</w:t>
      </w:r>
      <w:r>
        <w:rPr>
          <w:rFonts w:hint="eastAsia"/>
          <w:sz w:val="24"/>
        </w:rPr>
        <w:t>元，加上年初未分配利润</w:t>
      </w:r>
      <w:r>
        <w:rPr>
          <w:sz w:val="24"/>
        </w:rPr>
        <w:t>-41,889,215.05</w:t>
      </w:r>
      <w:r>
        <w:rPr>
          <w:rFonts w:hint="eastAsia"/>
          <w:sz w:val="24"/>
        </w:rPr>
        <w:t>元，截至2025年12月31日止，母公司报表实际可供股东分配利润为</w:t>
      </w:r>
      <w:r>
        <w:rPr>
          <w:sz w:val="24"/>
        </w:rPr>
        <w:t>2,982,376.85</w:t>
      </w:r>
      <w:r>
        <w:rPr>
          <w:rFonts w:hint="eastAsia"/>
          <w:sz w:val="24"/>
        </w:rPr>
        <w:t>元，合并报表实际可供股东分配利润</w:t>
      </w:r>
      <w:r>
        <w:rPr>
          <w:rFonts w:hint="eastAsia"/>
          <w:sz w:val="24"/>
          <w:highlight w:val="none"/>
        </w:rPr>
        <w:t>-</w:t>
      </w:r>
      <w:r>
        <w:rPr>
          <w:rFonts w:hint="eastAsia"/>
          <w:sz w:val="24"/>
          <w:highlight w:val="none"/>
          <w:lang w:val="en-US" w:eastAsia="zh-CN"/>
        </w:rPr>
        <w:t>297,579,374.88</w:t>
      </w:r>
      <w:r>
        <w:rPr>
          <w:rFonts w:hint="eastAsia"/>
          <w:sz w:val="24"/>
        </w:rPr>
        <w:t>元。</w:t>
      </w:r>
    </w:p>
    <w:p w14:paraId="41929745">
      <w:pPr>
        <w:adjustRightInd w:val="0"/>
        <w:snapToGrid w:val="0"/>
        <w:spacing w:line="500" w:lineRule="exact"/>
        <w:ind w:firstLine="480" w:firstLineChars="200"/>
        <w:rPr>
          <w:sz w:val="24"/>
        </w:rPr>
      </w:pPr>
      <w:r>
        <w:rPr>
          <w:sz w:val="24"/>
        </w:rPr>
        <w:t>经公司董事会决议，</w:t>
      </w:r>
      <w:r>
        <w:rPr>
          <w:rFonts w:hint="eastAsia"/>
          <w:sz w:val="24"/>
        </w:rPr>
        <w:t>公司2025年度拟不进行利润分配，亦不进行资本公积金转增股本或其他形式的分配。</w:t>
      </w:r>
    </w:p>
    <w:p w14:paraId="161D8234">
      <w:pPr>
        <w:spacing w:before="120" w:line="500" w:lineRule="exact"/>
        <w:ind w:firstLine="482" w:firstLineChars="20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三、现金分红方案的具体情况</w:t>
      </w:r>
    </w:p>
    <w:p w14:paraId="32B29351">
      <w:pPr>
        <w:spacing w:before="120" w:line="500" w:lineRule="exact"/>
        <w:ind w:firstLine="482" w:firstLineChars="200"/>
        <w:rPr>
          <w:b/>
          <w:sz w:val="24"/>
        </w:rPr>
      </w:pPr>
      <w:r>
        <w:rPr>
          <w:rFonts w:hint="eastAsia"/>
          <w:b/>
          <w:sz w:val="24"/>
        </w:rPr>
        <w:t>1、现金分红方案不触及其他风险警示情形</w:t>
      </w:r>
    </w:p>
    <w:tbl>
      <w:tblPr>
        <w:tblStyle w:val="9"/>
        <w:tblW w:w="88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2"/>
        <w:gridCol w:w="2075"/>
        <w:gridCol w:w="2012"/>
        <w:gridCol w:w="2063"/>
      </w:tblGrid>
      <w:tr w14:paraId="18117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25A03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项目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CD719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本年度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CAAAD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上年度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8510C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上上年度</w:t>
            </w:r>
          </w:p>
        </w:tc>
      </w:tr>
      <w:tr w14:paraId="745FD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A3FDD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现金分红总额（元）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485FD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C098E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8C355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14:paraId="5B173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5CE26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回购注销总额（元）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C73F2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FEDA3">
            <w:pPr>
              <w:spacing w:line="360" w:lineRule="auto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CA246">
            <w:pPr>
              <w:spacing w:line="360" w:lineRule="auto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</w:tr>
      <w:tr w14:paraId="47328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1B548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归属于上市公司股东的净利润（元）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96240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sz w:val="24"/>
              </w:rPr>
              <w:t>24,346,028.28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FFECE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sz w:val="24"/>
              </w:rPr>
              <w:t>27,416,909.65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20B03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31,005,798.58</w:t>
            </w:r>
          </w:p>
        </w:tc>
      </w:tr>
      <w:tr w14:paraId="3C9C4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BF53E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研发投入（元）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801FE">
            <w:pPr>
              <w:spacing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45,572,947.05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32F8A">
            <w:pPr>
              <w:spacing w:line="240" w:lineRule="exact"/>
              <w:jc w:val="center"/>
              <w:rPr>
                <w:color w:val="000000"/>
                <w:sz w:val="24"/>
              </w:rPr>
            </w:pPr>
            <w:r>
              <w:rPr>
                <w:sz w:val="24"/>
              </w:rPr>
              <w:t>42,310,630.66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514E0">
            <w:pPr>
              <w:spacing w:line="240" w:lineRule="exact"/>
              <w:jc w:val="center"/>
              <w:rPr>
                <w:color w:val="000000"/>
                <w:sz w:val="24"/>
              </w:rPr>
            </w:pPr>
            <w:r>
              <w:rPr>
                <w:sz w:val="24"/>
              </w:rPr>
              <w:t>49,374,790.28</w:t>
            </w:r>
          </w:p>
        </w:tc>
      </w:tr>
      <w:tr w14:paraId="3EB60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87515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营业收入（元）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E8F72">
            <w:pPr>
              <w:spacing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387,749,767.90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E1145">
            <w:pPr>
              <w:spacing w:line="240" w:lineRule="exact"/>
              <w:jc w:val="center"/>
              <w:rPr>
                <w:color w:val="000000"/>
                <w:sz w:val="24"/>
              </w:rPr>
            </w:pPr>
            <w:r>
              <w:rPr>
                <w:sz w:val="24"/>
              </w:rPr>
              <w:t>377,483,103.80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0D54C">
            <w:pPr>
              <w:spacing w:line="240" w:lineRule="exact"/>
              <w:jc w:val="center"/>
              <w:rPr>
                <w:color w:val="000000"/>
                <w:sz w:val="24"/>
              </w:rPr>
            </w:pPr>
            <w:r>
              <w:rPr>
                <w:sz w:val="24"/>
              </w:rPr>
              <w:t>404,178,697.25</w:t>
            </w:r>
          </w:p>
        </w:tc>
      </w:tr>
      <w:tr w14:paraId="09D94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04D29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合并报表本年度末累计未分配利润（元）</w:t>
            </w:r>
          </w:p>
        </w:tc>
        <w:tc>
          <w:tcPr>
            <w:tcW w:w="6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E8267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sz w:val="24"/>
                <w:highlight w:val="none"/>
              </w:rPr>
              <w:t>-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297,579,374.88</w:t>
            </w:r>
          </w:p>
        </w:tc>
      </w:tr>
      <w:tr w14:paraId="1795E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7EA56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母公司报表本年度末累计未分配利润（元）</w:t>
            </w:r>
          </w:p>
        </w:tc>
        <w:tc>
          <w:tcPr>
            <w:tcW w:w="6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0D4B9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sz w:val="24"/>
              </w:rPr>
              <w:t>2,982,376.85</w:t>
            </w:r>
          </w:p>
        </w:tc>
      </w:tr>
      <w:tr w14:paraId="592D3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7528A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上市是否满三个</w:t>
            </w:r>
          </w:p>
          <w:p w14:paraId="76D72EC5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完整会计年度</w:t>
            </w:r>
          </w:p>
        </w:tc>
        <w:tc>
          <w:tcPr>
            <w:tcW w:w="6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3A98E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是</w:t>
            </w:r>
          </w:p>
        </w:tc>
      </w:tr>
      <w:tr w14:paraId="1E16D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D1747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最近三个会计年度累计现金分红总额（元）</w:t>
            </w:r>
          </w:p>
        </w:tc>
        <w:tc>
          <w:tcPr>
            <w:tcW w:w="6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C88A5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14:paraId="55122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CA9AD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最近三个会计年度累计回购注销总额（元）</w:t>
            </w:r>
          </w:p>
        </w:tc>
        <w:tc>
          <w:tcPr>
            <w:tcW w:w="6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0D00D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14:paraId="3FCA9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A9A46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最近三个会计年度平均净利润（元）</w:t>
            </w:r>
          </w:p>
        </w:tc>
        <w:tc>
          <w:tcPr>
            <w:tcW w:w="6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844A9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rFonts w:hint="eastAsia"/>
                <w:sz w:val="24"/>
              </w:rPr>
              <w:t>,</w:t>
            </w:r>
            <w:r>
              <w:rPr>
                <w:sz w:val="24"/>
              </w:rPr>
              <w:t>589</w:t>
            </w:r>
            <w:r>
              <w:rPr>
                <w:rFonts w:hint="eastAsia"/>
                <w:sz w:val="24"/>
              </w:rPr>
              <w:t>,</w:t>
            </w:r>
            <w:r>
              <w:rPr>
                <w:sz w:val="24"/>
              </w:rPr>
              <w:t>578.84</w:t>
            </w:r>
          </w:p>
        </w:tc>
      </w:tr>
      <w:tr w14:paraId="75ED4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A4F37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最近三个会计年度累计现金分红及回购注销总额（元）</w:t>
            </w:r>
          </w:p>
        </w:tc>
        <w:tc>
          <w:tcPr>
            <w:tcW w:w="6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881A7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14:paraId="1491B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BA70F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最近三个会计年度累计研发投入总额（元）</w:t>
            </w:r>
          </w:p>
        </w:tc>
        <w:tc>
          <w:tcPr>
            <w:tcW w:w="6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B167E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137,258,367.99</w:t>
            </w:r>
          </w:p>
        </w:tc>
      </w:tr>
      <w:tr w14:paraId="24F26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2E345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最近三个会计年度累计研发投入总额占累计营业收入的比例（%）</w:t>
            </w:r>
          </w:p>
        </w:tc>
        <w:tc>
          <w:tcPr>
            <w:tcW w:w="6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FA5E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11.74%</w:t>
            </w:r>
          </w:p>
        </w:tc>
      </w:tr>
      <w:tr w14:paraId="0B6D5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DA349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是否触及《创业板股票上市规则》第9.4条第（八）项规定的可能被实施其他风险警示情形</w:t>
            </w:r>
          </w:p>
        </w:tc>
        <w:tc>
          <w:tcPr>
            <w:tcW w:w="6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ADD64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否</w:t>
            </w:r>
          </w:p>
        </w:tc>
      </w:tr>
    </w:tbl>
    <w:p w14:paraId="26166060">
      <w:pPr>
        <w:spacing w:before="120" w:line="500" w:lineRule="exact"/>
        <w:ind w:firstLine="482" w:firstLineChars="200"/>
        <w:rPr>
          <w:b/>
          <w:sz w:val="24"/>
        </w:rPr>
      </w:pPr>
      <w:r>
        <w:rPr>
          <w:rFonts w:hint="eastAsia"/>
          <w:b/>
          <w:sz w:val="24"/>
        </w:rPr>
        <w:t>2、不触及其他风险警示情形的具体原因</w:t>
      </w:r>
    </w:p>
    <w:p w14:paraId="737F5D44">
      <w:pPr>
        <w:spacing w:before="120" w:line="500" w:lineRule="exact"/>
        <w:ind w:firstLine="480" w:firstLineChars="200"/>
        <w:rPr>
          <w:bCs/>
          <w:sz w:val="24"/>
        </w:rPr>
      </w:pPr>
      <w:r>
        <w:rPr>
          <w:rFonts w:hint="eastAsia"/>
          <w:bCs/>
          <w:sz w:val="24"/>
        </w:rPr>
        <w:t>公司2025年合并报表累计可供分配利润为负数，因此公司不触及</w:t>
      </w:r>
      <w:r>
        <w:rPr>
          <w:rFonts w:hint="eastAsia"/>
          <w:bCs/>
          <w:sz w:val="24"/>
          <w:lang w:val="en-US" w:eastAsia="zh-CN"/>
        </w:rPr>
        <w:t>深圳证券交易所</w:t>
      </w:r>
      <w:bookmarkStart w:id="1" w:name="_GoBack"/>
      <w:bookmarkEnd w:id="1"/>
      <w:r>
        <w:rPr>
          <w:rFonts w:hint="eastAsia"/>
          <w:bCs/>
          <w:sz w:val="24"/>
        </w:rPr>
        <w:t>《创业板股票上市规则》第9.4条第（八）项规定的可能被实施其他风险警示情形。</w:t>
      </w:r>
    </w:p>
    <w:p w14:paraId="21FB398A">
      <w:pPr>
        <w:spacing w:before="120" w:line="500" w:lineRule="exact"/>
        <w:ind w:firstLine="482" w:firstLineChars="200"/>
        <w:rPr>
          <w:sz w:val="24"/>
        </w:rPr>
      </w:pPr>
      <w:r>
        <w:rPr>
          <w:rFonts w:hint="eastAsia"/>
          <w:b/>
          <w:sz w:val="24"/>
        </w:rPr>
        <w:t>3、不进行利润分配的合理性说明</w:t>
      </w:r>
    </w:p>
    <w:p w14:paraId="32A49407">
      <w:pPr>
        <w:spacing w:line="5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鉴于公司</w:t>
      </w:r>
      <w:r>
        <w:rPr>
          <w:rFonts w:hint="eastAsia"/>
          <w:sz w:val="24"/>
        </w:rPr>
        <w:t>截至2025年度末合并报表累计可供分配利润为负数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</w:rPr>
        <w:t>公司2025年度不进行利润分配</w:t>
      </w:r>
      <w:r>
        <w:rPr>
          <w:rFonts w:hint="eastAsia" w:ascii="宋体" w:hAnsi="宋体" w:eastAsia="宋体" w:cs="宋体"/>
          <w:sz w:val="24"/>
          <w:szCs w:val="24"/>
        </w:rPr>
        <w:t>的预案综合考虑了公司实际经营情况、盈利水平及未来发展规划等因素，具备合法性、合规性以及合理性，符合</w:t>
      </w:r>
      <w:r>
        <w:rPr>
          <w:rFonts w:hint="eastAsia" w:ascii="宋体" w:hAnsi="宋体" w:cs="宋体"/>
          <w:sz w:val="24"/>
        </w:rPr>
        <w:t>《上市公司监管指引第3号——上市公司现金分红》《深圳证券交易所上市公司自律监管指引第2号——创业板上市公司规范运作》《公司章程》等相关规定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今后</w:t>
      </w:r>
      <w:r>
        <w:rPr>
          <w:rFonts w:hint="eastAsia" w:ascii="宋体" w:hAnsi="宋体" w:eastAsia="宋体" w:cs="宋体"/>
          <w:sz w:val="24"/>
          <w:szCs w:val="24"/>
        </w:rPr>
        <w:t>公司将持续聚焦主营业务，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不断</w:t>
      </w:r>
      <w:r>
        <w:rPr>
          <w:rFonts w:hint="eastAsia" w:ascii="宋体" w:hAnsi="宋体" w:eastAsia="宋体" w:cs="宋体"/>
          <w:sz w:val="24"/>
          <w:szCs w:val="24"/>
        </w:rPr>
        <w:t>增强市场竞争力，努力提升公司经营业绩，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并</w:t>
      </w:r>
      <w:r>
        <w:rPr>
          <w:rFonts w:ascii="宋体" w:hAnsi="宋体" w:eastAsia="宋体" w:cs="宋体"/>
          <w:sz w:val="24"/>
          <w:szCs w:val="24"/>
        </w:rPr>
        <w:t>严格按照相关法律法规规定，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统筹</w:t>
      </w:r>
      <w:r>
        <w:rPr>
          <w:rFonts w:ascii="宋体" w:hAnsi="宋体" w:eastAsia="宋体" w:cs="宋体"/>
          <w:sz w:val="24"/>
          <w:szCs w:val="24"/>
        </w:rPr>
        <w:t>考虑与利润分配相关的各种因素，从有利于公司发展和投资者回报的角度出发，积极履行公司的利润分配制度，与投资者共享公司发展的成果。</w:t>
      </w:r>
    </w:p>
    <w:p w14:paraId="70A8F073">
      <w:pPr>
        <w:spacing w:before="120" w:line="500" w:lineRule="exact"/>
        <w:ind w:firstLine="482" w:firstLineChars="20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四、备查文件</w:t>
      </w:r>
    </w:p>
    <w:p w14:paraId="34343907">
      <w:pPr>
        <w:spacing w:before="120" w:line="50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1、</w:t>
      </w:r>
      <w:r>
        <w:rPr>
          <w:rFonts w:hint="eastAsia" w:ascii="宋体" w:hAnsi="宋体" w:cs="宋体"/>
          <w:sz w:val="24"/>
        </w:rPr>
        <w:t>第六届董事会第十八次会议决议。</w:t>
      </w:r>
    </w:p>
    <w:p w14:paraId="255D1337">
      <w:pPr>
        <w:spacing w:before="120" w:line="500" w:lineRule="exact"/>
        <w:ind w:firstLine="480" w:firstLineChars="200"/>
        <w:rPr>
          <w:rFonts w:hint="eastAsia" w:ascii="宋体" w:hAnsi="宋体" w:cs="宋体"/>
          <w:sz w:val="24"/>
        </w:rPr>
      </w:pPr>
    </w:p>
    <w:p w14:paraId="6A82730B">
      <w:pPr>
        <w:spacing w:before="120" w:line="5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特此公告。</w:t>
      </w:r>
    </w:p>
    <w:p w14:paraId="60AE4F93">
      <w:pPr>
        <w:spacing w:line="500" w:lineRule="exact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冠昊生物科技股份有限公司董事会</w:t>
      </w:r>
    </w:p>
    <w:p w14:paraId="50508945">
      <w:pPr>
        <w:wordWrap w:val="0"/>
        <w:spacing w:line="500" w:lineRule="exact"/>
        <w:jc w:val="right"/>
        <w:rPr>
          <w:sz w:val="24"/>
        </w:rPr>
      </w:pPr>
      <w:r>
        <w:rPr>
          <w:rFonts w:hint="eastAsia"/>
          <w:sz w:val="24"/>
        </w:rPr>
        <w:t>2026</w:t>
      </w:r>
      <w:r>
        <w:rPr>
          <w:sz w:val="24"/>
        </w:rPr>
        <w:t>年</w:t>
      </w:r>
      <w:r>
        <w:rPr>
          <w:rFonts w:hint="eastAsia"/>
          <w:sz w:val="24"/>
        </w:rPr>
        <w:t>3</w:t>
      </w:r>
      <w:r>
        <w:rPr>
          <w:sz w:val="24"/>
        </w:rPr>
        <w:t>月</w:t>
      </w:r>
      <w:r>
        <w:rPr>
          <w:rFonts w:hint="eastAsia"/>
          <w:sz w:val="24"/>
        </w:rPr>
        <w:t>26</w:t>
      </w:r>
      <w:r>
        <w:rPr>
          <w:sz w:val="24"/>
        </w:rPr>
        <w:t>日</w:t>
      </w:r>
      <w:r>
        <w:rPr>
          <w:rFonts w:hint="eastAsia"/>
          <w:sz w:val="24"/>
        </w:rPr>
        <w:t xml:space="preserve">       </w:t>
      </w:r>
    </w:p>
    <w:sectPr>
      <w:footerReference r:id="rId3" w:type="even"/>
      <w:pgSz w:w="11906" w:h="16838"/>
      <w:pgMar w:top="1440" w:right="1800" w:bottom="1118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1A382C"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fldChar w:fldCharType="end"/>
    </w:r>
  </w:p>
  <w:p w14:paraId="42D0FDAF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iMzQ4MDZlNWYwNzEwODVkMjAzNjIxM2M2NjM5N2IifQ=="/>
  </w:docVars>
  <w:rsids>
    <w:rsidRoot w:val="00172A27"/>
    <w:rsid w:val="0000279B"/>
    <w:rsid w:val="000070CF"/>
    <w:rsid w:val="0001019F"/>
    <w:rsid w:val="00025368"/>
    <w:rsid w:val="00035D5C"/>
    <w:rsid w:val="000364C2"/>
    <w:rsid w:val="00055E41"/>
    <w:rsid w:val="00061A84"/>
    <w:rsid w:val="00062EB3"/>
    <w:rsid w:val="00077D67"/>
    <w:rsid w:val="000818BF"/>
    <w:rsid w:val="00082992"/>
    <w:rsid w:val="00083230"/>
    <w:rsid w:val="000A4285"/>
    <w:rsid w:val="000B1EE5"/>
    <w:rsid w:val="000B2FD3"/>
    <w:rsid w:val="000B3710"/>
    <w:rsid w:val="000B510B"/>
    <w:rsid w:val="000C2AC8"/>
    <w:rsid w:val="000D4F3A"/>
    <w:rsid w:val="000E155E"/>
    <w:rsid w:val="000F5091"/>
    <w:rsid w:val="00105B57"/>
    <w:rsid w:val="00132408"/>
    <w:rsid w:val="00135F05"/>
    <w:rsid w:val="001365B7"/>
    <w:rsid w:val="00150E5B"/>
    <w:rsid w:val="00170C94"/>
    <w:rsid w:val="00172A27"/>
    <w:rsid w:val="001751BF"/>
    <w:rsid w:val="00183DDA"/>
    <w:rsid w:val="00184F80"/>
    <w:rsid w:val="001854B2"/>
    <w:rsid w:val="001872DC"/>
    <w:rsid w:val="0019251D"/>
    <w:rsid w:val="001A3C93"/>
    <w:rsid w:val="001B28D3"/>
    <w:rsid w:val="001B7F57"/>
    <w:rsid w:val="001C537C"/>
    <w:rsid w:val="001C76CB"/>
    <w:rsid w:val="001D55FB"/>
    <w:rsid w:val="001F5777"/>
    <w:rsid w:val="002160D5"/>
    <w:rsid w:val="0022171B"/>
    <w:rsid w:val="00223BC7"/>
    <w:rsid w:val="00232610"/>
    <w:rsid w:val="00252119"/>
    <w:rsid w:val="002551FA"/>
    <w:rsid w:val="002734FE"/>
    <w:rsid w:val="00273EBF"/>
    <w:rsid w:val="002A18DF"/>
    <w:rsid w:val="002C6D09"/>
    <w:rsid w:val="002D628D"/>
    <w:rsid w:val="002E15F0"/>
    <w:rsid w:val="002E2494"/>
    <w:rsid w:val="002F14E5"/>
    <w:rsid w:val="002F4052"/>
    <w:rsid w:val="002F6ED0"/>
    <w:rsid w:val="003006AC"/>
    <w:rsid w:val="00317F73"/>
    <w:rsid w:val="003233E7"/>
    <w:rsid w:val="00345C89"/>
    <w:rsid w:val="0036044C"/>
    <w:rsid w:val="0037062E"/>
    <w:rsid w:val="00370ECE"/>
    <w:rsid w:val="00371650"/>
    <w:rsid w:val="0038167A"/>
    <w:rsid w:val="00387F3D"/>
    <w:rsid w:val="003A0C99"/>
    <w:rsid w:val="003A5A57"/>
    <w:rsid w:val="003B2951"/>
    <w:rsid w:val="003D1313"/>
    <w:rsid w:val="003D2250"/>
    <w:rsid w:val="003D474D"/>
    <w:rsid w:val="003D5572"/>
    <w:rsid w:val="003F11BC"/>
    <w:rsid w:val="004013A9"/>
    <w:rsid w:val="004047D5"/>
    <w:rsid w:val="00413897"/>
    <w:rsid w:val="00425DC2"/>
    <w:rsid w:val="00431D3C"/>
    <w:rsid w:val="00441A1B"/>
    <w:rsid w:val="00445FD1"/>
    <w:rsid w:val="0044651E"/>
    <w:rsid w:val="00447BFD"/>
    <w:rsid w:val="00451609"/>
    <w:rsid w:val="004518C4"/>
    <w:rsid w:val="004564FA"/>
    <w:rsid w:val="00462AFD"/>
    <w:rsid w:val="0046528A"/>
    <w:rsid w:val="00466875"/>
    <w:rsid w:val="0047100B"/>
    <w:rsid w:val="004811C5"/>
    <w:rsid w:val="004826BC"/>
    <w:rsid w:val="00486D5E"/>
    <w:rsid w:val="004A0F04"/>
    <w:rsid w:val="004A63C9"/>
    <w:rsid w:val="004B4FA7"/>
    <w:rsid w:val="004C5661"/>
    <w:rsid w:val="004D65EC"/>
    <w:rsid w:val="004F193A"/>
    <w:rsid w:val="004F7F9B"/>
    <w:rsid w:val="00515B8F"/>
    <w:rsid w:val="00523075"/>
    <w:rsid w:val="0054428A"/>
    <w:rsid w:val="005507AD"/>
    <w:rsid w:val="00552B8D"/>
    <w:rsid w:val="00556E30"/>
    <w:rsid w:val="005575B2"/>
    <w:rsid w:val="00573658"/>
    <w:rsid w:val="00591938"/>
    <w:rsid w:val="00592D96"/>
    <w:rsid w:val="005A58DE"/>
    <w:rsid w:val="005C193E"/>
    <w:rsid w:val="005E0390"/>
    <w:rsid w:val="005E7F39"/>
    <w:rsid w:val="005F13F0"/>
    <w:rsid w:val="005F35CD"/>
    <w:rsid w:val="005F7C45"/>
    <w:rsid w:val="00600554"/>
    <w:rsid w:val="00606DB9"/>
    <w:rsid w:val="00612798"/>
    <w:rsid w:val="00623410"/>
    <w:rsid w:val="0064137F"/>
    <w:rsid w:val="00654A9A"/>
    <w:rsid w:val="00655FEE"/>
    <w:rsid w:val="00656329"/>
    <w:rsid w:val="00670389"/>
    <w:rsid w:val="00672885"/>
    <w:rsid w:val="00681D01"/>
    <w:rsid w:val="0068587D"/>
    <w:rsid w:val="00691960"/>
    <w:rsid w:val="006940CA"/>
    <w:rsid w:val="00695755"/>
    <w:rsid w:val="00695D4F"/>
    <w:rsid w:val="006A084D"/>
    <w:rsid w:val="006B4844"/>
    <w:rsid w:val="006C65BB"/>
    <w:rsid w:val="006D5DF6"/>
    <w:rsid w:val="006D7BF0"/>
    <w:rsid w:val="006E07FA"/>
    <w:rsid w:val="006E59A5"/>
    <w:rsid w:val="006E68DE"/>
    <w:rsid w:val="006F51CF"/>
    <w:rsid w:val="00707CFF"/>
    <w:rsid w:val="00711597"/>
    <w:rsid w:val="00714FFE"/>
    <w:rsid w:val="007222F6"/>
    <w:rsid w:val="00730E20"/>
    <w:rsid w:val="007369F9"/>
    <w:rsid w:val="00737158"/>
    <w:rsid w:val="00746086"/>
    <w:rsid w:val="00754A42"/>
    <w:rsid w:val="00770518"/>
    <w:rsid w:val="00773F40"/>
    <w:rsid w:val="00774B8B"/>
    <w:rsid w:val="00786992"/>
    <w:rsid w:val="00793875"/>
    <w:rsid w:val="007A38AC"/>
    <w:rsid w:val="007A3BA4"/>
    <w:rsid w:val="007A41B3"/>
    <w:rsid w:val="007B191C"/>
    <w:rsid w:val="007B4173"/>
    <w:rsid w:val="007B4CCA"/>
    <w:rsid w:val="007C3118"/>
    <w:rsid w:val="007C46B7"/>
    <w:rsid w:val="007C6C2B"/>
    <w:rsid w:val="007E0BFB"/>
    <w:rsid w:val="007E18A4"/>
    <w:rsid w:val="007E690D"/>
    <w:rsid w:val="007E7221"/>
    <w:rsid w:val="007F47FE"/>
    <w:rsid w:val="00804401"/>
    <w:rsid w:val="00805758"/>
    <w:rsid w:val="00814244"/>
    <w:rsid w:val="00816360"/>
    <w:rsid w:val="00845C7E"/>
    <w:rsid w:val="008630C0"/>
    <w:rsid w:val="00875CD0"/>
    <w:rsid w:val="00886D15"/>
    <w:rsid w:val="00891AA0"/>
    <w:rsid w:val="00895EC7"/>
    <w:rsid w:val="00896ED8"/>
    <w:rsid w:val="008A6F88"/>
    <w:rsid w:val="008C066B"/>
    <w:rsid w:val="008C66B6"/>
    <w:rsid w:val="008C7A4D"/>
    <w:rsid w:val="008E5B5E"/>
    <w:rsid w:val="008E5DFB"/>
    <w:rsid w:val="00906EBE"/>
    <w:rsid w:val="009151A5"/>
    <w:rsid w:val="00923BC5"/>
    <w:rsid w:val="00933028"/>
    <w:rsid w:val="00934A13"/>
    <w:rsid w:val="00935D89"/>
    <w:rsid w:val="00936B5F"/>
    <w:rsid w:val="0094501D"/>
    <w:rsid w:val="00962574"/>
    <w:rsid w:val="009648A0"/>
    <w:rsid w:val="0097074D"/>
    <w:rsid w:val="0098202A"/>
    <w:rsid w:val="00984696"/>
    <w:rsid w:val="009B2B91"/>
    <w:rsid w:val="009C12A2"/>
    <w:rsid w:val="009E23EC"/>
    <w:rsid w:val="00A00BD7"/>
    <w:rsid w:val="00A06BB2"/>
    <w:rsid w:val="00A141C3"/>
    <w:rsid w:val="00A40563"/>
    <w:rsid w:val="00A405AB"/>
    <w:rsid w:val="00A4171F"/>
    <w:rsid w:val="00A45732"/>
    <w:rsid w:val="00A46788"/>
    <w:rsid w:val="00A66EB0"/>
    <w:rsid w:val="00A717A2"/>
    <w:rsid w:val="00A72BD7"/>
    <w:rsid w:val="00A7398D"/>
    <w:rsid w:val="00A74E03"/>
    <w:rsid w:val="00A87224"/>
    <w:rsid w:val="00A95FE4"/>
    <w:rsid w:val="00AA1D3B"/>
    <w:rsid w:val="00AB0AAC"/>
    <w:rsid w:val="00AB58AD"/>
    <w:rsid w:val="00AD0857"/>
    <w:rsid w:val="00AD0AC3"/>
    <w:rsid w:val="00AE3E62"/>
    <w:rsid w:val="00AF1ADC"/>
    <w:rsid w:val="00AF2140"/>
    <w:rsid w:val="00AF26A1"/>
    <w:rsid w:val="00B0320E"/>
    <w:rsid w:val="00B1023B"/>
    <w:rsid w:val="00B10910"/>
    <w:rsid w:val="00B12CFC"/>
    <w:rsid w:val="00B1645A"/>
    <w:rsid w:val="00B1649D"/>
    <w:rsid w:val="00B2774D"/>
    <w:rsid w:val="00B32D46"/>
    <w:rsid w:val="00B337DD"/>
    <w:rsid w:val="00B35B81"/>
    <w:rsid w:val="00B360A3"/>
    <w:rsid w:val="00B37F0E"/>
    <w:rsid w:val="00B540FC"/>
    <w:rsid w:val="00B5565A"/>
    <w:rsid w:val="00B613CA"/>
    <w:rsid w:val="00B65ACD"/>
    <w:rsid w:val="00B65C65"/>
    <w:rsid w:val="00BA1450"/>
    <w:rsid w:val="00BA66CA"/>
    <w:rsid w:val="00BB729C"/>
    <w:rsid w:val="00BC7F1B"/>
    <w:rsid w:val="00BD1D1A"/>
    <w:rsid w:val="00BD6C61"/>
    <w:rsid w:val="00BE450B"/>
    <w:rsid w:val="00BE7FE3"/>
    <w:rsid w:val="00C12F7B"/>
    <w:rsid w:val="00C203EC"/>
    <w:rsid w:val="00C31498"/>
    <w:rsid w:val="00C37037"/>
    <w:rsid w:val="00C4079E"/>
    <w:rsid w:val="00C42A66"/>
    <w:rsid w:val="00C44689"/>
    <w:rsid w:val="00C4643D"/>
    <w:rsid w:val="00C54D44"/>
    <w:rsid w:val="00C6107B"/>
    <w:rsid w:val="00C6775C"/>
    <w:rsid w:val="00C756C6"/>
    <w:rsid w:val="00C75DB1"/>
    <w:rsid w:val="00C9230F"/>
    <w:rsid w:val="00CB5651"/>
    <w:rsid w:val="00CC303C"/>
    <w:rsid w:val="00CC30BC"/>
    <w:rsid w:val="00CD3A06"/>
    <w:rsid w:val="00CE160E"/>
    <w:rsid w:val="00CE4890"/>
    <w:rsid w:val="00CE5796"/>
    <w:rsid w:val="00D021EE"/>
    <w:rsid w:val="00D03285"/>
    <w:rsid w:val="00D16076"/>
    <w:rsid w:val="00D44B14"/>
    <w:rsid w:val="00D478C7"/>
    <w:rsid w:val="00D66CCD"/>
    <w:rsid w:val="00D70639"/>
    <w:rsid w:val="00D81B52"/>
    <w:rsid w:val="00D84DE5"/>
    <w:rsid w:val="00D873A1"/>
    <w:rsid w:val="00D913C0"/>
    <w:rsid w:val="00D924E1"/>
    <w:rsid w:val="00D95148"/>
    <w:rsid w:val="00DB6732"/>
    <w:rsid w:val="00DC1DC7"/>
    <w:rsid w:val="00DD3F59"/>
    <w:rsid w:val="00DE1943"/>
    <w:rsid w:val="00DF20DC"/>
    <w:rsid w:val="00DF304B"/>
    <w:rsid w:val="00E01193"/>
    <w:rsid w:val="00E06565"/>
    <w:rsid w:val="00E10067"/>
    <w:rsid w:val="00E34529"/>
    <w:rsid w:val="00E428A2"/>
    <w:rsid w:val="00E44D42"/>
    <w:rsid w:val="00E60783"/>
    <w:rsid w:val="00E62C9C"/>
    <w:rsid w:val="00E65E64"/>
    <w:rsid w:val="00E66C9B"/>
    <w:rsid w:val="00E73DE0"/>
    <w:rsid w:val="00E744B1"/>
    <w:rsid w:val="00E77A14"/>
    <w:rsid w:val="00E81621"/>
    <w:rsid w:val="00E817FC"/>
    <w:rsid w:val="00E86535"/>
    <w:rsid w:val="00E875F8"/>
    <w:rsid w:val="00EA1E15"/>
    <w:rsid w:val="00EA352A"/>
    <w:rsid w:val="00EB1BC4"/>
    <w:rsid w:val="00EB2E65"/>
    <w:rsid w:val="00ED2E87"/>
    <w:rsid w:val="00EE40F0"/>
    <w:rsid w:val="00F064E4"/>
    <w:rsid w:val="00F07DAC"/>
    <w:rsid w:val="00F121FC"/>
    <w:rsid w:val="00F16BA8"/>
    <w:rsid w:val="00F31CAD"/>
    <w:rsid w:val="00F34E15"/>
    <w:rsid w:val="00F400ED"/>
    <w:rsid w:val="00F64031"/>
    <w:rsid w:val="00F72357"/>
    <w:rsid w:val="00F76871"/>
    <w:rsid w:val="00F77478"/>
    <w:rsid w:val="00F805A4"/>
    <w:rsid w:val="00F8308D"/>
    <w:rsid w:val="00F84F27"/>
    <w:rsid w:val="00F9338D"/>
    <w:rsid w:val="00F938E9"/>
    <w:rsid w:val="00FA0816"/>
    <w:rsid w:val="00FA45AE"/>
    <w:rsid w:val="00FA6D68"/>
    <w:rsid w:val="00FB76B8"/>
    <w:rsid w:val="00FC2719"/>
    <w:rsid w:val="00FE7A38"/>
    <w:rsid w:val="00FF3734"/>
    <w:rsid w:val="017A1160"/>
    <w:rsid w:val="02BE061B"/>
    <w:rsid w:val="05766F28"/>
    <w:rsid w:val="06D364E4"/>
    <w:rsid w:val="085E53BC"/>
    <w:rsid w:val="09205A07"/>
    <w:rsid w:val="0A206DCD"/>
    <w:rsid w:val="0BA47589"/>
    <w:rsid w:val="0E9404B3"/>
    <w:rsid w:val="0F9D4A1B"/>
    <w:rsid w:val="1103023A"/>
    <w:rsid w:val="11D5738B"/>
    <w:rsid w:val="12FA65E2"/>
    <w:rsid w:val="15146582"/>
    <w:rsid w:val="15E46F00"/>
    <w:rsid w:val="162C1B39"/>
    <w:rsid w:val="163D2AB4"/>
    <w:rsid w:val="1A654388"/>
    <w:rsid w:val="1AA61C54"/>
    <w:rsid w:val="1EFF2FFD"/>
    <w:rsid w:val="2043516B"/>
    <w:rsid w:val="20786EA5"/>
    <w:rsid w:val="23B24AE2"/>
    <w:rsid w:val="24057A7A"/>
    <w:rsid w:val="278542BB"/>
    <w:rsid w:val="28243AD4"/>
    <w:rsid w:val="29015351"/>
    <w:rsid w:val="29D1468A"/>
    <w:rsid w:val="2C222EC2"/>
    <w:rsid w:val="2D572346"/>
    <w:rsid w:val="30154F51"/>
    <w:rsid w:val="35774B61"/>
    <w:rsid w:val="35D20537"/>
    <w:rsid w:val="3BF319C3"/>
    <w:rsid w:val="3C864557"/>
    <w:rsid w:val="3CB827EE"/>
    <w:rsid w:val="3FD84EFF"/>
    <w:rsid w:val="40A94502"/>
    <w:rsid w:val="417D0085"/>
    <w:rsid w:val="447D42EE"/>
    <w:rsid w:val="45E666F2"/>
    <w:rsid w:val="48580F04"/>
    <w:rsid w:val="4AAA3786"/>
    <w:rsid w:val="4AFD3010"/>
    <w:rsid w:val="4D7A52D0"/>
    <w:rsid w:val="4DF711BF"/>
    <w:rsid w:val="519A52F8"/>
    <w:rsid w:val="53A60F32"/>
    <w:rsid w:val="5A723B42"/>
    <w:rsid w:val="5D8365CC"/>
    <w:rsid w:val="5E800D5D"/>
    <w:rsid w:val="67ED0ED9"/>
    <w:rsid w:val="6EB02F99"/>
    <w:rsid w:val="6F0642DD"/>
    <w:rsid w:val="70372216"/>
    <w:rsid w:val="70CD22E2"/>
    <w:rsid w:val="726C7C42"/>
    <w:rsid w:val="733B7751"/>
    <w:rsid w:val="7AEA5A84"/>
    <w:rsid w:val="7BB96FE3"/>
    <w:rsid w:val="7C895C51"/>
    <w:rsid w:val="7F60324E"/>
    <w:rsid w:val="7FBB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 w:val="24"/>
      <w:szCs w:val="20"/>
    </w:r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Date"/>
    <w:basedOn w:val="1"/>
    <w:next w:val="1"/>
    <w:autoRedefine/>
    <w:qFormat/>
    <w:uiPriority w:val="0"/>
    <w:pPr>
      <w:ind w:left="100" w:leftChars="2500"/>
    </w:pPr>
  </w:style>
  <w:style w:type="paragraph" w:styleId="5">
    <w:name w:val="Balloon Text"/>
    <w:basedOn w:val="1"/>
    <w:autoRedefine/>
    <w:qFormat/>
    <w:uiPriority w:val="0"/>
    <w:rPr>
      <w:sz w:val="18"/>
      <w:szCs w:val="18"/>
    </w:rPr>
  </w:style>
  <w:style w:type="paragraph" w:styleId="6">
    <w:name w:val="footer"/>
    <w:basedOn w:val="1"/>
    <w:link w:val="1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qFormat/>
    <w:uiPriority w:val="0"/>
    <w:rPr>
      <w:b/>
      <w:bCs/>
    </w:rPr>
  </w:style>
  <w:style w:type="character" w:styleId="11">
    <w:name w:val="page number"/>
    <w:qFormat/>
    <w:uiPriority w:val="0"/>
  </w:style>
  <w:style w:type="character" w:styleId="12">
    <w:name w:val="Hyperlink"/>
    <w:autoRedefine/>
    <w:qFormat/>
    <w:uiPriority w:val="0"/>
    <w:rPr>
      <w:color w:val="0000FF"/>
      <w:u w:val="single"/>
    </w:rPr>
  </w:style>
  <w:style w:type="character" w:styleId="13">
    <w:name w:val="annotation reference"/>
    <w:autoRedefine/>
    <w:qFormat/>
    <w:uiPriority w:val="0"/>
    <w:rPr>
      <w:sz w:val="21"/>
      <w:szCs w:val="21"/>
    </w:rPr>
  </w:style>
  <w:style w:type="character" w:customStyle="1" w:styleId="14">
    <w:name w:val="页脚 字符"/>
    <w:link w:val="6"/>
    <w:autoRedefine/>
    <w:qFormat/>
    <w:uiPriority w:val="99"/>
    <w:rPr>
      <w:kern w:val="2"/>
      <w:sz w:val="18"/>
      <w:szCs w:val="18"/>
    </w:rPr>
  </w:style>
  <w:style w:type="character" w:customStyle="1" w:styleId="15">
    <w:name w:val="页眉 字符"/>
    <w:link w:val="7"/>
    <w:autoRedefine/>
    <w:qFormat/>
    <w:uiPriority w:val="99"/>
    <w:rPr>
      <w:kern w:val="2"/>
      <w:sz w:val="18"/>
      <w:szCs w:val="18"/>
    </w:rPr>
  </w:style>
  <w:style w:type="paragraph" w:customStyle="1" w:styleId="16">
    <w:name w:val="1 Char"/>
    <w:basedOn w:val="1"/>
    <w:autoRedefine/>
    <w:qFormat/>
    <w:uiPriority w:val="0"/>
  </w:style>
  <w:style w:type="paragraph" w:customStyle="1" w:styleId="17">
    <w:name w:val="Char"/>
    <w:basedOn w:val="1"/>
    <w:autoRedefine/>
    <w:qFormat/>
    <w:uiPriority w:val="0"/>
  </w:style>
  <w:style w:type="paragraph" w:customStyle="1" w:styleId="18">
    <w:name w:val="Chapter"/>
    <w:next w:val="1"/>
    <w:autoRedefine/>
    <w:qFormat/>
    <w:uiPriority w:val="99"/>
    <w:pPr>
      <w:keepNext/>
      <w:keepLines/>
      <w:widowControl w:val="0"/>
      <w:spacing w:before="300" w:after="300" w:line="241" w:lineRule="auto"/>
      <w:jc w:val="both"/>
    </w:pPr>
    <w:rPr>
      <w:rFonts w:ascii="Times New Roman" w:hAnsi="Times New Roman" w:eastAsia="宋体" w:cs="Times New Roman"/>
      <w:b/>
      <w:bCs/>
      <w:kern w:val="28"/>
      <w:sz w:val="24"/>
      <w:szCs w:val="24"/>
      <w:lang w:val="en-US" w:eastAsia="zh-CN" w:bidi="ar-SA"/>
    </w:rPr>
  </w:style>
  <w:style w:type="paragraph" w:customStyle="1" w:styleId="19">
    <w:name w:val="Char Char Char Char"/>
    <w:basedOn w:val="1"/>
    <w:autoRedefine/>
    <w:qFormat/>
    <w:uiPriority w:val="0"/>
    <w:pPr>
      <w:widowControl/>
      <w:spacing w:before="312" w:beforeLines="100" w:after="160" w:line="240" w:lineRule="exact"/>
      <w:jc w:val="left"/>
    </w:pPr>
    <w:rPr>
      <w:rFonts w:ascii="Verdana" w:hAnsi="Verdana"/>
      <w:kern w:val="0"/>
      <w:sz w:val="32"/>
      <w:szCs w:val="32"/>
      <w:lang w:eastAsia="en-US"/>
    </w:rPr>
  </w:style>
  <w:style w:type="paragraph" w:customStyle="1" w:styleId="20">
    <w:name w:val="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1319</Words>
  <Characters>1617</Characters>
  <Lines>359</Lines>
  <Paragraphs>144</Paragraphs>
  <TotalTime>1</TotalTime>
  <ScaleCrop>false</ScaleCrop>
  <LinksUpToDate>false</LinksUpToDate>
  <CharactersWithSpaces>1642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2016-12-07T07:12:00Z</dcterms:created>
  <dc:creator>User</dc:creator>
  <cp:lastModifiedBy>李群</cp:lastModifiedBy>
  <cp:lastPrinted>2025-04-21T03:25:00Z</cp:lastPrinted>
  <dcterms:modified xsi:type="dcterms:W3CDTF">2026-03-25T07:45:03Z</dcterms:modified>
  <dc:title>证券代码：300238      证券简称：冠昊生物       公告编号：2011-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AB45AC1A61DF41F09CCF890C8128B683_13</vt:lpwstr>
  </property>
  <property fmtid="{D5CDD505-2E9C-101B-9397-08002B2CF9AE}" pid="4" name="KSOTemplateDocerSaveRecord">
    <vt:lpwstr>eyJoZGlkIjoiYWRlOTk1ZDM4MjkzZjgxMjZiN2M3ZjNmNDQ5NGIzZGYiLCJ1c2VySWQiOiIzNDI3ODI2OTEifQ==</vt:lpwstr>
  </property>
</Properties>
</file>