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2CB1DA">
      <w:pPr>
        <w:tabs>
          <w:tab w:val="left" w:pos="195"/>
        </w:tabs>
        <w:spacing w:line="500" w:lineRule="exact"/>
        <w:jc w:val="center"/>
        <w:rPr>
          <w:rFonts w:hint="default" w:eastAsia="宋体"/>
          <w:bCs/>
          <w:sz w:val="24"/>
          <w:lang w:val="en-US" w:eastAsia="zh-CN"/>
        </w:rPr>
      </w:pPr>
      <w:bookmarkStart w:id="0" w:name="_Hlk282766308"/>
      <w:r>
        <w:rPr>
          <w:rFonts w:hint="eastAsia"/>
          <w:kern w:val="0"/>
          <w:sz w:val="24"/>
          <w:lang w:val="en-US" w:eastAsia="zh-CN"/>
        </w:rPr>
        <w:t xml:space="preserve"> </w:t>
      </w:r>
      <w:r>
        <w:rPr>
          <w:kern w:val="0"/>
          <w:sz w:val="24"/>
        </w:rPr>
        <w:t>证券代码：300238         证券简称：冠昊生物         公告编号：</w:t>
      </w:r>
      <w:r>
        <w:rPr>
          <w:rFonts w:hint="eastAsia"/>
          <w:kern w:val="0"/>
          <w:sz w:val="24"/>
          <w:highlight w:val="none"/>
          <w:lang w:eastAsia="zh-CN"/>
        </w:rPr>
        <w:t>202</w:t>
      </w:r>
      <w:r>
        <w:rPr>
          <w:rFonts w:hint="eastAsia"/>
          <w:kern w:val="0"/>
          <w:sz w:val="24"/>
          <w:highlight w:val="none"/>
          <w:lang w:val="en-US" w:eastAsia="zh-CN"/>
        </w:rPr>
        <w:t>6</w:t>
      </w:r>
      <w:r>
        <w:rPr>
          <w:rFonts w:hint="eastAsia"/>
          <w:kern w:val="0"/>
          <w:sz w:val="24"/>
          <w:highlight w:val="none"/>
        </w:rPr>
        <w:t>-0</w:t>
      </w:r>
      <w:r>
        <w:rPr>
          <w:rFonts w:hint="eastAsia"/>
          <w:kern w:val="0"/>
          <w:sz w:val="24"/>
          <w:highlight w:val="none"/>
          <w:lang w:val="en-US" w:eastAsia="zh-CN"/>
        </w:rPr>
        <w:t>07</w:t>
      </w:r>
    </w:p>
    <w:p w14:paraId="024AE001">
      <w:pPr>
        <w:tabs>
          <w:tab w:val="left" w:pos="195"/>
        </w:tabs>
        <w:spacing w:before="312" w:beforeLines="100" w:line="500" w:lineRule="exact"/>
        <w:jc w:val="center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冠昊生物科技股份有限公司</w:t>
      </w:r>
      <w:bookmarkEnd w:id="0"/>
    </w:p>
    <w:p w14:paraId="24C4E3CF">
      <w:pPr>
        <w:tabs>
          <w:tab w:val="left" w:pos="195"/>
        </w:tabs>
        <w:spacing w:before="156" w:beforeLines="50" w:after="468" w:afterLines="150" w:line="500" w:lineRule="exact"/>
        <w:jc w:val="center"/>
        <w:rPr>
          <w:rFonts w:ascii="宋体" w:cs="宋体"/>
          <w:kern w:val="0"/>
          <w:sz w:val="24"/>
        </w:rPr>
      </w:pPr>
      <w:r>
        <w:rPr>
          <w:rFonts w:hint="eastAsia" w:ascii="黑体" w:hAnsi="黑体" w:eastAsia="黑体"/>
          <w:bCs/>
          <w:sz w:val="30"/>
          <w:szCs w:val="30"/>
        </w:rPr>
        <w:t>关于未弥补亏损达到实收股本总额三分之一的公告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6925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460" w:type="dxa"/>
            <w:noWrap w:val="0"/>
            <w:vAlign w:val="top"/>
          </w:tcPr>
          <w:p w14:paraId="48E05E9A">
            <w:pPr>
              <w:autoSpaceDE w:val="0"/>
              <w:autoSpaceDN w:val="0"/>
              <w:adjustRightInd w:val="0"/>
              <w:spacing w:line="500" w:lineRule="exact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本公司及董事会全体人员保证信息披露的内容真实、准确和完整，没有虚假记载、误导性陈述或者重大遗漏。</w:t>
            </w:r>
          </w:p>
        </w:tc>
      </w:tr>
    </w:tbl>
    <w:p w14:paraId="71462926">
      <w:pPr>
        <w:keepNext w:val="0"/>
        <w:keepLines w:val="0"/>
        <w:pageBreakBefore w:val="0"/>
        <w:widowControl w:val="0"/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冠昊生物科技股份有限公司（以下简称“公司”）</w:t>
      </w:r>
      <w:r>
        <w:rPr>
          <w:sz w:val="24"/>
        </w:rPr>
        <w:t>于</w:t>
      </w:r>
      <w:r>
        <w:rPr>
          <w:rFonts w:hint="eastAsia"/>
          <w:sz w:val="24"/>
          <w:lang w:eastAsia="zh-CN"/>
        </w:rPr>
        <w:t>2026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sz w:val="24"/>
        </w:rPr>
        <w:t>日召开第</w:t>
      </w:r>
      <w:r>
        <w:rPr>
          <w:rFonts w:hint="eastAsia"/>
          <w:sz w:val="24"/>
          <w:lang w:val="en-US" w:eastAsia="zh-CN"/>
        </w:rPr>
        <w:t>六</w:t>
      </w:r>
      <w:r>
        <w:rPr>
          <w:sz w:val="24"/>
        </w:rPr>
        <w:t>届董事会第</w:t>
      </w:r>
      <w:r>
        <w:rPr>
          <w:rFonts w:hint="eastAsia"/>
          <w:sz w:val="24"/>
          <w:lang w:val="en-US" w:eastAsia="zh-CN"/>
        </w:rPr>
        <w:t>十八</w:t>
      </w:r>
      <w:r>
        <w:rPr>
          <w:sz w:val="24"/>
        </w:rPr>
        <w:t>次会议，审议通过了《</w:t>
      </w:r>
      <w:r>
        <w:rPr>
          <w:rFonts w:hint="eastAsia"/>
          <w:sz w:val="24"/>
          <w:lang w:val="en-US" w:eastAsia="zh-CN"/>
        </w:rPr>
        <w:t>关于未弥补亏损达到实收股本总额三分之一的公告</w:t>
      </w:r>
      <w:r>
        <w:rPr>
          <w:rFonts w:hint="eastAsia"/>
          <w:sz w:val="24"/>
          <w:lang w:eastAsia="zh-CN"/>
        </w:rPr>
        <w:t>的</w:t>
      </w:r>
      <w:r>
        <w:rPr>
          <w:rFonts w:hint="eastAsia"/>
          <w:sz w:val="24"/>
          <w:lang w:val="en-US" w:eastAsia="zh-CN"/>
        </w:rPr>
        <w:t>议案</w:t>
      </w:r>
      <w:r>
        <w:rPr>
          <w:sz w:val="24"/>
        </w:rPr>
        <w:t>》。现将有关事项公告如下：</w:t>
      </w:r>
    </w:p>
    <w:p w14:paraId="4CD5B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eastAsia="宋体"/>
          <w:b/>
          <w:sz w:val="24"/>
          <w:lang w:eastAsia="zh-CN"/>
        </w:rPr>
      </w:pPr>
      <w:r>
        <w:rPr>
          <w:b/>
          <w:sz w:val="24"/>
        </w:rPr>
        <w:t>一、</w:t>
      </w:r>
      <w:r>
        <w:rPr>
          <w:rFonts w:hint="eastAsia"/>
          <w:b/>
          <w:sz w:val="24"/>
          <w:lang w:val="en-US" w:eastAsia="zh-CN"/>
        </w:rPr>
        <w:t>情况概述</w:t>
      </w:r>
    </w:p>
    <w:p w14:paraId="2657C641">
      <w:pPr>
        <w:keepNext w:val="0"/>
        <w:keepLines w:val="0"/>
        <w:pageBreakBefore w:val="0"/>
        <w:widowControl w:val="0"/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经大信会计师事务所（特殊普通合伙）审计，</w:t>
      </w:r>
      <w:r>
        <w:rPr>
          <w:rFonts w:hint="eastAsia"/>
          <w:sz w:val="24"/>
          <w:highlight w:val="none"/>
        </w:rPr>
        <w:t>公司</w:t>
      </w:r>
      <w:r>
        <w:rPr>
          <w:rFonts w:hint="eastAsia"/>
          <w:sz w:val="24"/>
          <w:highlight w:val="none"/>
          <w:lang w:eastAsia="zh-CN"/>
        </w:rPr>
        <w:t>2025</w:t>
      </w:r>
      <w:r>
        <w:rPr>
          <w:rFonts w:hint="eastAsia"/>
          <w:sz w:val="24"/>
          <w:highlight w:val="none"/>
        </w:rPr>
        <w:t>年度合并</w:t>
      </w:r>
      <w:r>
        <w:rPr>
          <w:rFonts w:hint="eastAsia"/>
          <w:sz w:val="24"/>
          <w:highlight w:val="none"/>
          <w:lang w:val="en-US" w:eastAsia="zh-CN"/>
        </w:rPr>
        <w:t>财务</w:t>
      </w:r>
      <w:r>
        <w:rPr>
          <w:rFonts w:hint="eastAsia"/>
          <w:sz w:val="24"/>
          <w:highlight w:val="none"/>
        </w:rPr>
        <w:t>报表</w:t>
      </w:r>
      <w:r>
        <w:rPr>
          <w:rFonts w:hint="eastAsia"/>
          <w:sz w:val="24"/>
          <w:highlight w:val="none"/>
          <w:lang w:val="en-US" w:eastAsia="zh-CN"/>
        </w:rPr>
        <w:t>未</w:t>
      </w:r>
      <w:r>
        <w:rPr>
          <w:rFonts w:hint="eastAsia"/>
          <w:sz w:val="24"/>
          <w:highlight w:val="none"/>
        </w:rPr>
        <w:t>分配利润</w:t>
      </w:r>
      <w:r>
        <w:rPr>
          <w:rFonts w:hint="eastAsia"/>
          <w:sz w:val="24"/>
          <w:highlight w:val="none"/>
          <w:lang w:val="en-US" w:eastAsia="zh-CN"/>
        </w:rPr>
        <w:t>为</w:t>
      </w:r>
      <w:r>
        <w:rPr>
          <w:rFonts w:hint="eastAsia"/>
          <w:sz w:val="24"/>
          <w:highlight w:val="none"/>
        </w:rPr>
        <w:t>-</w:t>
      </w:r>
      <w:r>
        <w:rPr>
          <w:rFonts w:hint="eastAsia"/>
          <w:sz w:val="24"/>
          <w:highlight w:val="none"/>
          <w:lang w:val="en-US" w:eastAsia="zh-CN"/>
        </w:rPr>
        <w:t>297,579,374.88</w:t>
      </w:r>
      <w:r>
        <w:rPr>
          <w:rFonts w:hint="eastAsia"/>
          <w:sz w:val="24"/>
          <w:highlight w:val="none"/>
        </w:rPr>
        <w:t>元，</w:t>
      </w:r>
      <w:r>
        <w:rPr>
          <w:rFonts w:hint="eastAsia"/>
          <w:sz w:val="24"/>
          <w:lang w:val="en-US" w:eastAsia="zh-CN"/>
        </w:rPr>
        <w:t>公司实收股本为265,155,701元</w:t>
      </w:r>
      <w:r>
        <w:rPr>
          <w:sz w:val="24"/>
          <w:lang w:val="en-US" w:eastAsia="zh-CN"/>
        </w:rPr>
        <w:t>，公司未弥补亏损金额超过实收股本总额三分之一。</w:t>
      </w:r>
      <w:r>
        <w:rPr>
          <w:rFonts w:hint="default"/>
          <w:sz w:val="24"/>
          <w:lang w:val="en-US" w:eastAsia="zh-CN"/>
        </w:rPr>
        <w:t>根据《公司法》</w:t>
      </w:r>
      <w:r>
        <w:rPr>
          <w:rFonts w:hint="eastAsia"/>
          <w:sz w:val="24"/>
          <w:lang w:val="en-US" w:eastAsia="zh-CN"/>
        </w:rPr>
        <w:t>、</w:t>
      </w:r>
      <w:r>
        <w:rPr>
          <w:rFonts w:hint="default"/>
          <w:sz w:val="24"/>
          <w:lang w:val="en-US" w:eastAsia="zh-CN"/>
        </w:rPr>
        <w:t>《公司章程》的相关规定，该事项需提交公司股东会审议。</w:t>
      </w:r>
    </w:p>
    <w:p w14:paraId="21FB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eastAsia="宋体"/>
          <w:sz w:val="24"/>
          <w:highlight w:val="none"/>
          <w:lang w:eastAsia="zh-CN"/>
        </w:rPr>
      </w:pPr>
      <w:r>
        <w:rPr>
          <w:rFonts w:hint="eastAsia" w:ascii="宋体" w:hAnsi="宋体"/>
          <w:b/>
          <w:sz w:val="24"/>
          <w:highlight w:val="none"/>
        </w:rPr>
        <w:t>二、</w:t>
      </w:r>
      <w:r>
        <w:rPr>
          <w:rFonts w:hint="eastAsia"/>
          <w:b/>
          <w:sz w:val="24"/>
          <w:highlight w:val="none"/>
          <w:lang w:val="en-US" w:eastAsia="zh-CN"/>
        </w:rPr>
        <w:t>亏损原因</w:t>
      </w:r>
    </w:p>
    <w:p w14:paraId="0EF9EE5D">
      <w:pPr>
        <w:keepNext w:val="0"/>
        <w:keepLines w:val="0"/>
        <w:pageBreakBefore w:val="0"/>
        <w:widowControl w:val="0"/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2025</w:t>
      </w:r>
      <w:r>
        <w:rPr>
          <w:rFonts w:hint="eastAsia" w:ascii="宋体" w:hAnsi="宋体"/>
          <w:sz w:val="24"/>
          <w:highlight w:val="none"/>
          <w:lang w:val="en-US" w:eastAsia="zh-CN"/>
        </w:rPr>
        <w:t>年报告期内，实现销售收入</w:t>
      </w:r>
      <w:r>
        <w:rPr>
          <w:rFonts w:hint="eastAsia"/>
          <w:sz w:val="24"/>
          <w:highlight w:val="none"/>
          <w:lang w:val="en-US" w:eastAsia="zh-CN"/>
        </w:rPr>
        <w:t>3.87</w:t>
      </w:r>
      <w:r>
        <w:rPr>
          <w:rFonts w:hint="eastAsia" w:ascii="宋体" w:hAnsi="宋体"/>
          <w:sz w:val="24"/>
          <w:highlight w:val="none"/>
          <w:lang w:val="en-US" w:eastAsia="zh-CN"/>
        </w:rPr>
        <w:t>亿元，较去年同期上升</w:t>
      </w:r>
      <w:r>
        <w:rPr>
          <w:rFonts w:hint="eastAsia"/>
          <w:sz w:val="24"/>
          <w:highlight w:val="none"/>
          <w:lang w:val="en-US" w:eastAsia="zh-CN"/>
        </w:rPr>
        <w:t>2.72%</w:t>
      </w:r>
      <w:r>
        <w:rPr>
          <w:rFonts w:hint="eastAsia" w:ascii="宋体" w:hAnsi="宋体"/>
          <w:sz w:val="24"/>
          <w:highlight w:val="none"/>
          <w:lang w:val="en-US" w:eastAsia="zh-CN"/>
        </w:rPr>
        <w:t>，其中医疗器械收入同比下降</w:t>
      </w:r>
      <w:r>
        <w:rPr>
          <w:rFonts w:hint="eastAsia"/>
          <w:sz w:val="24"/>
          <w:highlight w:val="none"/>
          <w:lang w:val="en-US" w:eastAsia="zh-CN"/>
        </w:rPr>
        <w:t>1.30%</w:t>
      </w:r>
      <w:r>
        <w:rPr>
          <w:rFonts w:hint="eastAsia" w:ascii="宋体" w:hAnsi="宋体"/>
          <w:sz w:val="24"/>
          <w:highlight w:val="none"/>
          <w:lang w:val="en-US" w:eastAsia="zh-CN"/>
        </w:rPr>
        <w:t>，细胞技术服务收入同比下降</w:t>
      </w:r>
      <w:r>
        <w:rPr>
          <w:rFonts w:hint="eastAsia"/>
          <w:sz w:val="24"/>
          <w:highlight w:val="none"/>
          <w:lang w:val="en-US" w:eastAsia="zh-CN"/>
        </w:rPr>
        <w:t>19.75%</w:t>
      </w:r>
      <w:r>
        <w:rPr>
          <w:rFonts w:hint="eastAsia" w:ascii="宋体" w:hAnsi="宋体"/>
          <w:sz w:val="24"/>
          <w:highlight w:val="none"/>
          <w:lang w:val="en-US" w:eastAsia="zh-CN"/>
        </w:rPr>
        <w:t>。</w:t>
      </w:r>
    </w:p>
    <w:p w14:paraId="5812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lang w:val="en-US" w:eastAsia="zh-CN"/>
        </w:rPr>
        <w:t>1、</w:t>
      </w:r>
      <w:r>
        <w:rPr>
          <w:rFonts w:hint="eastAsia" w:ascii="宋体" w:hAnsi="宋体"/>
          <w:sz w:val="24"/>
          <w:lang w:val="en-US" w:eastAsia="zh-CN"/>
        </w:rPr>
        <w:t>信用减值损失</w:t>
      </w:r>
    </w:p>
    <w:p w14:paraId="00781A14">
      <w:pPr>
        <w:keepNext w:val="0"/>
        <w:keepLines w:val="0"/>
        <w:pageBreakBefore w:val="0"/>
        <w:widowControl w:val="0"/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受外部环境及行业政策等因素影响，公司力求</w:t>
      </w:r>
      <w:r>
        <w:rPr>
          <w:rFonts w:hint="eastAsia"/>
          <w:sz w:val="24"/>
          <w:lang w:val="en-US" w:eastAsia="zh-CN"/>
        </w:rPr>
        <w:t>让</w:t>
      </w:r>
      <w:r>
        <w:rPr>
          <w:rFonts w:hint="eastAsia"/>
          <w:sz w:val="24"/>
        </w:rPr>
        <w:t>财务报表能够公允地反映</w:t>
      </w:r>
      <w:r>
        <w:rPr>
          <w:rFonts w:hint="eastAsia"/>
          <w:sz w:val="24"/>
          <w:lang w:val="en-US" w:eastAsia="zh-CN"/>
        </w:rPr>
        <w:t>公司实际</w:t>
      </w:r>
      <w:r>
        <w:rPr>
          <w:rFonts w:hint="eastAsia"/>
          <w:sz w:val="24"/>
        </w:rPr>
        <w:t>财务状况及经营成果，向投资者提供更加真实、可靠、准确的会计信息。</w:t>
      </w:r>
      <w:r>
        <w:rPr>
          <w:rFonts w:hint="eastAsia" w:ascii="宋体" w:hAnsi="宋体"/>
          <w:sz w:val="24"/>
          <w:lang w:val="en-US" w:eastAsia="zh-CN"/>
        </w:rPr>
        <w:t>基于</w:t>
      </w:r>
      <w:r>
        <w:rPr>
          <w:rFonts w:hint="eastAsia"/>
          <w:sz w:val="24"/>
        </w:rPr>
        <w:t>谨慎性原则</w:t>
      </w:r>
      <w:r>
        <w:rPr>
          <w:rFonts w:hint="eastAsia"/>
          <w:sz w:val="24"/>
          <w:lang w:val="en-US" w:eastAsia="zh-CN"/>
        </w:rPr>
        <w:t>的情况下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在</w:t>
      </w:r>
      <w:r>
        <w:rPr>
          <w:rFonts w:hint="eastAsia"/>
          <w:sz w:val="24"/>
        </w:rPr>
        <w:t>符合《企业会计准则》及公司相关会计政策的规定和公司资产实际情况</w:t>
      </w:r>
      <w:r>
        <w:rPr>
          <w:rFonts w:hint="eastAsia"/>
          <w:sz w:val="24"/>
          <w:lang w:val="en-US" w:eastAsia="zh-CN"/>
        </w:rPr>
        <w:t>下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执行</w:t>
      </w:r>
      <w:r>
        <w:rPr>
          <w:rFonts w:hint="eastAsia"/>
          <w:sz w:val="24"/>
        </w:rPr>
        <w:t>合法、合规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计提方式、决策程序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近三年来对应收款项计提了坏账准备1,849.90万元</w:t>
      </w:r>
      <w:r>
        <w:rPr>
          <w:rFonts w:hint="eastAsia"/>
          <w:sz w:val="24"/>
        </w:rPr>
        <w:t>。</w:t>
      </w:r>
    </w:p>
    <w:p w14:paraId="676F30B8">
      <w:pPr>
        <w:keepNext w:val="0"/>
        <w:keepLines w:val="0"/>
        <w:pageBreakBefore w:val="0"/>
        <w:widowControl w:val="0"/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 w:ascii="宋体" w:hAnsi="宋体"/>
          <w:sz w:val="24"/>
          <w:lang w:val="en-US" w:eastAsia="zh-CN"/>
        </w:rPr>
        <w:t>资产减值损失</w:t>
      </w:r>
    </w:p>
    <w:p w14:paraId="6F582AB8">
      <w:pPr>
        <w:keepNext w:val="0"/>
        <w:keepLines w:val="0"/>
        <w:pageBreakBefore w:val="0"/>
        <w:widowControl w:val="0"/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（1）公司收购的子公司珠海市祥乐与</w:t>
      </w:r>
      <w:r>
        <w:rPr>
          <w:rFonts w:hint="default"/>
          <w:sz w:val="24"/>
          <w:lang w:val="en-US" w:eastAsia="zh-CN"/>
        </w:rPr>
        <w:t>Aaren Scientific Inc.</w:t>
      </w:r>
      <w:r>
        <w:rPr>
          <w:rFonts w:hint="eastAsia" w:ascii="宋体" w:hAnsi="宋体"/>
          <w:sz w:val="24"/>
          <w:lang w:val="en-US" w:eastAsia="zh-CN"/>
        </w:rPr>
        <w:t>签订的国内独家经销商的经销协议提前终止，受此影响，公司于</w:t>
      </w:r>
      <w:r>
        <w:rPr>
          <w:rFonts w:hint="eastAsia"/>
          <w:sz w:val="24"/>
          <w:lang w:val="en-US" w:eastAsia="zh-CN"/>
        </w:rPr>
        <w:t>2022年</w:t>
      </w:r>
      <w:r>
        <w:rPr>
          <w:rFonts w:hint="eastAsia" w:ascii="宋体" w:hAnsi="宋体"/>
          <w:sz w:val="24"/>
          <w:lang w:val="en-US" w:eastAsia="zh-CN"/>
        </w:rPr>
        <w:t>对因珠海祥乐的库存商品进行了跌价测算，计提存货跌价准备</w:t>
      </w:r>
      <w:r>
        <w:rPr>
          <w:rFonts w:hint="default"/>
          <w:sz w:val="24"/>
          <w:lang w:val="en-US" w:eastAsia="zh-CN"/>
        </w:rPr>
        <w:t>6</w:t>
      </w:r>
      <w:r>
        <w:rPr>
          <w:rFonts w:hint="eastAsia"/>
          <w:sz w:val="24"/>
          <w:lang w:val="en-US" w:eastAsia="zh-CN"/>
        </w:rPr>
        <w:t>,</w:t>
      </w:r>
      <w:r>
        <w:rPr>
          <w:rFonts w:hint="default"/>
          <w:sz w:val="24"/>
          <w:lang w:val="en-US" w:eastAsia="zh-CN"/>
        </w:rPr>
        <w:t>904.95</w:t>
      </w:r>
      <w:r>
        <w:rPr>
          <w:rFonts w:hint="eastAsia" w:ascii="宋体" w:hAnsi="宋体"/>
          <w:sz w:val="24"/>
          <w:lang w:val="en-US" w:eastAsia="zh-CN"/>
        </w:rPr>
        <w:t>万元。</w:t>
      </w:r>
    </w:p>
    <w:p w14:paraId="502E95F1">
      <w:pPr>
        <w:keepNext w:val="0"/>
        <w:keepLines w:val="0"/>
        <w:pageBreakBefore w:val="0"/>
        <w:widowControl w:val="0"/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（2）公司投资企业因国内外经济下行、经营等原因，经营效果低于公司投资预期，管理层根据被投资企业现状及预期发展等进行减值测算，累计计提</w:t>
      </w:r>
      <w:r>
        <w:rPr>
          <w:rFonts w:hint="eastAsia"/>
          <w:sz w:val="24"/>
          <w:lang w:val="en-US" w:eastAsia="zh-CN"/>
        </w:rPr>
        <w:t>5.69</w:t>
      </w:r>
      <w:r>
        <w:rPr>
          <w:rFonts w:hint="eastAsia" w:ascii="宋体" w:hAnsi="宋体"/>
          <w:sz w:val="24"/>
          <w:lang w:val="en-US" w:eastAsia="zh-CN"/>
        </w:rPr>
        <w:t>亿元商誉减值准备（商誉账面价值为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 w:ascii="宋体" w:hAnsi="宋体"/>
          <w:sz w:val="24"/>
          <w:lang w:val="en-US" w:eastAsia="zh-CN"/>
        </w:rPr>
        <w:t>元）。</w:t>
      </w:r>
    </w:p>
    <w:p w14:paraId="7AAC2DAB">
      <w:pPr>
        <w:keepNext w:val="0"/>
        <w:keepLines w:val="0"/>
        <w:pageBreakBefore w:val="0"/>
        <w:widowControl w:val="0"/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</w:t>
      </w:r>
      <w:r>
        <w:rPr>
          <w:rFonts w:hint="eastAsia" w:ascii="宋体" w:hAnsi="宋体"/>
          <w:sz w:val="24"/>
          <w:lang w:val="en-US" w:eastAsia="zh-CN"/>
        </w:rPr>
        <w:t>研发支出</w:t>
      </w:r>
    </w:p>
    <w:p w14:paraId="41CD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基于未来研发项目整体布局和公司发展战略考虑，公司多个在研项目在持续推进中，公司近三年来累计投入研发支出</w:t>
      </w:r>
      <w:r>
        <w:rPr>
          <w:sz w:val="24"/>
        </w:rPr>
        <w:t>13</w:t>
      </w:r>
      <w:r>
        <w:rPr>
          <w:rFonts w:hint="eastAsia"/>
          <w:sz w:val="24"/>
        </w:rPr>
        <w:t>,</w:t>
      </w:r>
      <w:r>
        <w:rPr>
          <w:sz w:val="24"/>
        </w:rPr>
        <w:t>725</w:t>
      </w:r>
      <w:r>
        <w:rPr>
          <w:rFonts w:hint="eastAsia"/>
          <w:sz w:val="24"/>
        </w:rPr>
        <w:t>.84</w:t>
      </w:r>
      <w:bookmarkStart w:id="1" w:name="_GoBack"/>
      <w:bookmarkEnd w:id="1"/>
      <w:r>
        <w:rPr>
          <w:rFonts w:hint="eastAsia" w:ascii="宋体" w:hAnsi="宋体"/>
          <w:sz w:val="24"/>
          <w:lang w:val="en-US" w:eastAsia="zh-CN"/>
        </w:rPr>
        <w:t>万元。</w:t>
      </w:r>
    </w:p>
    <w:p w14:paraId="7E94A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三、</w:t>
      </w:r>
      <w:r>
        <w:rPr>
          <w:rFonts w:hint="eastAsia" w:ascii="宋体" w:hAnsi="宋体"/>
          <w:b/>
          <w:sz w:val="24"/>
          <w:lang w:val="en-US" w:eastAsia="zh-CN"/>
        </w:rPr>
        <w:t>应对措施</w:t>
      </w:r>
    </w:p>
    <w:p w14:paraId="032FB224">
      <w:pPr>
        <w:keepNext w:val="0"/>
        <w:keepLines w:val="0"/>
        <w:pageBreakBefore w:val="0"/>
        <w:widowControl w:val="0"/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rFonts w:hint="default"/>
          <w:sz w:val="24"/>
          <w:lang w:val="en-US" w:eastAsia="zh-CN"/>
        </w:rPr>
        <w:t>公司将持续聚焦主营业务，充分利用现有资源和平台，在深化与现有客户的合作关系的同时积极挖掘潜在的业务机会，</w:t>
      </w:r>
      <w:r>
        <w:rPr>
          <w:rFonts w:hint="eastAsia"/>
          <w:sz w:val="24"/>
          <w:lang w:val="en-US" w:eastAsia="zh-CN"/>
        </w:rPr>
        <w:t>公司新成立的</w:t>
      </w:r>
      <w:r>
        <w:rPr>
          <w:rFonts w:hint="default"/>
          <w:sz w:val="24"/>
          <w:lang w:val="en-US" w:eastAsia="zh-CN"/>
        </w:rPr>
        <w:t>营销中心将进一步优化管理模式</w:t>
      </w:r>
      <w:r>
        <w:rPr>
          <w:rFonts w:hint="eastAsia"/>
          <w:sz w:val="24"/>
          <w:lang w:val="en-US" w:eastAsia="zh-CN"/>
        </w:rPr>
        <w:t>，</w:t>
      </w:r>
      <w:r>
        <w:rPr>
          <w:rFonts w:hint="default"/>
          <w:sz w:val="24"/>
          <w:lang w:val="en-US" w:eastAsia="zh-CN"/>
        </w:rPr>
        <w:t>加强销售团队建设，前瞻性布局以应对外部环境变化</w:t>
      </w:r>
      <w:r>
        <w:rPr>
          <w:rFonts w:hint="eastAsia"/>
          <w:sz w:val="24"/>
          <w:lang w:val="en-US" w:eastAsia="zh-CN"/>
        </w:rPr>
        <w:t>，</w:t>
      </w:r>
      <w:r>
        <w:rPr>
          <w:rFonts w:hint="default"/>
          <w:sz w:val="24"/>
          <w:lang w:val="en-US" w:eastAsia="zh-CN"/>
        </w:rPr>
        <w:t>加大市场开拓力度，巩固和提高公司产品的市场规模和占有率，进一步提升现有产品的销售，同时有效提高盈利能力。同时积极探索业务新模式</w:t>
      </w:r>
      <w:r>
        <w:rPr>
          <w:rFonts w:hint="eastAsia"/>
          <w:sz w:val="24"/>
          <w:lang w:val="en-US" w:eastAsia="zh-CN"/>
        </w:rPr>
        <w:t>，</w:t>
      </w:r>
      <w:r>
        <w:rPr>
          <w:rFonts w:hint="default"/>
          <w:sz w:val="24"/>
          <w:lang w:val="en-US" w:eastAsia="zh-CN"/>
        </w:rPr>
        <w:t>推动公司高质量发展。</w:t>
      </w:r>
    </w:p>
    <w:p w14:paraId="7E7B5B54">
      <w:pPr>
        <w:keepNext w:val="0"/>
        <w:keepLines w:val="0"/>
        <w:pageBreakBefore w:val="0"/>
        <w:widowControl w:val="0"/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default"/>
          <w:sz w:val="24"/>
          <w:lang w:val="en-US" w:eastAsia="zh-CN"/>
        </w:rPr>
        <w:t>积极采取措施加强应收账款回收，加强与客户沟通协调，完善回款过程监督机制，促进资金的良性循环；积极用法律手段维护公司的合法权益，对逾期未收回的资金及结算过程中存在争议的项目，公司密切关注客户的履约能力及资信状况，维护资金链安全与稳定</w:t>
      </w:r>
      <w:r>
        <w:rPr>
          <w:rFonts w:hint="eastAsia"/>
          <w:sz w:val="24"/>
          <w:lang w:val="en-US" w:eastAsia="zh-CN"/>
        </w:rPr>
        <w:t>。</w:t>
      </w:r>
    </w:p>
    <w:p w14:paraId="20C5FAC9">
      <w:pPr>
        <w:keepNext w:val="0"/>
        <w:keepLines w:val="0"/>
        <w:pageBreakBefore w:val="0"/>
        <w:widowControl w:val="0"/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default"/>
          <w:sz w:val="24"/>
          <w:lang w:val="en-US" w:eastAsia="zh-CN"/>
        </w:rPr>
        <w:t>、进一步深化人才强企战略，推进薪酬体系改革，通过存量人员优化、开展内部培训等方式调整人才结构，提升人力效能；制定公司薪酬体系改革方案，建立岗位绩效工资制、多维度激励模式及多元化福利体系</w:t>
      </w:r>
      <w:r>
        <w:rPr>
          <w:rFonts w:hint="eastAsia"/>
          <w:sz w:val="24"/>
          <w:lang w:val="en-US" w:eastAsia="zh-CN"/>
        </w:rPr>
        <w:t>；</w:t>
      </w:r>
      <w:r>
        <w:rPr>
          <w:rFonts w:hint="default"/>
          <w:sz w:val="24"/>
          <w:lang w:val="en-US" w:eastAsia="zh-CN"/>
        </w:rPr>
        <w:t>结合公司研发、生产和营销不同系统各具个性的人力资源管理特质，不断完善考核机制，</w:t>
      </w:r>
      <w:r>
        <w:rPr>
          <w:rFonts w:hint="eastAsia"/>
          <w:sz w:val="24"/>
          <w:lang w:val="en-US" w:eastAsia="zh-CN"/>
        </w:rPr>
        <w:t>健全</w:t>
      </w:r>
      <w:r>
        <w:rPr>
          <w:rFonts w:hint="default"/>
          <w:sz w:val="24"/>
          <w:lang w:val="en-US" w:eastAsia="zh-CN"/>
        </w:rPr>
        <w:t>短期、中期和长期结合的激励机制</w:t>
      </w:r>
      <w:r>
        <w:rPr>
          <w:rFonts w:hint="eastAsia"/>
          <w:sz w:val="24"/>
          <w:lang w:val="en-US" w:eastAsia="zh-CN"/>
        </w:rPr>
        <w:t>。</w:t>
      </w:r>
    </w:p>
    <w:p w14:paraId="5A80F01A">
      <w:pPr>
        <w:keepNext w:val="0"/>
        <w:keepLines w:val="0"/>
        <w:pageBreakBefore w:val="0"/>
        <w:widowControl w:val="0"/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default"/>
          <w:sz w:val="24"/>
          <w:lang w:val="en-US" w:eastAsia="zh-CN"/>
        </w:rPr>
        <w:t>、</w:t>
      </w:r>
      <w:r>
        <w:rPr>
          <w:rFonts w:hint="eastAsia"/>
          <w:sz w:val="24"/>
          <w:lang w:val="en-US" w:eastAsia="zh-CN"/>
        </w:rPr>
        <w:t>公司将</w:t>
      </w:r>
      <w:r>
        <w:rPr>
          <w:rFonts w:hint="default"/>
          <w:sz w:val="24"/>
          <w:lang w:val="en-US" w:eastAsia="zh-CN"/>
        </w:rPr>
        <w:t>不断完善内部控制制度，从财务、人力资源、采购、生产等环节出发，通过制定规章制度与优化操作流程，降低风险，提高管理效率；实施全面预算控制，合理规划与控制成本、收入、利润等财务指标；对部门设置、管理层级、审批程序等进行信息化流程，提高企业运营效率。</w:t>
      </w:r>
    </w:p>
    <w:p w14:paraId="70A8F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四</w:t>
      </w:r>
      <w:r>
        <w:rPr>
          <w:rFonts w:hint="eastAsia" w:ascii="宋体" w:hAnsi="宋体"/>
          <w:b/>
          <w:sz w:val="24"/>
          <w:lang w:eastAsia="zh-CN"/>
        </w:rPr>
        <w:t>、</w:t>
      </w:r>
      <w:r>
        <w:rPr>
          <w:rFonts w:hint="eastAsia" w:ascii="宋体" w:hAnsi="宋体"/>
          <w:b/>
          <w:sz w:val="24"/>
          <w:lang w:val="en-US" w:eastAsia="zh-CN"/>
        </w:rPr>
        <w:t>备查文件</w:t>
      </w:r>
    </w:p>
    <w:p w14:paraId="06E40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eastAsia="宋体"/>
          <w:sz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1、</w:t>
      </w:r>
      <w:r>
        <w:rPr>
          <w:sz w:val="24"/>
        </w:rPr>
        <w:t>第</w:t>
      </w:r>
      <w:r>
        <w:rPr>
          <w:rFonts w:hint="eastAsia"/>
          <w:sz w:val="24"/>
          <w:lang w:val="en-US" w:eastAsia="zh-CN"/>
        </w:rPr>
        <w:t>六</w:t>
      </w:r>
      <w:r>
        <w:rPr>
          <w:sz w:val="24"/>
        </w:rPr>
        <w:t>届董事会第</w:t>
      </w:r>
      <w:r>
        <w:rPr>
          <w:rFonts w:hint="eastAsia"/>
          <w:sz w:val="24"/>
          <w:lang w:val="en-US" w:eastAsia="zh-CN"/>
        </w:rPr>
        <w:t>十八</w:t>
      </w:r>
      <w:r>
        <w:rPr>
          <w:sz w:val="24"/>
        </w:rPr>
        <w:t>次会议</w:t>
      </w:r>
      <w:r>
        <w:rPr>
          <w:rFonts w:hint="eastAsia"/>
          <w:sz w:val="24"/>
          <w:lang w:val="en-US" w:eastAsia="zh-CN"/>
        </w:rPr>
        <w:t>决议。</w:t>
      </w:r>
    </w:p>
    <w:p w14:paraId="6A827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特此公告。</w:t>
      </w:r>
    </w:p>
    <w:p w14:paraId="3D239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eastAsia" w:ascii="宋体" w:hAnsi="宋体"/>
          <w:sz w:val="24"/>
        </w:rPr>
      </w:pPr>
    </w:p>
    <w:p w14:paraId="0518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eastAsia" w:ascii="宋体" w:hAnsi="宋体"/>
          <w:sz w:val="24"/>
        </w:rPr>
      </w:pPr>
    </w:p>
    <w:p w14:paraId="60AE4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冠昊生物科技股份有限公司董事会</w:t>
      </w:r>
    </w:p>
    <w:p w14:paraId="505089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2026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26</w:t>
      </w:r>
      <w:r>
        <w:rPr>
          <w:sz w:val="24"/>
        </w:rPr>
        <w:t>日</w:t>
      </w:r>
      <w:r>
        <w:rPr>
          <w:rFonts w:hint="eastAsia"/>
          <w:sz w:val="24"/>
          <w:lang w:val="en-US" w:eastAsia="zh-CN"/>
        </w:rPr>
        <w:t xml:space="preserve">       </w:t>
      </w:r>
    </w:p>
    <w:sectPr>
      <w:footerReference r:id="rId3" w:type="even"/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4CB7AF-E941-46D2-B09C-04D35BADF9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76E76A8-CEE8-4872-A93C-1E52FEC875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A382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42D0FDA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zQ4MDZlNWYwNzEwODVkMjAzNjIxM2M2NjM5N2IifQ=="/>
  </w:docVars>
  <w:rsids>
    <w:rsidRoot w:val="00172A27"/>
    <w:rsid w:val="000070CF"/>
    <w:rsid w:val="0001019F"/>
    <w:rsid w:val="00025368"/>
    <w:rsid w:val="00035D5C"/>
    <w:rsid w:val="000364C2"/>
    <w:rsid w:val="00055E41"/>
    <w:rsid w:val="00062EB3"/>
    <w:rsid w:val="00077D67"/>
    <w:rsid w:val="000818BF"/>
    <w:rsid w:val="00082992"/>
    <w:rsid w:val="00083230"/>
    <w:rsid w:val="000A4285"/>
    <w:rsid w:val="000B2FD3"/>
    <w:rsid w:val="000B3710"/>
    <w:rsid w:val="000B510B"/>
    <w:rsid w:val="000C2AC8"/>
    <w:rsid w:val="000D4F3A"/>
    <w:rsid w:val="000E155E"/>
    <w:rsid w:val="000F5091"/>
    <w:rsid w:val="00105B57"/>
    <w:rsid w:val="00132408"/>
    <w:rsid w:val="00135F05"/>
    <w:rsid w:val="001365B7"/>
    <w:rsid w:val="00150E5B"/>
    <w:rsid w:val="00170C94"/>
    <w:rsid w:val="001751BF"/>
    <w:rsid w:val="00183DDA"/>
    <w:rsid w:val="00184F80"/>
    <w:rsid w:val="001872DC"/>
    <w:rsid w:val="0019251D"/>
    <w:rsid w:val="001B28D3"/>
    <w:rsid w:val="001B7F57"/>
    <w:rsid w:val="001C537C"/>
    <w:rsid w:val="001C76CB"/>
    <w:rsid w:val="001D55FB"/>
    <w:rsid w:val="001F5777"/>
    <w:rsid w:val="002160D5"/>
    <w:rsid w:val="0022171B"/>
    <w:rsid w:val="00223BC7"/>
    <w:rsid w:val="00232610"/>
    <w:rsid w:val="00252119"/>
    <w:rsid w:val="002551FA"/>
    <w:rsid w:val="002734FE"/>
    <w:rsid w:val="00273EBF"/>
    <w:rsid w:val="002C6D09"/>
    <w:rsid w:val="002D628D"/>
    <w:rsid w:val="002E15F0"/>
    <w:rsid w:val="002E2494"/>
    <w:rsid w:val="002F14E5"/>
    <w:rsid w:val="002F4052"/>
    <w:rsid w:val="002F6ED0"/>
    <w:rsid w:val="003006AC"/>
    <w:rsid w:val="00317F73"/>
    <w:rsid w:val="003233E7"/>
    <w:rsid w:val="00345C89"/>
    <w:rsid w:val="0036044C"/>
    <w:rsid w:val="0037062E"/>
    <w:rsid w:val="00370ECE"/>
    <w:rsid w:val="00371650"/>
    <w:rsid w:val="0038167A"/>
    <w:rsid w:val="00387F3D"/>
    <w:rsid w:val="003A0C99"/>
    <w:rsid w:val="003A5A57"/>
    <w:rsid w:val="003B2951"/>
    <w:rsid w:val="003D1313"/>
    <w:rsid w:val="003D2250"/>
    <w:rsid w:val="003D474D"/>
    <w:rsid w:val="003D5572"/>
    <w:rsid w:val="003F11BC"/>
    <w:rsid w:val="004013A9"/>
    <w:rsid w:val="004047D5"/>
    <w:rsid w:val="00413897"/>
    <w:rsid w:val="00425DC2"/>
    <w:rsid w:val="00431D3C"/>
    <w:rsid w:val="00441A1B"/>
    <w:rsid w:val="00445FD1"/>
    <w:rsid w:val="0044651E"/>
    <w:rsid w:val="00447BFD"/>
    <w:rsid w:val="00451609"/>
    <w:rsid w:val="004518C4"/>
    <w:rsid w:val="004564FA"/>
    <w:rsid w:val="00462AFD"/>
    <w:rsid w:val="0046528A"/>
    <w:rsid w:val="00466875"/>
    <w:rsid w:val="0047100B"/>
    <w:rsid w:val="004811C5"/>
    <w:rsid w:val="004826BC"/>
    <w:rsid w:val="00486D5E"/>
    <w:rsid w:val="004A0F04"/>
    <w:rsid w:val="004A63C9"/>
    <w:rsid w:val="004B4FA7"/>
    <w:rsid w:val="004C5661"/>
    <w:rsid w:val="004D65EC"/>
    <w:rsid w:val="004F193A"/>
    <w:rsid w:val="004F7F9B"/>
    <w:rsid w:val="00515B8F"/>
    <w:rsid w:val="00523075"/>
    <w:rsid w:val="0054428A"/>
    <w:rsid w:val="005507AD"/>
    <w:rsid w:val="00552B8D"/>
    <w:rsid w:val="00556E30"/>
    <w:rsid w:val="005575B2"/>
    <w:rsid w:val="00573658"/>
    <w:rsid w:val="00591938"/>
    <w:rsid w:val="00592D96"/>
    <w:rsid w:val="005A58DE"/>
    <w:rsid w:val="005C193E"/>
    <w:rsid w:val="005E0390"/>
    <w:rsid w:val="005E7F39"/>
    <w:rsid w:val="005F13F0"/>
    <w:rsid w:val="005F35CD"/>
    <w:rsid w:val="005F7C45"/>
    <w:rsid w:val="00600554"/>
    <w:rsid w:val="00606DB9"/>
    <w:rsid w:val="00612798"/>
    <w:rsid w:val="00623410"/>
    <w:rsid w:val="0064137F"/>
    <w:rsid w:val="00654A9A"/>
    <w:rsid w:val="00655FEE"/>
    <w:rsid w:val="00656329"/>
    <w:rsid w:val="00670389"/>
    <w:rsid w:val="00672885"/>
    <w:rsid w:val="00681D01"/>
    <w:rsid w:val="0068587D"/>
    <w:rsid w:val="00691960"/>
    <w:rsid w:val="006940CA"/>
    <w:rsid w:val="00695755"/>
    <w:rsid w:val="006A084D"/>
    <w:rsid w:val="006B4844"/>
    <w:rsid w:val="006C65BB"/>
    <w:rsid w:val="006D5DF6"/>
    <w:rsid w:val="006D7BF0"/>
    <w:rsid w:val="006E07FA"/>
    <w:rsid w:val="006E68DE"/>
    <w:rsid w:val="006F51CF"/>
    <w:rsid w:val="00707CFF"/>
    <w:rsid w:val="00711597"/>
    <w:rsid w:val="00714FFE"/>
    <w:rsid w:val="007222F6"/>
    <w:rsid w:val="00730E20"/>
    <w:rsid w:val="007369F9"/>
    <w:rsid w:val="00737158"/>
    <w:rsid w:val="00746086"/>
    <w:rsid w:val="00754A42"/>
    <w:rsid w:val="00770518"/>
    <w:rsid w:val="00773F40"/>
    <w:rsid w:val="00774B8B"/>
    <w:rsid w:val="00786992"/>
    <w:rsid w:val="00793875"/>
    <w:rsid w:val="007A38AC"/>
    <w:rsid w:val="007A3BA4"/>
    <w:rsid w:val="007A41B3"/>
    <w:rsid w:val="007B191C"/>
    <w:rsid w:val="007B4173"/>
    <w:rsid w:val="007B4CCA"/>
    <w:rsid w:val="007C3118"/>
    <w:rsid w:val="007C46B7"/>
    <w:rsid w:val="007C6C2B"/>
    <w:rsid w:val="007E0BFB"/>
    <w:rsid w:val="007E18A4"/>
    <w:rsid w:val="007E51DA"/>
    <w:rsid w:val="007E690D"/>
    <w:rsid w:val="007E7221"/>
    <w:rsid w:val="007F47FE"/>
    <w:rsid w:val="00804401"/>
    <w:rsid w:val="00805758"/>
    <w:rsid w:val="00814244"/>
    <w:rsid w:val="00816360"/>
    <w:rsid w:val="00845C7E"/>
    <w:rsid w:val="008630C0"/>
    <w:rsid w:val="00875CD0"/>
    <w:rsid w:val="00886D15"/>
    <w:rsid w:val="00891AA0"/>
    <w:rsid w:val="00895EC7"/>
    <w:rsid w:val="00896ED8"/>
    <w:rsid w:val="008A6F88"/>
    <w:rsid w:val="008C066B"/>
    <w:rsid w:val="008C66B6"/>
    <w:rsid w:val="008C7A4D"/>
    <w:rsid w:val="008E5DFB"/>
    <w:rsid w:val="00906EBE"/>
    <w:rsid w:val="009151A5"/>
    <w:rsid w:val="00923BC5"/>
    <w:rsid w:val="00933028"/>
    <w:rsid w:val="00934A13"/>
    <w:rsid w:val="00935D89"/>
    <w:rsid w:val="00936B5F"/>
    <w:rsid w:val="0094501D"/>
    <w:rsid w:val="00962574"/>
    <w:rsid w:val="009648A0"/>
    <w:rsid w:val="0097074D"/>
    <w:rsid w:val="0098202A"/>
    <w:rsid w:val="00984696"/>
    <w:rsid w:val="009B2B91"/>
    <w:rsid w:val="009C12A2"/>
    <w:rsid w:val="009E23EC"/>
    <w:rsid w:val="00A00BD7"/>
    <w:rsid w:val="00A06BB2"/>
    <w:rsid w:val="00A141C3"/>
    <w:rsid w:val="00A40563"/>
    <w:rsid w:val="00A405AB"/>
    <w:rsid w:val="00A4171F"/>
    <w:rsid w:val="00A45732"/>
    <w:rsid w:val="00A46788"/>
    <w:rsid w:val="00A66EB0"/>
    <w:rsid w:val="00A72BD7"/>
    <w:rsid w:val="00A7398D"/>
    <w:rsid w:val="00A74E03"/>
    <w:rsid w:val="00A87224"/>
    <w:rsid w:val="00A95FE4"/>
    <w:rsid w:val="00AA1D3B"/>
    <w:rsid w:val="00AB0AAC"/>
    <w:rsid w:val="00AB58AD"/>
    <w:rsid w:val="00AD0857"/>
    <w:rsid w:val="00AD0AC3"/>
    <w:rsid w:val="00AF1ADC"/>
    <w:rsid w:val="00AF2140"/>
    <w:rsid w:val="00AF26A1"/>
    <w:rsid w:val="00B0320E"/>
    <w:rsid w:val="00B1023B"/>
    <w:rsid w:val="00B10910"/>
    <w:rsid w:val="00B12CFC"/>
    <w:rsid w:val="00B1645A"/>
    <w:rsid w:val="00B1649D"/>
    <w:rsid w:val="00B2774D"/>
    <w:rsid w:val="00B32D46"/>
    <w:rsid w:val="00B337DD"/>
    <w:rsid w:val="00B35B81"/>
    <w:rsid w:val="00B360A3"/>
    <w:rsid w:val="00B37F0E"/>
    <w:rsid w:val="00B540FC"/>
    <w:rsid w:val="00B5565A"/>
    <w:rsid w:val="00B613CA"/>
    <w:rsid w:val="00B65ACD"/>
    <w:rsid w:val="00B65C65"/>
    <w:rsid w:val="00BA1450"/>
    <w:rsid w:val="00BA66CA"/>
    <w:rsid w:val="00BC7F1B"/>
    <w:rsid w:val="00BD1D1A"/>
    <w:rsid w:val="00BD6C61"/>
    <w:rsid w:val="00BE7FE3"/>
    <w:rsid w:val="00C12F7B"/>
    <w:rsid w:val="00C203EC"/>
    <w:rsid w:val="00C31498"/>
    <w:rsid w:val="00C37037"/>
    <w:rsid w:val="00C4079E"/>
    <w:rsid w:val="00C42A66"/>
    <w:rsid w:val="00C44689"/>
    <w:rsid w:val="00C4643D"/>
    <w:rsid w:val="00C54D44"/>
    <w:rsid w:val="00C6775C"/>
    <w:rsid w:val="00C756C6"/>
    <w:rsid w:val="00C75DB1"/>
    <w:rsid w:val="00C9230F"/>
    <w:rsid w:val="00CB5651"/>
    <w:rsid w:val="00CC303C"/>
    <w:rsid w:val="00CC30BC"/>
    <w:rsid w:val="00CD3A06"/>
    <w:rsid w:val="00CE160E"/>
    <w:rsid w:val="00CE4890"/>
    <w:rsid w:val="00CE5796"/>
    <w:rsid w:val="00D021EE"/>
    <w:rsid w:val="00D03285"/>
    <w:rsid w:val="00D16076"/>
    <w:rsid w:val="00D44B14"/>
    <w:rsid w:val="00D478C7"/>
    <w:rsid w:val="00D66CCD"/>
    <w:rsid w:val="00D70639"/>
    <w:rsid w:val="00D81B52"/>
    <w:rsid w:val="00D84DE5"/>
    <w:rsid w:val="00D873A1"/>
    <w:rsid w:val="00D913C0"/>
    <w:rsid w:val="00D924E1"/>
    <w:rsid w:val="00D95148"/>
    <w:rsid w:val="00DB6732"/>
    <w:rsid w:val="00DC1DC7"/>
    <w:rsid w:val="00DD3F59"/>
    <w:rsid w:val="00DE1943"/>
    <w:rsid w:val="00DF20DC"/>
    <w:rsid w:val="00DF304B"/>
    <w:rsid w:val="00E01193"/>
    <w:rsid w:val="00E06565"/>
    <w:rsid w:val="00E10067"/>
    <w:rsid w:val="00E34529"/>
    <w:rsid w:val="00E428A2"/>
    <w:rsid w:val="00E44D42"/>
    <w:rsid w:val="00E60783"/>
    <w:rsid w:val="00E62C9C"/>
    <w:rsid w:val="00E65E64"/>
    <w:rsid w:val="00E66C9B"/>
    <w:rsid w:val="00E73DE0"/>
    <w:rsid w:val="00E744B1"/>
    <w:rsid w:val="00E77A14"/>
    <w:rsid w:val="00E81621"/>
    <w:rsid w:val="00E817FC"/>
    <w:rsid w:val="00E86535"/>
    <w:rsid w:val="00E875F8"/>
    <w:rsid w:val="00EA1E15"/>
    <w:rsid w:val="00EA352A"/>
    <w:rsid w:val="00EB1BC4"/>
    <w:rsid w:val="00EB2E65"/>
    <w:rsid w:val="00ED2E87"/>
    <w:rsid w:val="00EE40F0"/>
    <w:rsid w:val="00F064E4"/>
    <w:rsid w:val="00F07DAC"/>
    <w:rsid w:val="00F121FC"/>
    <w:rsid w:val="00F16BA8"/>
    <w:rsid w:val="00F31CAD"/>
    <w:rsid w:val="00F34E15"/>
    <w:rsid w:val="00F400ED"/>
    <w:rsid w:val="00F64031"/>
    <w:rsid w:val="00F72357"/>
    <w:rsid w:val="00F76871"/>
    <w:rsid w:val="00F805A4"/>
    <w:rsid w:val="00F8308D"/>
    <w:rsid w:val="00F84F27"/>
    <w:rsid w:val="00F9338D"/>
    <w:rsid w:val="00F938E9"/>
    <w:rsid w:val="00FA0816"/>
    <w:rsid w:val="00FA45AE"/>
    <w:rsid w:val="00FA6D68"/>
    <w:rsid w:val="00FB76B8"/>
    <w:rsid w:val="00FC2719"/>
    <w:rsid w:val="00FF3734"/>
    <w:rsid w:val="04700DA8"/>
    <w:rsid w:val="04A543E4"/>
    <w:rsid w:val="05766F28"/>
    <w:rsid w:val="085E53BC"/>
    <w:rsid w:val="09205A07"/>
    <w:rsid w:val="0A206DCD"/>
    <w:rsid w:val="0BA457F7"/>
    <w:rsid w:val="0BA47589"/>
    <w:rsid w:val="0F1123A3"/>
    <w:rsid w:val="0F9D4A1B"/>
    <w:rsid w:val="12FA65E2"/>
    <w:rsid w:val="153145C9"/>
    <w:rsid w:val="15D33A5D"/>
    <w:rsid w:val="15E46F00"/>
    <w:rsid w:val="163D2AB4"/>
    <w:rsid w:val="1A654388"/>
    <w:rsid w:val="1EFF2FFD"/>
    <w:rsid w:val="2043516B"/>
    <w:rsid w:val="20786EA5"/>
    <w:rsid w:val="22B631AC"/>
    <w:rsid w:val="24057A7A"/>
    <w:rsid w:val="278542BB"/>
    <w:rsid w:val="28243AD4"/>
    <w:rsid w:val="29015351"/>
    <w:rsid w:val="29D1468A"/>
    <w:rsid w:val="2CE20C87"/>
    <w:rsid w:val="2D572346"/>
    <w:rsid w:val="2FA22140"/>
    <w:rsid w:val="2FD7142C"/>
    <w:rsid w:val="30154F51"/>
    <w:rsid w:val="33CB7E40"/>
    <w:rsid w:val="34F77B28"/>
    <w:rsid w:val="35774B61"/>
    <w:rsid w:val="35D20537"/>
    <w:rsid w:val="39F23A32"/>
    <w:rsid w:val="3BA24031"/>
    <w:rsid w:val="3BF319C3"/>
    <w:rsid w:val="3FD84EFF"/>
    <w:rsid w:val="400806ED"/>
    <w:rsid w:val="417D0085"/>
    <w:rsid w:val="45E666F2"/>
    <w:rsid w:val="48580F04"/>
    <w:rsid w:val="4AAA3786"/>
    <w:rsid w:val="4AFD3010"/>
    <w:rsid w:val="4DF711BF"/>
    <w:rsid w:val="53A60F32"/>
    <w:rsid w:val="54CB48A4"/>
    <w:rsid w:val="5512108E"/>
    <w:rsid w:val="56066443"/>
    <w:rsid w:val="5D8365CC"/>
    <w:rsid w:val="603958D5"/>
    <w:rsid w:val="66871B3A"/>
    <w:rsid w:val="679240A1"/>
    <w:rsid w:val="67ED0ED9"/>
    <w:rsid w:val="6AD06444"/>
    <w:rsid w:val="6EB02F99"/>
    <w:rsid w:val="6F0642DD"/>
    <w:rsid w:val="6F855CD4"/>
    <w:rsid w:val="70CD22E2"/>
    <w:rsid w:val="71D7039B"/>
    <w:rsid w:val="733B7751"/>
    <w:rsid w:val="73904FE5"/>
    <w:rsid w:val="752D45C7"/>
    <w:rsid w:val="76733229"/>
    <w:rsid w:val="77412C06"/>
    <w:rsid w:val="78C11F96"/>
    <w:rsid w:val="7AC73191"/>
    <w:rsid w:val="7AEA5A84"/>
    <w:rsid w:val="7AF679AD"/>
    <w:rsid w:val="7BB96FE3"/>
    <w:rsid w:val="7BC55139"/>
    <w:rsid w:val="7F2C4E05"/>
    <w:rsid w:val="7F60324E"/>
    <w:rsid w:val="7FBB0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8">
    <w:name w:val="annotation subject"/>
    <w:basedOn w:val="3"/>
    <w:next w:val="3"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脚 字符"/>
    <w:link w:val="6"/>
    <w:autoRedefine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7"/>
    <w:autoRedefine/>
    <w:qFormat/>
    <w:uiPriority w:val="99"/>
    <w:rPr>
      <w:kern w:val="2"/>
      <w:sz w:val="18"/>
      <w:szCs w:val="18"/>
    </w:rPr>
  </w:style>
  <w:style w:type="paragraph" w:customStyle="1" w:styleId="16">
    <w:name w:val="1 Char"/>
    <w:basedOn w:val="1"/>
    <w:autoRedefine/>
    <w:qFormat/>
    <w:uiPriority w:val="0"/>
  </w:style>
  <w:style w:type="paragraph" w:customStyle="1" w:styleId="17">
    <w:name w:val=" Char"/>
    <w:basedOn w:val="1"/>
    <w:autoRedefine/>
    <w:qFormat/>
    <w:uiPriority w:val="0"/>
  </w:style>
  <w:style w:type="paragraph" w:customStyle="1" w:styleId="18">
    <w:name w:val="Chapter"/>
    <w:next w:val="1"/>
    <w:autoRedefine/>
    <w:qFormat/>
    <w:uiPriority w:val="99"/>
    <w:pPr>
      <w:keepNext/>
      <w:keepLines/>
      <w:widowControl w:val="0"/>
      <w:spacing w:before="300" w:after="300" w:line="241" w:lineRule="auto"/>
      <w:jc w:val="both"/>
    </w:pPr>
    <w:rPr>
      <w:rFonts w:ascii="Times New Roman" w:hAnsi="Times New Roman" w:eastAsia="宋体" w:cs="Times New Roman"/>
      <w:b/>
      <w:bCs/>
      <w:kern w:val="28"/>
      <w:sz w:val="24"/>
      <w:szCs w:val="24"/>
      <w:lang w:val="en-US" w:eastAsia="zh-CN" w:bidi="ar-SA"/>
    </w:rPr>
  </w:style>
  <w:style w:type="paragraph" w:customStyle="1" w:styleId="19">
    <w:name w:val=" Char Char Char Char"/>
    <w:basedOn w:val="1"/>
    <w:autoRedefine/>
    <w:qFormat/>
    <w:uiPriority w:val="0"/>
    <w:pPr>
      <w:widowControl/>
      <w:spacing w:before="312" w:beforeLines="100" w:after="160" w:afterLines="0" w:line="240" w:lineRule="exact"/>
      <w:jc w:val="left"/>
    </w:pPr>
    <w:rPr>
      <w:rFonts w:ascii="Verdana" w:hAnsi="Verdana"/>
      <w:kern w:val="0"/>
      <w:sz w:val="32"/>
      <w:szCs w:val="32"/>
      <w:lang w:eastAsia="en-US"/>
    </w:rPr>
  </w:style>
  <w:style w:type="paragraph" w:customStyle="1" w:styleId="2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1384</Words>
  <Characters>1494</Characters>
  <Lines>10</Lines>
  <Paragraphs>2</Paragraphs>
  <TotalTime>0</TotalTime>
  <ScaleCrop>false</ScaleCrop>
  <LinksUpToDate>false</LinksUpToDate>
  <CharactersWithSpaces>1522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2016-12-07T07:12:00Z</dcterms:created>
  <dc:creator>User</dc:creator>
  <cp:lastModifiedBy>李群</cp:lastModifiedBy>
  <cp:lastPrinted>2025-04-21T15:42:00Z</cp:lastPrinted>
  <dcterms:modified xsi:type="dcterms:W3CDTF">2026-03-24T12:37:45Z</dcterms:modified>
  <dc:title>证券代码：300238      证券简称：冠昊生物       公告编号：2011-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AB45AC1A61DF41F09CCF890C8128B683_13</vt:lpwstr>
  </property>
  <property fmtid="{D5CDD505-2E9C-101B-9397-08002B2CF9AE}" pid="4" name="KSOTemplateDocerSaveRecord">
    <vt:lpwstr>eyJoZGlkIjoiYWRlOTk1ZDM4MjkzZjgxMjZiN2M3ZjNmNDQ5NGIzZGYiLCJ1c2VySWQiOiIzNDI3ODI2OTEifQ==</vt:lpwstr>
  </property>
</Properties>
</file>