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8218" w14:textId="77777777" w:rsidR="00515072" w:rsidRDefault="00000000">
      <w:pPr>
        <w:tabs>
          <w:tab w:val="left" w:pos="195"/>
        </w:tabs>
        <w:spacing w:line="500" w:lineRule="exact"/>
        <w:jc w:val="center"/>
        <w:rPr>
          <w:bCs/>
          <w:sz w:val="24"/>
        </w:rPr>
      </w:pPr>
      <w:bookmarkStart w:id="0" w:name="_Hlk282766308"/>
      <w:r>
        <w:rPr>
          <w:kern w:val="0"/>
          <w:sz w:val="24"/>
        </w:rPr>
        <w:t>证券代码：</w:t>
      </w:r>
      <w:r>
        <w:rPr>
          <w:kern w:val="0"/>
          <w:sz w:val="24"/>
        </w:rPr>
        <w:t xml:space="preserve">300238         </w:t>
      </w:r>
      <w:r>
        <w:rPr>
          <w:kern w:val="0"/>
          <w:sz w:val="24"/>
        </w:rPr>
        <w:t>证券简称：冠</w:t>
      </w:r>
      <w:proofErr w:type="gramStart"/>
      <w:r>
        <w:rPr>
          <w:kern w:val="0"/>
          <w:sz w:val="24"/>
        </w:rPr>
        <w:t>昊</w:t>
      </w:r>
      <w:proofErr w:type="gramEnd"/>
      <w:r>
        <w:rPr>
          <w:kern w:val="0"/>
          <w:sz w:val="24"/>
        </w:rPr>
        <w:t>生物</w:t>
      </w:r>
      <w:r>
        <w:rPr>
          <w:kern w:val="0"/>
          <w:sz w:val="24"/>
        </w:rPr>
        <w:t xml:space="preserve">        </w:t>
      </w:r>
      <w:r>
        <w:rPr>
          <w:kern w:val="0"/>
          <w:sz w:val="24"/>
        </w:rPr>
        <w:t>公告编号：</w:t>
      </w:r>
      <w:r>
        <w:rPr>
          <w:rFonts w:hint="eastAsia"/>
          <w:kern w:val="0"/>
          <w:sz w:val="24"/>
        </w:rPr>
        <w:t>2026</w:t>
      </w:r>
      <w:r>
        <w:rPr>
          <w:kern w:val="0"/>
          <w:sz w:val="24"/>
        </w:rPr>
        <w:t>-</w:t>
      </w:r>
      <w:r>
        <w:rPr>
          <w:rFonts w:hint="eastAsia"/>
          <w:kern w:val="0"/>
          <w:sz w:val="24"/>
        </w:rPr>
        <w:t>006</w:t>
      </w:r>
    </w:p>
    <w:p w14:paraId="4BA385D2" w14:textId="77777777" w:rsidR="00515072" w:rsidRDefault="00000000">
      <w:pPr>
        <w:tabs>
          <w:tab w:val="left" w:pos="195"/>
        </w:tabs>
        <w:spacing w:beforeLines="200" w:before="624" w:line="500" w:lineRule="exact"/>
        <w:jc w:val="center"/>
        <w:rPr>
          <w:rFonts w:eastAsia="黑体"/>
          <w:bCs/>
          <w:sz w:val="30"/>
          <w:szCs w:val="30"/>
        </w:rPr>
      </w:pPr>
      <w:r>
        <w:rPr>
          <w:rFonts w:eastAsia="黑体"/>
          <w:bCs/>
          <w:sz w:val="30"/>
          <w:szCs w:val="30"/>
        </w:rPr>
        <w:t>冠</w:t>
      </w:r>
      <w:proofErr w:type="gramStart"/>
      <w:r>
        <w:rPr>
          <w:rFonts w:eastAsia="黑体"/>
          <w:bCs/>
          <w:sz w:val="30"/>
          <w:szCs w:val="30"/>
        </w:rPr>
        <w:t>昊</w:t>
      </w:r>
      <w:proofErr w:type="gramEnd"/>
      <w:r>
        <w:rPr>
          <w:rFonts w:eastAsia="黑体"/>
          <w:bCs/>
          <w:sz w:val="30"/>
          <w:szCs w:val="30"/>
        </w:rPr>
        <w:t>生物科技股份有限公司</w:t>
      </w:r>
      <w:bookmarkEnd w:id="0"/>
    </w:p>
    <w:p w14:paraId="5B519E7B" w14:textId="77777777" w:rsidR="00515072" w:rsidRDefault="00000000">
      <w:pPr>
        <w:tabs>
          <w:tab w:val="left" w:pos="195"/>
        </w:tabs>
        <w:spacing w:beforeLines="50" w:before="156" w:afterLines="200" w:after="624" w:line="500" w:lineRule="exact"/>
        <w:jc w:val="center"/>
        <w:rPr>
          <w:kern w:val="0"/>
          <w:sz w:val="24"/>
        </w:rPr>
      </w:pPr>
      <w:r>
        <w:rPr>
          <w:rFonts w:eastAsia="黑体" w:hint="eastAsia"/>
          <w:bCs/>
          <w:sz w:val="30"/>
          <w:szCs w:val="30"/>
        </w:rPr>
        <w:t>关于公司</w:t>
      </w:r>
      <w:r>
        <w:rPr>
          <w:rFonts w:eastAsia="黑体" w:hint="eastAsia"/>
          <w:b/>
          <w:sz w:val="30"/>
          <w:szCs w:val="30"/>
        </w:rPr>
        <w:t>2025</w:t>
      </w:r>
      <w:r>
        <w:rPr>
          <w:rFonts w:eastAsia="黑体" w:hint="eastAsia"/>
          <w:bCs/>
          <w:sz w:val="30"/>
          <w:szCs w:val="30"/>
        </w:rPr>
        <w:t>年度计提减值准备及核销资产的公告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515072" w14:paraId="73EE598F" w14:textId="77777777">
        <w:trPr>
          <w:trHeight w:val="1092"/>
        </w:trPr>
        <w:tc>
          <w:tcPr>
            <w:tcW w:w="8460" w:type="dxa"/>
          </w:tcPr>
          <w:p w14:paraId="6539C2AD" w14:textId="77777777" w:rsidR="00515072" w:rsidRDefault="00000000">
            <w:pPr>
              <w:autoSpaceDE w:val="0"/>
              <w:autoSpaceDN w:val="0"/>
              <w:adjustRightInd w:val="0"/>
              <w:spacing w:line="500" w:lineRule="exact"/>
              <w:ind w:firstLineChars="200" w:firstLine="480"/>
              <w:jc w:val="left"/>
              <w:rPr>
                <w:kern w:val="0"/>
                <w:sz w:val="24"/>
              </w:rPr>
            </w:pPr>
            <w:r>
              <w:rPr>
                <w:kern w:val="0"/>
                <w:sz w:val="24"/>
              </w:rPr>
              <w:t>本公司及董事会全体人员保证信息披露的内容真实、准确和完整，没有虚假记载、误导性陈述或者重大遗漏。</w:t>
            </w:r>
          </w:p>
        </w:tc>
      </w:tr>
    </w:tbl>
    <w:p w14:paraId="19EEC6AD" w14:textId="77777777" w:rsidR="00515072" w:rsidRDefault="00000000">
      <w:pPr>
        <w:spacing w:line="500" w:lineRule="exact"/>
        <w:ind w:firstLineChars="200" w:firstLine="480"/>
        <w:rPr>
          <w:sz w:val="24"/>
        </w:rPr>
      </w:pPr>
      <w:r>
        <w:rPr>
          <w:rFonts w:hint="eastAsia"/>
          <w:sz w:val="24"/>
        </w:rPr>
        <w:t>冠</w:t>
      </w:r>
      <w:proofErr w:type="gramStart"/>
      <w:r>
        <w:rPr>
          <w:rFonts w:hint="eastAsia"/>
          <w:sz w:val="24"/>
        </w:rPr>
        <w:t>昊</w:t>
      </w:r>
      <w:proofErr w:type="gramEnd"/>
      <w:r>
        <w:rPr>
          <w:rFonts w:hint="eastAsia"/>
          <w:sz w:val="24"/>
        </w:rPr>
        <w:t>生物科技股份有限公司（以下简称“公司”）根据《深圳证券交易所上市公司自律监管指引第</w:t>
      </w:r>
      <w:r>
        <w:rPr>
          <w:sz w:val="24"/>
        </w:rPr>
        <w:t>2</w:t>
      </w:r>
      <w:r>
        <w:rPr>
          <w:rFonts w:hint="eastAsia"/>
          <w:sz w:val="24"/>
        </w:rPr>
        <w:t>号</w:t>
      </w:r>
      <w:r>
        <w:rPr>
          <w:rFonts w:ascii="宋体" w:hAnsi="宋体" w:cs="宋体" w:hint="eastAsia"/>
          <w:sz w:val="24"/>
        </w:rPr>
        <w:t>——</w:t>
      </w:r>
      <w:r>
        <w:rPr>
          <w:rFonts w:hint="eastAsia"/>
          <w:sz w:val="24"/>
        </w:rPr>
        <w:t>创业板上市公司规范运作》《企业会计准则》以及公司相关会计政策等规定，</w:t>
      </w:r>
      <w:r>
        <w:rPr>
          <w:rFonts w:ascii="宋体" w:hAnsi="宋体" w:cs="宋体"/>
          <w:sz w:val="24"/>
        </w:rPr>
        <w:t>对合并报表范围内</w:t>
      </w:r>
      <w:r>
        <w:rPr>
          <w:rFonts w:hint="eastAsia"/>
          <w:sz w:val="24"/>
        </w:rPr>
        <w:t>2025</w:t>
      </w:r>
      <w:r>
        <w:rPr>
          <w:rFonts w:ascii="宋体" w:hAnsi="宋体" w:cs="宋体"/>
          <w:sz w:val="24"/>
        </w:rPr>
        <w:t>年</w:t>
      </w:r>
      <w:r>
        <w:rPr>
          <w:rFonts w:ascii="宋体" w:hAnsi="宋体" w:cs="宋体" w:hint="eastAsia"/>
          <w:sz w:val="24"/>
        </w:rPr>
        <w:t>度</w:t>
      </w:r>
      <w:r>
        <w:rPr>
          <w:rFonts w:ascii="宋体" w:hAnsi="宋体" w:cs="宋体"/>
          <w:sz w:val="24"/>
        </w:rPr>
        <w:t>末的各类资产进行评估及减值测试，</w:t>
      </w:r>
      <w:r>
        <w:rPr>
          <w:rFonts w:hint="eastAsia"/>
          <w:sz w:val="24"/>
        </w:rPr>
        <w:t>判断存在可能发生减值的迹象，为真实准确的反映公司的财务、资产和经营状况，本着谨慎性原则，计提了资产减值准备，现将本次计提减值准备及核销资产的具体情况公告如下：</w:t>
      </w:r>
    </w:p>
    <w:p w14:paraId="78489AE9" w14:textId="77777777" w:rsidR="00515072" w:rsidRDefault="00000000">
      <w:pPr>
        <w:numPr>
          <w:ilvl w:val="0"/>
          <w:numId w:val="1"/>
        </w:numPr>
        <w:spacing w:line="500" w:lineRule="exact"/>
        <w:ind w:firstLineChars="200" w:firstLine="482"/>
        <w:rPr>
          <w:b/>
          <w:bCs/>
          <w:sz w:val="24"/>
        </w:rPr>
      </w:pPr>
      <w:r>
        <w:rPr>
          <w:rFonts w:hint="eastAsia"/>
          <w:b/>
          <w:bCs/>
          <w:sz w:val="24"/>
        </w:rPr>
        <w:t>本次计提减值准备及核销资产情况概述</w:t>
      </w:r>
    </w:p>
    <w:p w14:paraId="146BC21A" w14:textId="6D8A79BB" w:rsidR="00515072" w:rsidRDefault="00000000">
      <w:pPr>
        <w:spacing w:line="500" w:lineRule="exact"/>
        <w:ind w:firstLineChars="200" w:firstLine="480"/>
        <w:rPr>
          <w:sz w:val="24"/>
        </w:rPr>
      </w:pPr>
      <w:r>
        <w:rPr>
          <w:rFonts w:hint="eastAsia"/>
          <w:sz w:val="24"/>
        </w:rPr>
        <w:t>根据《企业会计准则》等相关规定的要求，为真实准确地反映公司截至</w:t>
      </w:r>
      <w:bookmarkStart w:id="1" w:name="_Hlk112414514"/>
      <w:r>
        <w:rPr>
          <w:rFonts w:hint="eastAsia"/>
          <w:sz w:val="24"/>
        </w:rPr>
        <w:t>2025</w:t>
      </w:r>
      <w:r>
        <w:rPr>
          <w:rFonts w:hint="eastAsia"/>
          <w:sz w:val="24"/>
        </w:rPr>
        <w:t>年</w:t>
      </w:r>
      <w:r>
        <w:rPr>
          <w:sz w:val="24"/>
        </w:rPr>
        <w:t>12</w:t>
      </w:r>
      <w:r>
        <w:rPr>
          <w:rFonts w:hint="eastAsia"/>
          <w:sz w:val="24"/>
        </w:rPr>
        <w:t>月</w:t>
      </w:r>
      <w:r>
        <w:rPr>
          <w:sz w:val="24"/>
        </w:rPr>
        <w:t>31</w:t>
      </w:r>
      <w:r>
        <w:rPr>
          <w:rFonts w:hint="eastAsia"/>
          <w:sz w:val="24"/>
        </w:rPr>
        <w:t>日的财务状况及</w:t>
      </w:r>
      <w:r>
        <w:rPr>
          <w:rFonts w:hint="eastAsia"/>
          <w:sz w:val="24"/>
        </w:rPr>
        <w:t>2025</w:t>
      </w:r>
      <w:r>
        <w:rPr>
          <w:rFonts w:hint="eastAsia"/>
          <w:sz w:val="24"/>
        </w:rPr>
        <w:t>年度的经营成果</w:t>
      </w:r>
      <w:bookmarkEnd w:id="1"/>
      <w:r>
        <w:rPr>
          <w:rFonts w:hint="eastAsia"/>
          <w:sz w:val="24"/>
        </w:rPr>
        <w:t>，本着审慎原则，公司对截止</w:t>
      </w:r>
      <w:r>
        <w:rPr>
          <w:rFonts w:hint="eastAsia"/>
          <w:sz w:val="24"/>
        </w:rPr>
        <w:t>2025</w:t>
      </w:r>
      <w:r>
        <w:rPr>
          <w:rFonts w:hint="eastAsia"/>
          <w:sz w:val="24"/>
        </w:rPr>
        <w:t>年</w:t>
      </w:r>
      <w:r>
        <w:rPr>
          <w:sz w:val="24"/>
        </w:rPr>
        <w:t>12</w:t>
      </w:r>
      <w:r>
        <w:rPr>
          <w:rFonts w:hint="eastAsia"/>
          <w:sz w:val="24"/>
        </w:rPr>
        <w:t>月</w:t>
      </w:r>
      <w:r>
        <w:rPr>
          <w:sz w:val="24"/>
        </w:rPr>
        <w:t>31</w:t>
      </w:r>
      <w:r>
        <w:rPr>
          <w:rFonts w:hint="eastAsia"/>
          <w:sz w:val="24"/>
        </w:rPr>
        <w:t>日的应收账款、预付账款、其他应收款、存货等各类资产进行了减值测试，对可能存在减值迹象的资产计提减值准备。经测试，公司各项减值准备本年度合计计提</w:t>
      </w:r>
      <w:r>
        <w:rPr>
          <w:rFonts w:hint="eastAsia"/>
          <w:sz w:val="24"/>
        </w:rPr>
        <w:t>368.</w:t>
      </w:r>
      <w:r w:rsidR="00C313B6">
        <w:rPr>
          <w:rFonts w:hint="eastAsia"/>
          <w:sz w:val="24"/>
        </w:rPr>
        <w:t>30</w:t>
      </w:r>
      <w:r>
        <w:rPr>
          <w:rFonts w:hint="eastAsia"/>
          <w:sz w:val="24"/>
        </w:rPr>
        <w:t>万元，核销资产</w:t>
      </w:r>
      <w:r>
        <w:rPr>
          <w:rFonts w:hint="eastAsia"/>
          <w:sz w:val="24"/>
        </w:rPr>
        <w:t>81.23</w:t>
      </w:r>
      <w:r>
        <w:rPr>
          <w:rFonts w:hint="eastAsia"/>
          <w:sz w:val="24"/>
        </w:rPr>
        <w:t>万元。具体如下：</w:t>
      </w:r>
    </w:p>
    <w:tbl>
      <w:tblPr>
        <w:tblW w:w="8364"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395"/>
        <w:gridCol w:w="3969"/>
      </w:tblGrid>
      <w:tr w:rsidR="00515072" w14:paraId="5A2B3488" w14:textId="77777777">
        <w:trPr>
          <w:trHeight w:val="397"/>
          <w:tblHeader/>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14:paraId="3B4C3D07" w14:textId="77777777" w:rsidR="00515072" w:rsidRDefault="00000000">
            <w:pPr>
              <w:spacing w:before="40" w:after="40" w:line="240" w:lineRule="exact"/>
              <w:jc w:val="center"/>
              <w:rPr>
                <w:rFonts w:ascii="宋体" w:hAnsi="宋体" w:cs="宋体" w:hint="eastAsia"/>
                <w:sz w:val="24"/>
              </w:rPr>
            </w:pPr>
            <w:r>
              <w:rPr>
                <w:rFonts w:ascii="宋体" w:hAnsi="宋体" w:cs="宋体"/>
                <w:sz w:val="24"/>
              </w:rPr>
              <w:t>项目</w:t>
            </w:r>
          </w:p>
        </w:tc>
        <w:tc>
          <w:tcPr>
            <w:tcW w:w="3969" w:type="dxa"/>
            <w:tcBorders>
              <w:top w:val="single" w:sz="2" w:space="0" w:color="auto"/>
              <w:left w:val="single" w:sz="2" w:space="0" w:color="auto"/>
              <w:bottom w:val="single" w:sz="2" w:space="0" w:color="auto"/>
              <w:right w:val="single" w:sz="2" w:space="0" w:color="auto"/>
            </w:tcBorders>
            <w:shd w:val="clear" w:color="auto" w:fill="D3D3D3"/>
            <w:vAlign w:val="center"/>
          </w:tcPr>
          <w:p w14:paraId="76CE0F3B" w14:textId="77777777" w:rsidR="00515072" w:rsidRDefault="00000000">
            <w:pPr>
              <w:spacing w:before="40" w:after="40" w:line="240" w:lineRule="exact"/>
              <w:jc w:val="center"/>
              <w:rPr>
                <w:rFonts w:ascii="宋体" w:hAnsi="宋体" w:cs="宋体" w:hint="eastAsia"/>
                <w:sz w:val="24"/>
              </w:rPr>
            </w:pPr>
            <w:r>
              <w:rPr>
                <w:rFonts w:ascii="宋体" w:hAnsi="宋体" w:cs="宋体" w:hint="eastAsia"/>
                <w:sz w:val="24"/>
              </w:rPr>
              <w:t>计提金额（万元）</w:t>
            </w:r>
          </w:p>
        </w:tc>
      </w:tr>
      <w:tr w:rsidR="00515072" w14:paraId="46BD9CF8" w14:textId="77777777">
        <w:trPr>
          <w:trHeight w:val="397"/>
        </w:trPr>
        <w:tc>
          <w:tcPr>
            <w:tcW w:w="4395" w:type="dxa"/>
            <w:tcBorders>
              <w:top w:val="single" w:sz="2" w:space="0" w:color="auto"/>
              <w:left w:val="single" w:sz="2" w:space="0" w:color="auto"/>
              <w:bottom w:val="single" w:sz="2" w:space="0" w:color="auto"/>
              <w:right w:val="single" w:sz="2" w:space="0" w:color="auto"/>
            </w:tcBorders>
            <w:vAlign w:val="center"/>
          </w:tcPr>
          <w:p w14:paraId="468B270A" w14:textId="77777777" w:rsidR="00515072" w:rsidRDefault="00000000">
            <w:pPr>
              <w:spacing w:before="40" w:after="40" w:line="240" w:lineRule="exact"/>
              <w:jc w:val="left"/>
              <w:rPr>
                <w:rFonts w:ascii="宋体" w:hAnsi="宋体" w:cs="宋体" w:hint="eastAsia"/>
                <w:sz w:val="24"/>
              </w:rPr>
            </w:pPr>
            <w:r>
              <w:rPr>
                <w:rFonts w:ascii="宋体" w:hAnsi="宋体" w:cs="宋体" w:hint="eastAsia"/>
                <w:sz w:val="24"/>
              </w:rPr>
              <w:t>应收账款坏账准备</w:t>
            </w:r>
          </w:p>
        </w:tc>
        <w:tc>
          <w:tcPr>
            <w:tcW w:w="3969" w:type="dxa"/>
            <w:tcBorders>
              <w:top w:val="single" w:sz="2" w:space="0" w:color="auto"/>
              <w:left w:val="single" w:sz="2" w:space="0" w:color="auto"/>
              <w:bottom w:val="single" w:sz="2" w:space="0" w:color="auto"/>
              <w:right w:val="single" w:sz="2" w:space="0" w:color="auto"/>
            </w:tcBorders>
            <w:vAlign w:val="bottom"/>
          </w:tcPr>
          <w:p w14:paraId="6365781B" w14:textId="77777777" w:rsidR="00515072" w:rsidRDefault="00000000">
            <w:pPr>
              <w:widowControl/>
              <w:jc w:val="right"/>
              <w:textAlignment w:val="bottom"/>
              <w:rPr>
                <w:sz w:val="24"/>
              </w:rPr>
            </w:pPr>
            <w:r>
              <w:rPr>
                <w:color w:val="000000"/>
                <w:kern w:val="0"/>
                <w:sz w:val="24"/>
                <w:lang w:bidi="ar"/>
              </w:rPr>
              <w:t>153.29</w:t>
            </w:r>
          </w:p>
        </w:tc>
      </w:tr>
      <w:tr w:rsidR="00515072" w14:paraId="7C7754AC" w14:textId="77777777">
        <w:trPr>
          <w:trHeight w:val="397"/>
        </w:trPr>
        <w:tc>
          <w:tcPr>
            <w:tcW w:w="4395" w:type="dxa"/>
            <w:tcBorders>
              <w:top w:val="single" w:sz="2" w:space="0" w:color="auto"/>
              <w:left w:val="single" w:sz="2" w:space="0" w:color="auto"/>
              <w:bottom w:val="single" w:sz="2" w:space="0" w:color="auto"/>
              <w:right w:val="single" w:sz="2" w:space="0" w:color="auto"/>
            </w:tcBorders>
            <w:vAlign w:val="center"/>
          </w:tcPr>
          <w:p w14:paraId="733BA4EA" w14:textId="77777777" w:rsidR="00515072" w:rsidRDefault="00000000">
            <w:pPr>
              <w:spacing w:before="40" w:after="40" w:line="240" w:lineRule="exact"/>
              <w:jc w:val="left"/>
              <w:rPr>
                <w:rFonts w:ascii="宋体" w:hAnsi="宋体" w:cs="宋体" w:hint="eastAsia"/>
                <w:sz w:val="24"/>
              </w:rPr>
            </w:pPr>
            <w:r>
              <w:rPr>
                <w:rFonts w:ascii="宋体" w:hAnsi="宋体" w:cs="宋体" w:hint="eastAsia"/>
                <w:sz w:val="24"/>
              </w:rPr>
              <w:t>其他应收款坏账准备</w:t>
            </w:r>
          </w:p>
        </w:tc>
        <w:tc>
          <w:tcPr>
            <w:tcW w:w="3969" w:type="dxa"/>
            <w:tcBorders>
              <w:top w:val="single" w:sz="2" w:space="0" w:color="auto"/>
              <w:left w:val="single" w:sz="2" w:space="0" w:color="auto"/>
              <w:bottom w:val="single" w:sz="2" w:space="0" w:color="auto"/>
              <w:right w:val="single" w:sz="2" w:space="0" w:color="auto"/>
            </w:tcBorders>
            <w:vAlign w:val="bottom"/>
          </w:tcPr>
          <w:p w14:paraId="5232A882" w14:textId="77777777" w:rsidR="00515072" w:rsidRDefault="00000000">
            <w:pPr>
              <w:widowControl/>
              <w:jc w:val="right"/>
              <w:textAlignment w:val="bottom"/>
              <w:rPr>
                <w:sz w:val="24"/>
              </w:rPr>
            </w:pPr>
            <w:r>
              <w:rPr>
                <w:color w:val="000000"/>
                <w:kern w:val="0"/>
                <w:sz w:val="24"/>
                <w:lang w:bidi="ar"/>
              </w:rPr>
              <w:t>24.81</w:t>
            </w:r>
          </w:p>
        </w:tc>
      </w:tr>
      <w:tr w:rsidR="00515072" w14:paraId="14DCFDF7" w14:textId="77777777">
        <w:trPr>
          <w:trHeight w:val="397"/>
        </w:trPr>
        <w:tc>
          <w:tcPr>
            <w:tcW w:w="4395" w:type="dxa"/>
            <w:tcBorders>
              <w:top w:val="single" w:sz="2" w:space="0" w:color="auto"/>
              <w:left w:val="single" w:sz="2" w:space="0" w:color="auto"/>
              <w:bottom w:val="single" w:sz="2" w:space="0" w:color="auto"/>
              <w:right w:val="single" w:sz="2" w:space="0" w:color="auto"/>
            </w:tcBorders>
            <w:shd w:val="clear" w:color="auto" w:fill="D3D3D3"/>
            <w:vAlign w:val="center"/>
          </w:tcPr>
          <w:p w14:paraId="08F83556" w14:textId="77777777" w:rsidR="00515072" w:rsidRDefault="00000000">
            <w:pPr>
              <w:spacing w:before="40" w:after="40" w:line="240" w:lineRule="exact"/>
              <w:jc w:val="center"/>
              <w:rPr>
                <w:rFonts w:ascii="宋体" w:hAnsi="宋体" w:cs="宋体" w:hint="eastAsia"/>
                <w:sz w:val="24"/>
              </w:rPr>
            </w:pPr>
            <w:r>
              <w:rPr>
                <w:rFonts w:ascii="宋体" w:hAnsi="宋体" w:cs="宋体" w:hint="eastAsia"/>
                <w:sz w:val="24"/>
              </w:rPr>
              <w:t>信用减值损失小计</w:t>
            </w:r>
          </w:p>
        </w:tc>
        <w:tc>
          <w:tcPr>
            <w:tcW w:w="3969" w:type="dxa"/>
            <w:tcBorders>
              <w:top w:val="single" w:sz="2" w:space="0" w:color="auto"/>
              <w:left w:val="single" w:sz="2" w:space="0" w:color="auto"/>
              <w:bottom w:val="single" w:sz="2" w:space="0" w:color="auto"/>
              <w:right w:val="single" w:sz="2" w:space="0" w:color="auto"/>
            </w:tcBorders>
            <w:shd w:val="clear" w:color="auto" w:fill="D3D3D3"/>
            <w:vAlign w:val="bottom"/>
          </w:tcPr>
          <w:p w14:paraId="3522D89E" w14:textId="79A32FF4" w:rsidR="00515072" w:rsidRPr="00C313B6" w:rsidRDefault="00000000">
            <w:pPr>
              <w:widowControl/>
              <w:jc w:val="right"/>
              <w:textAlignment w:val="bottom"/>
              <w:rPr>
                <w:sz w:val="24"/>
                <w:highlight w:val="yellow"/>
              </w:rPr>
            </w:pPr>
            <w:r w:rsidRPr="00C313B6">
              <w:rPr>
                <w:color w:val="000000"/>
                <w:kern w:val="0"/>
                <w:sz w:val="24"/>
                <w:lang w:bidi="ar"/>
              </w:rPr>
              <w:t>178.</w:t>
            </w:r>
            <w:r w:rsidR="00C313B6" w:rsidRPr="00C313B6">
              <w:rPr>
                <w:rFonts w:hint="eastAsia"/>
                <w:color w:val="000000"/>
                <w:kern w:val="0"/>
                <w:sz w:val="24"/>
                <w:lang w:bidi="ar"/>
              </w:rPr>
              <w:t>10</w:t>
            </w:r>
          </w:p>
        </w:tc>
      </w:tr>
      <w:tr w:rsidR="00515072" w14:paraId="691B8C58" w14:textId="77777777">
        <w:trPr>
          <w:trHeight w:val="397"/>
        </w:trPr>
        <w:tc>
          <w:tcPr>
            <w:tcW w:w="4395" w:type="dxa"/>
            <w:tcBorders>
              <w:top w:val="single" w:sz="2" w:space="0" w:color="auto"/>
              <w:left w:val="single" w:sz="2" w:space="0" w:color="auto"/>
              <w:bottom w:val="single" w:sz="2" w:space="0" w:color="auto"/>
              <w:right w:val="single" w:sz="2" w:space="0" w:color="auto"/>
            </w:tcBorders>
            <w:vAlign w:val="center"/>
          </w:tcPr>
          <w:p w14:paraId="7D07BB07" w14:textId="77777777" w:rsidR="00515072" w:rsidRDefault="00000000">
            <w:pPr>
              <w:spacing w:before="40" w:after="40" w:line="240" w:lineRule="exact"/>
              <w:rPr>
                <w:rFonts w:ascii="宋体" w:hAnsi="宋体" w:cs="宋体" w:hint="eastAsia"/>
                <w:sz w:val="24"/>
              </w:rPr>
            </w:pPr>
            <w:r>
              <w:rPr>
                <w:rFonts w:ascii="宋体" w:hAnsi="宋体" w:cs="宋体"/>
                <w:sz w:val="24"/>
              </w:rPr>
              <w:t>存货跌价损失</w:t>
            </w:r>
          </w:p>
        </w:tc>
        <w:tc>
          <w:tcPr>
            <w:tcW w:w="3969" w:type="dxa"/>
            <w:tcBorders>
              <w:top w:val="single" w:sz="2" w:space="0" w:color="auto"/>
              <w:left w:val="single" w:sz="2" w:space="0" w:color="auto"/>
              <w:bottom w:val="single" w:sz="2" w:space="0" w:color="auto"/>
              <w:right w:val="single" w:sz="2" w:space="0" w:color="auto"/>
            </w:tcBorders>
            <w:vAlign w:val="bottom"/>
          </w:tcPr>
          <w:p w14:paraId="2C9EF4A1" w14:textId="77777777" w:rsidR="00515072" w:rsidRDefault="00000000">
            <w:pPr>
              <w:widowControl/>
              <w:jc w:val="right"/>
              <w:textAlignment w:val="bottom"/>
              <w:rPr>
                <w:color w:val="000000"/>
                <w:sz w:val="24"/>
              </w:rPr>
            </w:pPr>
            <w:r>
              <w:rPr>
                <w:color w:val="000000"/>
                <w:kern w:val="0"/>
                <w:sz w:val="24"/>
                <w:lang w:bidi="ar"/>
              </w:rPr>
              <w:t>190.20</w:t>
            </w:r>
          </w:p>
        </w:tc>
      </w:tr>
      <w:tr w:rsidR="00515072" w14:paraId="59B9A9AD" w14:textId="77777777">
        <w:trPr>
          <w:trHeight w:val="397"/>
        </w:trPr>
        <w:tc>
          <w:tcPr>
            <w:tcW w:w="439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DFD85D0" w14:textId="77777777" w:rsidR="00515072" w:rsidRDefault="00000000">
            <w:pPr>
              <w:spacing w:before="40" w:after="40" w:line="240" w:lineRule="exact"/>
              <w:jc w:val="center"/>
              <w:rPr>
                <w:rFonts w:ascii="宋体" w:hAnsi="宋体" w:cs="宋体" w:hint="eastAsia"/>
                <w:sz w:val="24"/>
              </w:rPr>
            </w:pPr>
            <w:bookmarkStart w:id="2" w:name="_Hlk112409128"/>
            <w:r>
              <w:rPr>
                <w:sz w:val="24"/>
              </w:rPr>
              <w:t>资产减值损失</w:t>
            </w:r>
            <w:bookmarkEnd w:id="2"/>
            <w:r>
              <w:rPr>
                <w:rFonts w:hint="eastAsia"/>
                <w:sz w:val="24"/>
              </w:rPr>
              <w:t>小计</w:t>
            </w:r>
          </w:p>
        </w:tc>
        <w:tc>
          <w:tcPr>
            <w:tcW w:w="39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0203755A" w14:textId="77777777" w:rsidR="00515072" w:rsidRDefault="00000000">
            <w:pPr>
              <w:widowControl/>
              <w:jc w:val="right"/>
              <w:textAlignment w:val="bottom"/>
              <w:rPr>
                <w:sz w:val="24"/>
              </w:rPr>
            </w:pPr>
            <w:r>
              <w:rPr>
                <w:color w:val="000000"/>
                <w:kern w:val="0"/>
                <w:sz w:val="24"/>
                <w:lang w:bidi="ar"/>
              </w:rPr>
              <w:t>190.20</w:t>
            </w:r>
          </w:p>
        </w:tc>
      </w:tr>
      <w:tr w:rsidR="00515072" w14:paraId="7A1F357A" w14:textId="77777777">
        <w:trPr>
          <w:trHeight w:val="397"/>
        </w:trPr>
        <w:tc>
          <w:tcPr>
            <w:tcW w:w="439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AF4397" w14:textId="77777777" w:rsidR="00515072" w:rsidRDefault="00000000">
            <w:pPr>
              <w:spacing w:before="40" w:after="40" w:line="240" w:lineRule="exact"/>
              <w:jc w:val="center"/>
              <w:rPr>
                <w:rFonts w:ascii="宋体" w:hAnsi="宋体" w:cs="宋体" w:hint="eastAsia"/>
                <w:sz w:val="24"/>
              </w:rPr>
            </w:pPr>
            <w:r>
              <w:rPr>
                <w:rFonts w:ascii="宋体" w:hAnsi="宋体" w:cs="宋体"/>
                <w:sz w:val="24"/>
              </w:rPr>
              <w:t>合计</w:t>
            </w:r>
          </w:p>
        </w:tc>
        <w:tc>
          <w:tcPr>
            <w:tcW w:w="39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58C0DE5B" w14:textId="12C04CEA" w:rsidR="00515072" w:rsidRDefault="00000000">
            <w:pPr>
              <w:widowControl/>
              <w:jc w:val="right"/>
              <w:textAlignment w:val="bottom"/>
              <w:rPr>
                <w:rFonts w:hint="eastAsia"/>
                <w:sz w:val="24"/>
              </w:rPr>
            </w:pPr>
            <w:r>
              <w:rPr>
                <w:color w:val="000000"/>
                <w:kern w:val="0"/>
                <w:sz w:val="24"/>
                <w:lang w:bidi="ar"/>
              </w:rPr>
              <w:t>368.</w:t>
            </w:r>
            <w:r w:rsidR="00C313B6">
              <w:rPr>
                <w:rFonts w:hint="eastAsia"/>
                <w:color w:val="000000"/>
                <w:kern w:val="0"/>
                <w:sz w:val="24"/>
                <w:lang w:bidi="ar"/>
              </w:rPr>
              <w:t>30</w:t>
            </w:r>
          </w:p>
        </w:tc>
      </w:tr>
    </w:tbl>
    <w:p w14:paraId="1A538328" w14:textId="77777777" w:rsidR="00515072" w:rsidRDefault="00000000">
      <w:pPr>
        <w:numPr>
          <w:ilvl w:val="0"/>
          <w:numId w:val="1"/>
        </w:numPr>
        <w:spacing w:line="500" w:lineRule="exact"/>
        <w:ind w:firstLineChars="200" w:firstLine="482"/>
        <w:rPr>
          <w:b/>
          <w:bCs/>
          <w:sz w:val="24"/>
        </w:rPr>
      </w:pPr>
      <w:r>
        <w:rPr>
          <w:rFonts w:hint="eastAsia"/>
          <w:b/>
          <w:bCs/>
          <w:sz w:val="24"/>
        </w:rPr>
        <w:t>计提减值准备及核销资产的情况及计提方法</w:t>
      </w:r>
      <w:r>
        <w:rPr>
          <w:rFonts w:hint="eastAsia"/>
          <w:b/>
          <w:bCs/>
          <w:sz w:val="24"/>
        </w:rPr>
        <w:t xml:space="preserve"> </w:t>
      </w:r>
    </w:p>
    <w:p w14:paraId="10DB567F" w14:textId="77777777" w:rsidR="00515072" w:rsidRDefault="00000000">
      <w:pPr>
        <w:spacing w:line="500" w:lineRule="exact"/>
        <w:ind w:firstLineChars="200" w:firstLine="480"/>
        <w:rPr>
          <w:sz w:val="24"/>
        </w:rPr>
      </w:pPr>
      <w:r>
        <w:rPr>
          <w:rFonts w:hint="eastAsia"/>
          <w:sz w:val="24"/>
        </w:rPr>
        <w:t>（一）信用减值损失</w:t>
      </w:r>
    </w:p>
    <w:p w14:paraId="49920C1F" w14:textId="77777777" w:rsidR="00515072" w:rsidRDefault="00000000">
      <w:pPr>
        <w:spacing w:line="500" w:lineRule="exact"/>
        <w:ind w:firstLineChars="200" w:firstLine="480"/>
        <w:rPr>
          <w:sz w:val="24"/>
        </w:rPr>
      </w:pPr>
      <w:r>
        <w:rPr>
          <w:sz w:val="24"/>
        </w:rPr>
        <w:lastRenderedPageBreak/>
        <w:t>1</w:t>
      </w:r>
      <w:r>
        <w:rPr>
          <w:sz w:val="24"/>
        </w:rPr>
        <w:t>、</w:t>
      </w:r>
      <w:r>
        <w:rPr>
          <w:rFonts w:hint="eastAsia"/>
          <w:sz w:val="24"/>
        </w:rPr>
        <w:t>应收账款：公司本年度计提应收账款坏账准备</w:t>
      </w:r>
      <w:r>
        <w:rPr>
          <w:rFonts w:hint="eastAsia"/>
          <w:sz w:val="24"/>
        </w:rPr>
        <w:t>153.29</w:t>
      </w:r>
      <w:r>
        <w:rPr>
          <w:rFonts w:hint="eastAsia"/>
          <w:sz w:val="24"/>
        </w:rPr>
        <w:t>万元。</w:t>
      </w:r>
    </w:p>
    <w:p w14:paraId="35D83F85" w14:textId="77777777" w:rsidR="00515072" w:rsidRDefault="00000000">
      <w:pPr>
        <w:spacing w:line="500" w:lineRule="exact"/>
        <w:ind w:firstLineChars="200" w:firstLine="480"/>
        <w:rPr>
          <w:sz w:val="24"/>
        </w:rPr>
      </w:pPr>
      <w:r>
        <w:rPr>
          <w:sz w:val="24"/>
        </w:rPr>
        <w:t>2</w:t>
      </w:r>
      <w:r>
        <w:rPr>
          <w:sz w:val="24"/>
        </w:rPr>
        <w:t>、</w:t>
      </w:r>
      <w:r>
        <w:rPr>
          <w:rFonts w:hint="eastAsia"/>
          <w:sz w:val="24"/>
        </w:rPr>
        <w:t>其他应收款：公司本年度计提其他应收账款坏账准备</w:t>
      </w:r>
      <w:r>
        <w:rPr>
          <w:rFonts w:hint="eastAsia"/>
          <w:sz w:val="24"/>
        </w:rPr>
        <w:t>24.81</w:t>
      </w:r>
      <w:r>
        <w:rPr>
          <w:rFonts w:hint="eastAsia"/>
          <w:sz w:val="24"/>
        </w:rPr>
        <w:t>万元。</w:t>
      </w:r>
    </w:p>
    <w:p w14:paraId="7CAFD91E" w14:textId="77777777" w:rsidR="00515072" w:rsidRDefault="00000000">
      <w:pPr>
        <w:spacing w:line="500" w:lineRule="exact"/>
        <w:ind w:firstLineChars="200" w:firstLine="480"/>
        <w:rPr>
          <w:sz w:val="24"/>
          <w:highlight w:val="yellow"/>
        </w:rPr>
      </w:pPr>
      <w:r>
        <w:rPr>
          <w:rFonts w:hint="eastAsia"/>
          <w:sz w:val="24"/>
        </w:rPr>
        <w:t>计提原则：本公司在每个资产负债表日评估相关金融工具的信用风险自初始确认后是否显著增加，将金融工具发生信用减值的过程分为三个阶段，对于不同阶段的金融工具减值采用不同的会计处理方法：</w:t>
      </w:r>
      <w:r>
        <w:rPr>
          <w:sz w:val="24"/>
        </w:rPr>
        <w:t>（</w:t>
      </w:r>
      <w:r>
        <w:rPr>
          <w:sz w:val="24"/>
        </w:rPr>
        <w:t>1</w:t>
      </w:r>
      <w:r>
        <w:rPr>
          <w:sz w:val="24"/>
        </w:rPr>
        <w:t>）</w:t>
      </w:r>
      <w:r>
        <w:rPr>
          <w:rFonts w:hint="eastAsia"/>
          <w:sz w:val="24"/>
        </w:rPr>
        <w:t>第一阶段，金融工具的信用风险自初始确认后未显著增加的，本公司按照该金融工具未来</w:t>
      </w:r>
      <w:r>
        <w:rPr>
          <w:rFonts w:hint="eastAsia"/>
          <w:sz w:val="24"/>
        </w:rPr>
        <w:t>12</w:t>
      </w:r>
      <w:r>
        <w:rPr>
          <w:rFonts w:hint="eastAsia"/>
          <w:sz w:val="24"/>
        </w:rPr>
        <w:t>个月的预期信用损失计量损失准备，并按照其账面余额（即未扣除减值准备）和实际利率计算利息收入；</w:t>
      </w:r>
      <w:r>
        <w:rPr>
          <w:sz w:val="24"/>
        </w:rPr>
        <w:t>（</w:t>
      </w:r>
      <w:r>
        <w:rPr>
          <w:sz w:val="24"/>
        </w:rPr>
        <w:t>2</w:t>
      </w:r>
      <w:r>
        <w:rPr>
          <w:sz w:val="24"/>
        </w:rPr>
        <w:t>）</w:t>
      </w:r>
      <w:r>
        <w:rPr>
          <w:rFonts w:hint="eastAsia"/>
          <w:sz w:val="24"/>
        </w:rPr>
        <w:t>第二阶段，金融工具的信用风险自初始确认后已显著增加但未发生信用减值的，本公司按照该金融工具整个存续期的预期信用损失计量损失准备，并按照其账面余额和实际利率计算利息收入；</w:t>
      </w:r>
      <w:r>
        <w:rPr>
          <w:sz w:val="24"/>
        </w:rPr>
        <w:t>（</w:t>
      </w:r>
      <w:r>
        <w:rPr>
          <w:sz w:val="24"/>
        </w:rPr>
        <w:t>3</w:t>
      </w:r>
      <w:r>
        <w:rPr>
          <w:sz w:val="24"/>
        </w:rPr>
        <w:t>）</w:t>
      </w:r>
      <w:r>
        <w:rPr>
          <w:rFonts w:hint="eastAsia"/>
          <w:sz w:val="24"/>
        </w:rPr>
        <w:t>第三阶段，初始确认后发生信用减值的，本公司按照该金融工具整个存续期的预期信用损失计量损失准备，并按照其摊余成本（账面</w:t>
      </w:r>
      <w:proofErr w:type="gramStart"/>
      <w:r>
        <w:rPr>
          <w:rFonts w:hint="eastAsia"/>
          <w:sz w:val="24"/>
        </w:rPr>
        <w:t>余额减已计提</w:t>
      </w:r>
      <w:proofErr w:type="gramEnd"/>
      <w:r>
        <w:rPr>
          <w:rFonts w:hint="eastAsia"/>
          <w:sz w:val="24"/>
        </w:rPr>
        <w:t>减值准备）和实际利率计算利息收入。对于由《企业会计准则第</w:t>
      </w:r>
      <w:r>
        <w:rPr>
          <w:rFonts w:hint="eastAsia"/>
          <w:sz w:val="24"/>
        </w:rPr>
        <w:t>14</w:t>
      </w:r>
      <w:r>
        <w:rPr>
          <w:rFonts w:hint="eastAsia"/>
          <w:sz w:val="24"/>
        </w:rPr>
        <w:t>号——收入》规范的交易形成的应收款项（无论是否</w:t>
      </w:r>
      <w:proofErr w:type="gramStart"/>
      <w:r>
        <w:rPr>
          <w:rFonts w:hint="eastAsia"/>
          <w:sz w:val="24"/>
        </w:rPr>
        <w:t>含重大</w:t>
      </w:r>
      <w:proofErr w:type="gramEnd"/>
      <w:r>
        <w:rPr>
          <w:rFonts w:hint="eastAsia"/>
          <w:sz w:val="24"/>
        </w:rPr>
        <w:t>融资成分），以及由《企业会计准则第</w:t>
      </w:r>
      <w:r>
        <w:rPr>
          <w:rFonts w:hint="eastAsia"/>
          <w:sz w:val="24"/>
        </w:rPr>
        <w:t>21</w:t>
      </w:r>
      <w:r>
        <w:rPr>
          <w:rFonts w:hint="eastAsia"/>
          <w:sz w:val="24"/>
        </w:rPr>
        <w:t>号——租赁》规范的租赁应收款，均采用简化方法，即始终按整个存续期预期信用损失计量损失准备。</w:t>
      </w:r>
    </w:p>
    <w:p w14:paraId="181225C1" w14:textId="77777777" w:rsidR="00515072" w:rsidRDefault="00000000">
      <w:pPr>
        <w:spacing w:line="500" w:lineRule="exact"/>
        <w:ind w:firstLineChars="200" w:firstLine="480"/>
        <w:rPr>
          <w:sz w:val="24"/>
        </w:rPr>
      </w:pPr>
      <w:r>
        <w:rPr>
          <w:rFonts w:hint="eastAsia"/>
          <w:sz w:val="24"/>
        </w:rPr>
        <w:t>（二）资产减值损失</w:t>
      </w:r>
    </w:p>
    <w:p w14:paraId="0B3F2606" w14:textId="77777777" w:rsidR="00515072" w:rsidRDefault="00000000">
      <w:pPr>
        <w:spacing w:line="500" w:lineRule="exact"/>
        <w:ind w:firstLineChars="200" w:firstLine="480"/>
        <w:rPr>
          <w:sz w:val="24"/>
        </w:rPr>
      </w:pPr>
      <w:r>
        <w:rPr>
          <w:sz w:val="24"/>
        </w:rPr>
        <w:t>1</w:t>
      </w:r>
      <w:r>
        <w:rPr>
          <w:sz w:val="24"/>
        </w:rPr>
        <w:t>、</w:t>
      </w:r>
      <w:r>
        <w:rPr>
          <w:rFonts w:hint="eastAsia"/>
          <w:sz w:val="24"/>
        </w:rPr>
        <w:t>存货</w:t>
      </w:r>
    </w:p>
    <w:p w14:paraId="10A25D8B" w14:textId="77777777" w:rsidR="00515072" w:rsidRDefault="00000000">
      <w:pPr>
        <w:spacing w:line="500" w:lineRule="exact"/>
        <w:ind w:firstLineChars="200" w:firstLine="480"/>
        <w:rPr>
          <w:sz w:val="24"/>
        </w:rPr>
      </w:pPr>
      <w:r>
        <w:rPr>
          <w:rFonts w:hint="eastAsia"/>
          <w:sz w:val="24"/>
        </w:rPr>
        <w:t>公司本年度计提存货跌价准备</w:t>
      </w:r>
      <w:r>
        <w:rPr>
          <w:rFonts w:hint="eastAsia"/>
          <w:sz w:val="24"/>
        </w:rPr>
        <w:t>190.20</w:t>
      </w:r>
      <w:r>
        <w:rPr>
          <w:rFonts w:hint="eastAsia"/>
          <w:sz w:val="24"/>
        </w:rPr>
        <w:t>万元，公司本期存货跌价准备转回或转</w:t>
      </w:r>
      <w:r w:rsidRPr="00C313B6">
        <w:rPr>
          <w:rFonts w:hint="eastAsia"/>
          <w:sz w:val="24"/>
        </w:rPr>
        <w:t>销</w:t>
      </w:r>
      <w:r w:rsidRPr="00C313B6">
        <w:rPr>
          <w:rFonts w:hint="eastAsia"/>
          <w:sz w:val="24"/>
        </w:rPr>
        <w:t>6724.03</w:t>
      </w:r>
      <w:r w:rsidRPr="00C313B6">
        <w:rPr>
          <w:rFonts w:hint="eastAsia"/>
          <w:sz w:val="24"/>
        </w:rPr>
        <w:t>万元</w:t>
      </w:r>
      <w:r>
        <w:rPr>
          <w:rFonts w:hint="eastAsia"/>
          <w:sz w:val="24"/>
        </w:rPr>
        <w:t>，主要系销毁无法销售且已全额计提跌价准备的人工晶体产品。</w:t>
      </w:r>
    </w:p>
    <w:p w14:paraId="3FEB5B2A" w14:textId="77777777" w:rsidR="00515072" w:rsidRDefault="00000000">
      <w:pPr>
        <w:spacing w:line="500" w:lineRule="exact"/>
        <w:ind w:firstLineChars="200" w:firstLine="480"/>
        <w:rPr>
          <w:sz w:val="24"/>
        </w:rPr>
      </w:pPr>
      <w:r>
        <w:rPr>
          <w:rFonts w:hint="eastAsia"/>
          <w:sz w:val="24"/>
        </w:rPr>
        <w:t>计提原则：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4315208A" w14:textId="77777777" w:rsidR="00515072" w:rsidRDefault="00000000">
      <w:pPr>
        <w:spacing w:line="500" w:lineRule="exact"/>
        <w:ind w:firstLineChars="200" w:firstLine="480"/>
        <w:rPr>
          <w:sz w:val="24"/>
        </w:rPr>
      </w:pPr>
      <w:r>
        <w:rPr>
          <w:rFonts w:hint="eastAsia"/>
          <w:sz w:val="24"/>
        </w:rPr>
        <w:t>期末按照单个存货项目计提存货跌价准备；但对于数量繁多、单价较低的存</w:t>
      </w:r>
      <w:r>
        <w:rPr>
          <w:rFonts w:hint="eastAsia"/>
          <w:sz w:val="24"/>
        </w:rPr>
        <w:lastRenderedPageBreak/>
        <w:t>货，按照存货类别计提存货跌价准备；与在同一地区生产和销售的产品系列相关、具有相同或类似最终用途或目的，且难以与其他项目分开计量的存货，则合并计提存货跌价准备。</w:t>
      </w:r>
    </w:p>
    <w:p w14:paraId="1C8E3683" w14:textId="77777777" w:rsidR="00515072" w:rsidRDefault="00000000">
      <w:pPr>
        <w:spacing w:line="500" w:lineRule="exact"/>
        <w:ind w:firstLineChars="200" w:firstLine="480"/>
        <w:rPr>
          <w:sz w:val="24"/>
        </w:rPr>
      </w:pPr>
      <w:r>
        <w:rPr>
          <w:rFonts w:hint="eastAsia"/>
          <w:sz w:val="24"/>
        </w:rPr>
        <w:t>除有明确证据表明资产负债表日市场价格异常外，存货项目的可变现净值以资产负债表日市场价格为基础确定。</w:t>
      </w:r>
    </w:p>
    <w:p w14:paraId="16CDF40B" w14:textId="77777777" w:rsidR="00515072" w:rsidRDefault="00000000">
      <w:pPr>
        <w:spacing w:line="500" w:lineRule="exact"/>
        <w:ind w:firstLineChars="200" w:firstLine="480"/>
        <w:rPr>
          <w:sz w:val="24"/>
        </w:rPr>
      </w:pPr>
      <w:r>
        <w:rPr>
          <w:rFonts w:hint="eastAsia"/>
          <w:sz w:val="24"/>
        </w:rPr>
        <w:t>本期期末存货项目的可变现净值以资产负债表日市场价格为基础确定。</w:t>
      </w:r>
    </w:p>
    <w:p w14:paraId="0133D241" w14:textId="77777777" w:rsidR="00515072" w:rsidRDefault="00000000">
      <w:pPr>
        <w:numPr>
          <w:ilvl w:val="0"/>
          <w:numId w:val="1"/>
        </w:numPr>
        <w:spacing w:line="500" w:lineRule="exact"/>
        <w:ind w:firstLineChars="200" w:firstLine="482"/>
        <w:rPr>
          <w:b/>
          <w:bCs/>
          <w:sz w:val="24"/>
        </w:rPr>
      </w:pPr>
      <w:r>
        <w:rPr>
          <w:rFonts w:hint="eastAsia"/>
          <w:b/>
          <w:bCs/>
          <w:sz w:val="24"/>
        </w:rPr>
        <w:t>本次计提减值准备及核销资产对公司的影响</w:t>
      </w:r>
      <w:r>
        <w:rPr>
          <w:rFonts w:hint="eastAsia"/>
          <w:b/>
          <w:bCs/>
          <w:sz w:val="24"/>
        </w:rPr>
        <w:t xml:space="preserve"> </w:t>
      </w:r>
    </w:p>
    <w:p w14:paraId="3C15B638" w14:textId="77777777" w:rsidR="00515072" w:rsidRDefault="00000000">
      <w:pPr>
        <w:spacing w:line="500" w:lineRule="exact"/>
        <w:ind w:firstLineChars="200" w:firstLine="480"/>
        <w:rPr>
          <w:sz w:val="24"/>
        </w:rPr>
      </w:pPr>
      <w:r>
        <w:rPr>
          <w:rFonts w:hint="eastAsia"/>
          <w:sz w:val="24"/>
        </w:rPr>
        <w:t>公司</w:t>
      </w:r>
      <w:r>
        <w:rPr>
          <w:rFonts w:hint="eastAsia"/>
          <w:sz w:val="24"/>
        </w:rPr>
        <w:t>2025</w:t>
      </w:r>
      <w:r>
        <w:rPr>
          <w:rFonts w:hint="eastAsia"/>
          <w:sz w:val="24"/>
        </w:rPr>
        <w:t>年度计提减值准备及核销资产符合谨慎性原则，符合《企业会计准则》及公司相关会计政策的规定和公司资产实际情况，计提方式、决策程序合法、合</w:t>
      </w:r>
      <w:proofErr w:type="gramStart"/>
      <w:r>
        <w:rPr>
          <w:rFonts w:hint="eastAsia"/>
          <w:sz w:val="24"/>
        </w:rPr>
        <w:t>规</w:t>
      </w:r>
      <w:proofErr w:type="gramEnd"/>
      <w:r>
        <w:rPr>
          <w:rFonts w:hint="eastAsia"/>
          <w:sz w:val="24"/>
        </w:rPr>
        <w:t>。本次计提减值准备及核销资产后公司</w:t>
      </w:r>
      <w:r>
        <w:rPr>
          <w:rFonts w:hint="eastAsia"/>
          <w:sz w:val="24"/>
        </w:rPr>
        <w:t>2025</w:t>
      </w:r>
      <w:r>
        <w:rPr>
          <w:rFonts w:hint="eastAsia"/>
          <w:sz w:val="24"/>
        </w:rPr>
        <w:t>年度财务报表能够公允地反映</w:t>
      </w:r>
      <w:r>
        <w:rPr>
          <w:rFonts w:hint="eastAsia"/>
          <w:sz w:val="24"/>
        </w:rPr>
        <w:t>2025</w:t>
      </w:r>
      <w:r>
        <w:rPr>
          <w:rFonts w:hint="eastAsia"/>
          <w:sz w:val="24"/>
        </w:rPr>
        <w:t>年</w:t>
      </w:r>
      <w:r>
        <w:rPr>
          <w:sz w:val="24"/>
        </w:rPr>
        <w:t>12</w:t>
      </w:r>
      <w:r>
        <w:rPr>
          <w:rFonts w:hint="eastAsia"/>
          <w:sz w:val="24"/>
        </w:rPr>
        <w:t>月</w:t>
      </w:r>
      <w:r>
        <w:rPr>
          <w:rFonts w:hint="eastAsia"/>
          <w:sz w:val="24"/>
        </w:rPr>
        <w:t>3</w:t>
      </w:r>
      <w:r>
        <w:rPr>
          <w:sz w:val="24"/>
        </w:rPr>
        <w:t>1</w:t>
      </w:r>
      <w:r>
        <w:rPr>
          <w:rFonts w:hint="eastAsia"/>
          <w:sz w:val="24"/>
        </w:rPr>
        <w:t>日的财务状况及</w:t>
      </w:r>
      <w:r>
        <w:rPr>
          <w:rFonts w:hint="eastAsia"/>
          <w:sz w:val="24"/>
        </w:rPr>
        <w:t>2025</w:t>
      </w:r>
      <w:r>
        <w:rPr>
          <w:rFonts w:hint="eastAsia"/>
          <w:sz w:val="24"/>
        </w:rPr>
        <w:t>年度的经营成果，有助于向投资者提供更加真实、可靠、准确的会计信息。</w:t>
      </w:r>
    </w:p>
    <w:p w14:paraId="27FC5B70" w14:textId="76536DAB" w:rsidR="00515072" w:rsidRDefault="00000000">
      <w:pPr>
        <w:spacing w:line="500" w:lineRule="exact"/>
        <w:ind w:firstLineChars="200" w:firstLine="480"/>
        <w:rPr>
          <w:sz w:val="24"/>
        </w:rPr>
      </w:pPr>
      <w:r>
        <w:rPr>
          <w:rFonts w:hint="eastAsia"/>
          <w:sz w:val="24"/>
        </w:rPr>
        <w:t>本次计提资产减值准备及核销资产后，将减少公司</w:t>
      </w:r>
      <w:r>
        <w:rPr>
          <w:rFonts w:hint="eastAsia"/>
          <w:sz w:val="24"/>
        </w:rPr>
        <w:t>2025</w:t>
      </w:r>
      <w:r>
        <w:rPr>
          <w:rFonts w:hint="eastAsia"/>
          <w:sz w:val="24"/>
        </w:rPr>
        <w:t>年度合并报表利润总额</w:t>
      </w:r>
      <w:r>
        <w:rPr>
          <w:rFonts w:hint="eastAsia"/>
          <w:sz w:val="24"/>
        </w:rPr>
        <w:t>368.</w:t>
      </w:r>
      <w:r w:rsidR="00C313B6">
        <w:rPr>
          <w:rFonts w:hint="eastAsia"/>
          <w:sz w:val="24"/>
        </w:rPr>
        <w:t>30</w:t>
      </w:r>
      <w:r>
        <w:rPr>
          <w:rFonts w:hint="eastAsia"/>
          <w:sz w:val="24"/>
        </w:rPr>
        <w:t>万元。</w:t>
      </w:r>
    </w:p>
    <w:p w14:paraId="174C9582" w14:textId="77777777" w:rsidR="00515072" w:rsidRDefault="00000000">
      <w:pPr>
        <w:numPr>
          <w:ilvl w:val="0"/>
          <w:numId w:val="1"/>
        </w:numPr>
        <w:spacing w:line="500" w:lineRule="exact"/>
        <w:ind w:firstLineChars="200" w:firstLine="482"/>
        <w:rPr>
          <w:b/>
          <w:bCs/>
          <w:sz w:val="24"/>
        </w:rPr>
      </w:pPr>
      <w:r>
        <w:rPr>
          <w:rFonts w:hint="eastAsia"/>
          <w:b/>
          <w:bCs/>
          <w:sz w:val="24"/>
        </w:rPr>
        <w:t>关于公司</w:t>
      </w:r>
      <w:r>
        <w:rPr>
          <w:rFonts w:hint="eastAsia"/>
          <w:b/>
          <w:bCs/>
          <w:sz w:val="24"/>
        </w:rPr>
        <w:t>2025</w:t>
      </w:r>
      <w:r>
        <w:rPr>
          <w:rFonts w:hint="eastAsia"/>
          <w:b/>
          <w:bCs/>
          <w:sz w:val="24"/>
        </w:rPr>
        <w:t>年度计提资产减值准备及核销资产的合理性说明</w:t>
      </w:r>
      <w:r>
        <w:rPr>
          <w:rFonts w:hint="eastAsia"/>
          <w:b/>
          <w:bCs/>
          <w:sz w:val="24"/>
        </w:rPr>
        <w:t xml:space="preserve"> </w:t>
      </w:r>
    </w:p>
    <w:p w14:paraId="70104A14" w14:textId="77777777" w:rsidR="00515072" w:rsidRDefault="00000000">
      <w:pPr>
        <w:spacing w:line="500" w:lineRule="exact"/>
        <w:ind w:firstLineChars="200" w:firstLine="480"/>
        <w:rPr>
          <w:sz w:val="24"/>
        </w:rPr>
      </w:pPr>
      <w:r>
        <w:rPr>
          <w:rFonts w:hint="eastAsia"/>
          <w:sz w:val="24"/>
        </w:rPr>
        <w:t>本次计提资产减值准备及核销资产符合《企业会计准则》和公司相关会计政策的规定，体现了会计处理的谨慎性原则，符合公司实际情况，本次计提资产减值准备及核销资产后能更加公允地反映公司截至</w:t>
      </w:r>
      <w:r>
        <w:rPr>
          <w:rFonts w:hint="eastAsia"/>
          <w:sz w:val="24"/>
        </w:rPr>
        <w:t>2025</w:t>
      </w:r>
      <w:r>
        <w:rPr>
          <w:rFonts w:hint="eastAsia"/>
          <w:sz w:val="24"/>
        </w:rPr>
        <w:t>年</w:t>
      </w:r>
      <w:r>
        <w:rPr>
          <w:sz w:val="24"/>
        </w:rPr>
        <w:t>12</w:t>
      </w:r>
      <w:r>
        <w:rPr>
          <w:rFonts w:hint="eastAsia"/>
          <w:sz w:val="24"/>
        </w:rPr>
        <w:t>月</w:t>
      </w:r>
      <w:r>
        <w:rPr>
          <w:sz w:val="24"/>
        </w:rPr>
        <w:t>31</w:t>
      </w:r>
      <w:r>
        <w:rPr>
          <w:rFonts w:hint="eastAsia"/>
          <w:sz w:val="24"/>
        </w:rPr>
        <w:t>日的财务状况及</w:t>
      </w:r>
      <w:r>
        <w:rPr>
          <w:rFonts w:hint="eastAsia"/>
          <w:sz w:val="24"/>
        </w:rPr>
        <w:t>2025</w:t>
      </w:r>
      <w:r>
        <w:rPr>
          <w:rFonts w:hint="eastAsia"/>
          <w:sz w:val="24"/>
        </w:rPr>
        <w:t>年度经营成果，使公司的会计信息更具有合理性。</w:t>
      </w:r>
    </w:p>
    <w:p w14:paraId="4186ADC0" w14:textId="77777777" w:rsidR="00515072" w:rsidRDefault="00000000">
      <w:pPr>
        <w:spacing w:line="500" w:lineRule="exact"/>
        <w:ind w:firstLineChars="200" w:firstLine="480"/>
        <w:rPr>
          <w:sz w:val="24"/>
        </w:rPr>
      </w:pPr>
      <w:r>
        <w:rPr>
          <w:rFonts w:hint="eastAsia"/>
          <w:sz w:val="24"/>
        </w:rPr>
        <w:t>特此公告。</w:t>
      </w:r>
    </w:p>
    <w:p w14:paraId="0A25FF7B" w14:textId="77777777" w:rsidR="00515072" w:rsidRDefault="00000000">
      <w:pPr>
        <w:spacing w:beforeLines="50" w:before="156" w:afterLines="50" w:after="156" w:line="500" w:lineRule="exact"/>
        <w:ind w:firstLineChars="200" w:firstLine="480"/>
        <w:jc w:val="right"/>
        <w:rPr>
          <w:sz w:val="24"/>
        </w:rPr>
      </w:pPr>
      <w:r>
        <w:rPr>
          <w:sz w:val="24"/>
        </w:rPr>
        <w:t>冠</w:t>
      </w:r>
      <w:proofErr w:type="gramStart"/>
      <w:r>
        <w:rPr>
          <w:sz w:val="24"/>
        </w:rPr>
        <w:t>昊</w:t>
      </w:r>
      <w:proofErr w:type="gramEnd"/>
      <w:r>
        <w:rPr>
          <w:sz w:val="24"/>
        </w:rPr>
        <w:t>生物科技股份有限公司董事会</w:t>
      </w:r>
    </w:p>
    <w:p w14:paraId="69E8D198" w14:textId="77777777" w:rsidR="00515072" w:rsidRDefault="00000000">
      <w:pPr>
        <w:spacing w:beforeLines="50" w:before="156" w:afterLines="50" w:after="156" w:line="500" w:lineRule="exact"/>
        <w:ind w:firstLineChars="200" w:firstLine="480"/>
        <w:rPr>
          <w:sz w:val="24"/>
        </w:rPr>
      </w:pPr>
      <w:r>
        <w:rPr>
          <w:sz w:val="24"/>
        </w:rPr>
        <w:t xml:space="preserve">                                          </w:t>
      </w:r>
      <w:r>
        <w:rPr>
          <w:rFonts w:hint="eastAsia"/>
          <w:sz w:val="24"/>
        </w:rPr>
        <w:t xml:space="preserve">     2026</w:t>
      </w:r>
      <w:r>
        <w:rPr>
          <w:sz w:val="24"/>
        </w:rPr>
        <w:t>年</w:t>
      </w:r>
      <w:r>
        <w:rPr>
          <w:rFonts w:hint="eastAsia"/>
          <w:sz w:val="24"/>
        </w:rPr>
        <w:t>3</w:t>
      </w:r>
      <w:r>
        <w:rPr>
          <w:sz w:val="24"/>
        </w:rPr>
        <w:t>月</w:t>
      </w:r>
      <w:r>
        <w:rPr>
          <w:rFonts w:hint="eastAsia"/>
          <w:sz w:val="24"/>
        </w:rPr>
        <w:t>26</w:t>
      </w:r>
      <w:r>
        <w:rPr>
          <w:sz w:val="24"/>
        </w:rPr>
        <w:t>日</w:t>
      </w:r>
    </w:p>
    <w:sectPr w:rsidR="00515072">
      <w:footerReference w:type="even"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32730" w14:textId="77777777" w:rsidR="00214A49" w:rsidRDefault="00214A49">
      <w:r>
        <w:separator/>
      </w:r>
    </w:p>
  </w:endnote>
  <w:endnote w:type="continuationSeparator" w:id="0">
    <w:p w14:paraId="106954C3" w14:textId="77777777" w:rsidR="00214A49" w:rsidRDefault="0021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26AF" w14:textId="77777777" w:rsidR="00515072"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7A51BBA5" w14:textId="77777777" w:rsidR="00515072" w:rsidRDefault="005150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9F2E" w14:textId="77777777" w:rsidR="00214A49" w:rsidRDefault="00214A49">
      <w:r>
        <w:separator/>
      </w:r>
    </w:p>
  </w:footnote>
  <w:footnote w:type="continuationSeparator" w:id="0">
    <w:p w14:paraId="350BCFC8" w14:textId="77777777" w:rsidR="00214A49" w:rsidRDefault="00214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2CEBD"/>
    <w:multiLevelType w:val="singleLevel"/>
    <w:tmpl w:val="3DF2CEBD"/>
    <w:lvl w:ilvl="0">
      <w:start w:val="1"/>
      <w:numFmt w:val="chineseCounting"/>
      <w:suff w:val="nothing"/>
      <w:lvlText w:val="%1、"/>
      <w:lvlJc w:val="left"/>
      <w:pPr>
        <w:ind w:left="0" w:firstLine="420"/>
      </w:pPr>
      <w:rPr>
        <w:rFonts w:hint="eastAsia"/>
      </w:rPr>
    </w:lvl>
  </w:abstractNum>
  <w:num w:numId="1" w16cid:durableId="182007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RlOTk1ZDM4MjkzZjgxMjZiN2M3ZjNmNDQ5NGIzZGYifQ=="/>
  </w:docVars>
  <w:rsids>
    <w:rsidRoot w:val="00322508"/>
    <w:rsid w:val="000049F4"/>
    <w:rsid w:val="000253CC"/>
    <w:rsid w:val="000A7DB1"/>
    <w:rsid w:val="000C6496"/>
    <w:rsid w:val="000E49D0"/>
    <w:rsid w:val="000E7C00"/>
    <w:rsid w:val="0013460A"/>
    <w:rsid w:val="0015464B"/>
    <w:rsid w:val="001B42B1"/>
    <w:rsid w:val="001E1494"/>
    <w:rsid w:val="00214A49"/>
    <w:rsid w:val="002244F5"/>
    <w:rsid w:val="0023213B"/>
    <w:rsid w:val="002A6E8D"/>
    <w:rsid w:val="00322508"/>
    <w:rsid w:val="003B172B"/>
    <w:rsid w:val="003C161F"/>
    <w:rsid w:val="003E0E40"/>
    <w:rsid w:val="00407E57"/>
    <w:rsid w:val="00417EF4"/>
    <w:rsid w:val="004519D9"/>
    <w:rsid w:val="004E6A39"/>
    <w:rsid w:val="004F6BC5"/>
    <w:rsid w:val="004F7669"/>
    <w:rsid w:val="00515072"/>
    <w:rsid w:val="00545345"/>
    <w:rsid w:val="00550436"/>
    <w:rsid w:val="005E6596"/>
    <w:rsid w:val="005F572E"/>
    <w:rsid w:val="006036F5"/>
    <w:rsid w:val="006042CF"/>
    <w:rsid w:val="00646732"/>
    <w:rsid w:val="00677714"/>
    <w:rsid w:val="006C3961"/>
    <w:rsid w:val="006E7AC9"/>
    <w:rsid w:val="00727E53"/>
    <w:rsid w:val="0074690B"/>
    <w:rsid w:val="00785995"/>
    <w:rsid w:val="0079675D"/>
    <w:rsid w:val="007C5365"/>
    <w:rsid w:val="007D58B1"/>
    <w:rsid w:val="007F0883"/>
    <w:rsid w:val="007F3FB8"/>
    <w:rsid w:val="00823B80"/>
    <w:rsid w:val="008344FB"/>
    <w:rsid w:val="008766C3"/>
    <w:rsid w:val="00893BFC"/>
    <w:rsid w:val="008B72DA"/>
    <w:rsid w:val="008D4A77"/>
    <w:rsid w:val="008D64EF"/>
    <w:rsid w:val="008E18A4"/>
    <w:rsid w:val="008F6D77"/>
    <w:rsid w:val="00927B88"/>
    <w:rsid w:val="00997905"/>
    <w:rsid w:val="009F09CA"/>
    <w:rsid w:val="00A01F1E"/>
    <w:rsid w:val="00A03936"/>
    <w:rsid w:val="00A10B9A"/>
    <w:rsid w:val="00A13537"/>
    <w:rsid w:val="00AA18B1"/>
    <w:rsid w:val="00AB159D"/>
    <w:rsid w:val="00AF14E5"/>
    <w:rsid w:val="00B16A44"/>
    <w:rsid w:val="00B86B53"/>
    <w:rsid w:val="00BD750D"/>
    <w:rsid w:val="00C0105D"/>
    <w:rsid w:val="00C03B8E"/>
    <w:rsid w:val="00C313B6"/>
    <w:rsid w:val="00CF760A"/>
    <w:rsid w:val="00D83900"/>
    <w:rsid w:val="00D852D1"/>
    <w:rsid w:val="00D95BA3"/>
    <w:rsid w:val="00DA35CA"/>
    <w:rsid w:val="00DB5F4F"/>
    <w:rsid w:val="00DD5C65"/>
    <w:rsid w:val="00DE2D18"/>
    <w:rsid w:val="00E15B05"/>
    <w:rsid w:val="00E300D7"/>
    <w:rsid w:val="00E431DB"/>
    <w:rsid w:val="00E95F35"/>
    <w:rsid w:val="00EF2492"/>
    <w:rsid w:val="00F018DC"/>
    <w:rsid w:val="00F56886"/>
    <w:rsid w:val="00FA6DD9"/>
    <w:rsid w:val="00FE51F8"/>
    <w:rsid w:val="012C2953"/>
    <w:rsid w:val="074309F6"/>
    <w:rsid w:val="08C765BF"/>
    <w:rsid w:val="0A952703"/>
    <w:rsid w:val="0CD8398F"/>
    <w:rsid w:val="150D43F1"/>
    <w:rsid w:val="151A266A"/>
    <w:rsid w:val="15286A08"/>
    <w:rsid w:val="16421E79"/>
    <w:rsid w:val="16704C38"/>
    <w:rsid w:val="18277578"/>
    <w:rsid w:val="1AC22415"/>
    <w:rsid w:val="1B736E17"/>
    <w:rsid w:val="1B9E2247"/>
    <w:rsid w:val="1E334EC9"/>
    <w:rsid w:val="1E730167"/>
    <w:rsid w:val="21154D5A"/>
    <w:rsid w:val="21C13B79"/>
    <w:rsid w:val="245737FF"/>
    <w:rsid w:val="246049A5"/>
    <w:rsid w:val="24F47C81"/>
    <w:rsid w:val="24F5651E"/>
    <w:rsid w:val="25C21567"/>
    <w:rsid w:val="261D1FBA"/>
    <w:rsid w:val="270B6F73"/>
    <w:rsid w:val="28292E99"/>
    <w:rsid w:val="2B731581"/>
    <w:rsid w:val="2D7353D7"/>
    <w:rsid w:val="2F20249B"/>
    <w:rsid w:val="333A57B7"/>
    <w:rsid w:val="34C04B85"/>
    <w:rsid w:val="35092088"/>
    <w:rsid w:val="35B53FBD"/>
    <w:rsid w:val="37826121"/>
    <w:rsid w:val="38060B00"/>
    <w:rsid w:val="3B135A0E"/>
    <w:rsid w:val="3C7E4B8D"/>
    <w:rsid w:val="3FD75841"/>
    <w:rsid w:val="42A45AE6"/>
    <w:rsid w:val="43265C4D"/>
    <w:rsid w:val="43B835F7"/>
    <w:rsid w:val="488C58CA"/>
    <w:rsid w:val="491D09AB"/>
    <w:rsid w:val="4BB15410"/>
    <w:rsid w:val="4D93343A"/>
    <w:rsid w:val="4DEF7B55"/>
    <w:rsid w:val="4EAD187E"/>
    <w:rsid w:val="4FB3261B"/>
    <w:rsid w:val="4FCC21D8"/>
    <w:rsid w:val="503B08DF"/>
    <w:rsid w:val="5095081C"/>
    <w:rsid w:val="50A218B6"/>
    <w:rsid w:val="50B05524"/>
    <w:rsid w:val="53D202C9"/>
    <w:rsid w:val="56F24A2B"/>
    <w:rsid w:val="57CA524F"/>
    <w:rsid w:val="581C64CC"/>
    <w:rsid w:val="58EE524C"/>
    <w:rsid w:val="5D3D64C3"/>
    <w:rsid w:val="5E004446"/>
    <w:rsid w:val="5EB32EE1"/>
    <w:rsid w:val="5F3B67FC"/>
    <w:rsid w:val="609D5BF6"/>
    <w:rsid w:val="60C03693"/>
    <w:rsid w:val="60FE7241"/>
    <w:rsid w:val="62516C98"/>
    <w:rsid w:val="6518584B"/>
    <w:rsid w:val="666F52C7"/>
    <w:rsid w:val="68243F2F"/>
    <w:rsid w:val="6A1231B1"/>
    <w:rsid w:val="6AA719B2"/>
    <w:rsid w:val="6BB6114E"/>
    <w:rsid w:val="6CE30E35"/>
    <w:rsid w:val="6D8341D1"/>
    <w:rsid w:val="6FE609C2"/>
    <w:rsid w:val="702336AB"/>
    <w:rsid w:val="70877D29"/>
    <w:rsid w:val="714B51FB"/>
    <w:rsid w:val="71727DF6"/>
    <w:rsid w:val="719E1D19"/>
    <w:rsid w:val="727644F9"/>
    <w:rsid w:val="72BD3ED6"/>
    <w:rsid w:val="733F48EB"/>
    <w:rsid w:val="7691545E"/>
    <w:rsid w:val="77BD2C2C"/>
    <w:rsid w:val="7859644F"/>
    <w:rsid w:val="78E57CE3"/>
    <w:rsid w:val="78FA0152"/>
    <w:rsid w:val="79DA1A54"/>
    <w:rsid w:val="7D657644"/>
    <w:rsid w:val="7DF32EA2"/>
    <w:rsid w:val="7E0E55E6"/>
    <w:rsid w:val="7F271055"/>
    <w:rsid w:val="7F75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FECF4"/>
  <w15:docId w15:val="{A5DB4C81-4BED-4552-8BC6-3768C29B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after="120"/>
      <w:ind w:leftChars="200" w:left="420"/>
    </w:pPr>
  </w:style>
  <w:style w:type="paragraph" w:styleId="a4">
    <w:name w:val="Plain Text"/>
    <w:basedOn w:val="a"/>
    <w:qFormat/>
    <w:pPr>
      <w:adjustRightInd w:val="0"/>
      <w:snapToGrid w:val="0"/>
      <w:spacing w:line="460" w:lineRule="atLeast"/>
      <w:ind w:firstLineChars="200" w:firstLine="420"/>
      <w:textAlignment w:val="baseline"/>
      <w:outlineLvl w:val="2"/>
    </w:pPr>
    <w:rPr>
      <w:rFonts w:ascii="宋体" w:hAnsi="Courier New" w:cs="宋体"/>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character" w:styleId="ac">
    <w:name w:val="Hyperlink"/>
    <w:qFormat/>
    <w:rPr>
      <w:color w:val="0000FF"/>
      <w:u w:val="single"/>
    </w:rPr>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 w:type="paragraph" w:styleId="ad">
    <w:name w:val="List Paragraph"/>
    <w:basedOn w:val="a"/>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 w:type="paragraph" w:customStyle="1" w:styleId="ae">
    <w:name w:val="附注－正文"/>
    <w:basedOn w:val="a3"/>
    <w:autoRedefine/>
    <w:uiPriority w:val="99"/>
    <w:qFormat/>
  </w:style>
  <w:style w:type="paragraph" w:styleId="af">
    <w:name w:val="Revision"/>
    <w:hidden/>
    <w:uiPriority w:val="99"/>
    <w:unhideWhenUsed/>
    <w:rsid w:val="00C313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1062</Words>
  <Characters>1126</Characters>
  <Application>Microsoft Office Word</Application>
  <DocSecurity>0</DocSecurity>
  <Lines>45</Lines>
  <Paragraphs>42</Paragraphs>
  <ScaleCrop>false</ScaleCrop>
  <Company>微软中国</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 bai</cp:lastModifiedBy>
  <cp:revision>13</cp:revision>
  <dcterms:created xsi:type="dcterms:W3CDTF">2023-04-18T06:40:00Z</dcterms:created>
  <dcterms:modified xsi:type="dcterms:W3CDTF">2026-03-23T09:32:00Z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98D0E5B2BDEA44E984F14D22F27DA390_13</vt:lpwstr>
  </property>
  <property fmtid="{D5CDD505-2E9C-101B-9397-08002B2CF9AE}" pid="4" name="KSOTemplateDocerSaveRecord">
    <vt:lpwstr>eyJoZGlkIjoiMzEwNTM5NzYwMDRjMzkwZTVkZjY2ODkwMGIxNGU0OTUiLCJ1c2VySWQiOiIxMTcwODEyNTYyIn0=</vt:lpwstr>
  </property>
</Properties>
</file>