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49208">
      <w:pPr>
        <w:spacing w:before="200" w:after="1000" w:line="560" w:lineRule="exact"/>
        <w:jc w:val="center"/>
        <w:rPr>
          <w:rFonts w:hint="eastAsia" w:ascii="宋体" w:hAnsi="宋体" w:eastAsia="宋体" w:cs="宋体"/>
          <w:sz w:val="24"/>
        </w:rPr>
      </w:pPr>
      <w:r>
        <w:rPr>
          <w:rFonts w:ascii="宋体" w:hAnsi="宋体" w:eastAsia="宋体" w:cs="宋体"/>
          <w:sz w:val="24"/>
        </w:rPr>
        <w:t>证券代码：</w:t>
      </w:r>
      <w:r>
        <w:rPr>
          <w:rFonts w:ascii="Times New Roman" w:hAnsi="Times New Roman" w:eastAsia="宋体" w:cs="Times New Roman"/>
          <w:sz w:val="24"/>
        </w:rPr>
        <w:t>300238</w:t>
      </w:r>
      <w:r>
        <w:rPr>
          <w:rFonts w:ascii="宋体" w:hAnsi="宋体" w:eastAsia="宋体" w:cs="宋体"/>
          <w:sz w:val="24"/>
        </w:rPr>
        <w:t xml:space="preserve">            证券简称：冠昊生物            公告编号：</w:t>
      </w:r>
      <w:r>
        <w:rPr>
          <w:rFonts w:ascii="Times New Roman" w:hAnsi="Times New Roman" w:eastAsia="宋体" w:cs="Times New Roman"/>
          <w:sz w:val="24"/>
        </w:rPr>
        <w:t>2026</w:t>
      </w:r>
      <w:r>
        <w:rPr>
          <w:rFonts w:hint="eastAsia" w:ascii="宋体" w:hAnsi="宋体" w:eastAsia="宋体" w:cs="宋体"/>
          <w:sz w:val="24"/>
        </w:rPr>
        <w:t>-</w:t>
      </w:r>
      <w:r>
        <w:rPr>
          <w:rFonts w:ascii="Times New Roman" w:hAnsi="Times New Roman" w:eastAsia="宋体" w:cs="Times New Roman"/>
          <w:sz w:val="24"/>
        </w:rPr>
        <w:t>004</w:t>
      </w:r>
    </w:p>
    <w:p w14:paraId="3932F793">
      <w:pPr>
        <w:spacing w:after="1000" w:line="400" w:lineRule="exact"/>
        <w:jc w:val="center"/>
        <w:rPr>
          <w:rFonts w:hint="eastAsia" w:ascii="宋体" w:hAnsi="宋体" w:eastAsia="宋体" w:cs="宋体"/>
          <w:b/>
          <w:bCs/>
          <w:sz w:val="36"/>
          <w:szCs w:val="36"/>
        </w:rPr>
      </w:pPr>
      <w:r>
        <w:rPr>
          <w:rFonts w:ascii="宋体" w:hAnsi="宋体" w:eastAsia="宋体" w:cs="宋体"/>
          <w:b/>
          <w:bCs/>
          <w:sz w:val="36"/>
          <w:szCs w:val="36"/>
        </w:rPr>
        <w:t>冠昊生物科技股份有限公司</w:t>
      </w:r>
      <w:r>
        <w:rPr>
          <w:rFonts w:ascii="Times New Roman" w:hAnsi="Times New Roman" w:eastAsia="宋体" w:cs="Times New Roman"/>
          <w:b/>
          <w:bCs/>
          <w:sz w:val="36"/>
          <w:szCs w:val="36"/>
        </w:rPr>
        <w:t>2025</w:t>
      </w:r>
      <w:r>
        <w:rPr>
          <w:rFonts w:ascii="宋体" w:hAnsi="宋体" w:eastAsia="宋体" w:cs="宋体"/>
          <w:b/>
          <w:bCs/>
          <w:sz w:val="36"/>
          <w:szCs w:val="36"/>
        </w:rPr>
        <w:t>年年度报告摘要</w:t>
      </w:r>
    </w:p>
    <w:p w14:paraId="7350A4DB">
      <w:pPr>
        <w:pStyle w:val="2"/>
        <w:spacing w:before="300" w:after="300" w:line="320" w:lineRule="exact"/>
        <w:rPr>
          <w:rFonts w:hint="eastAsia" w:ascii="宋体" w:hAnsi="宋体" w:eastAsia="宋体" w:cs="宋体"/>
          <w:b/>
          <w:bCs/>
          <w:sz w:val="24"/>
          <w:szCs w:val="24"/>
        </w:rPr>
      </w:pPr>
      <w:bookmarkStart w:id="0" w:name="_Toc988889"/>
      <w:r>
        <w:rPr>
          <w:rFonts w:ascii="宋体" w:hAnsi="宋体" w:eastAsia="宋体" w:cs="宋体"/>
          <w:b/>
          <w:bCs/>
          <w:sz w:val="24"/>
          <w:szCs w:val="24"/>
        </w:rPr>
        <w:t>一、重要提示</w:t>
      </w:r>
      <w:bookmarkEnd w:id="0"/>
    </w:p>
    <w:p w14:paraId="77D15952">
      <w:pPr>
        <w:spacing w:after="0" w:line="240" w:lineRule="auto"/>
        <w:ind w:firstLine="360" w:firstLineChars="200"/>
        <w:rPr>
          <w:rFonts w:hint="eastAsia" w:ascii="宋体" w:hAnsi="宋体" w:eastAsia="宋体" w:cs="宋体"/>
          <w:sz w:val="18"/>
          <w:szCs w:val="18"/>
        </w:rPr>
      </w:pPr>
      <w:r>
        <w:rPr>
          <w:rFonts w:ascii="宋体" w:hAnsi="宋体" w:eastAsia="宋体" w:cs="宋体"/>
          <w:sz w:val="18"/>
          <w:szCs w:val="18"/>
        </w:rPr>
        <w:t>本年度报告摘要来自年度报告全文，为全面了解本公司的经营成果、财务状况及未来发展规划，投资者应当到证监会指定媒体仔细阅读年度报告全文。</w:t>
      </w:r>
    </w:p>
    <w:p w14:paraId="355C910E">
      <w:pPr>
        <w:spacing w:after="0" w:line="240" w:lineRule="auto"/>
        <w:ind w:firstLine="360" w:firstLineChars="200"/>
        <w:rPr>
          <w:rFonts w:hint="eastAsia" w:ascii="宋体" w:hAnsi="宋体" w:eastAsia="宋体" w:cs="宋体"/>
          <w:sz w:val="18"/>
          <w:szCs w:val="18"/>
        </w:rPr>
      </w:pPr>
      <w:r>
        <w:rPr>
          <w:rFonts w:ascii="宋体" w:hAnsi="宋体" w:eastAsia="宋体" w:cs="宋体"/>
          <w:sz w:val="18"/>
          <w:szCs w:val="18"/>
        </w:rPr>
        <w:t>所有董事均已出席了审议本报告的董事会会议。</w:t>
      </w:r>
    </w:p>
    <w:p w14:paraId="3B35A013">
      <w:pPr>
        <w:spacing w:after="0" w:line="24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大信会计师事务所（特殊普通合伙）对本年度公司财务报告的审计意见为：标准的无保留意见。</w:t>
      </w:r>
    </w:p>
    <w:p w14:paraId="134AD884">
      <w:pPr>
        <w:spacing w:after="0" w:line="240" w:lineRule="auto"/>
        <w:ind w:firstLine="360" w:firstLineChars="200"/>
        <w:rPr>
          <w:rFonts w:hint="eastAsia" w:ascii="宋体" w:hAnsi="宋体" w:eastAsia="宋体" w:cs="宋体"/>
          <w:sz w:val="18"/>
          <w:szCs w:val="18"/>
        </w:rPr>
      </w:pPr>
      <w:r>
        <w:rPr>
          <w:rFonts w:ascii="宋体" w:hAnsi="宋体" w:eastAsia="宋体" w:cs="宋体"/>
          <w:sz w:val="18"/>
          <w:szCs w:val="18"/>
        </w:rPr>
        <w:t>非标准审计意见提示</w:t>
      </w:r>
    </w:p>
    <w:p w14:paraId="3960EABD">
      <w:pPr>
        <w:spacing w:after="0" w:line="240" w:lineRule="auto"/>
        <w:ind w:firstLine="360" w:firstLineChars="200"/>
        <w:rPr>
          <w:rFonts w:hint="eastAsia"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61A23A2">
      <w:pPr>
        <w:spacing w:after="0" w:line="240" w:lineRule="auto"/>
        <w:ind w:firstLine="360" w:firstLineChars="200"/>
        <w:rPr>
          <w:rFonts w:hint="eastAsia" w:ascii="宋体" w:hAnsi="宋体" w:eastAsia="宋体" w:cs="宋体"/>
          <w:sz w:val="18"/>
          <w:szCs w:val="18"/>
        </w:rPr>
      </w:pPr>
      <w:r>
        <w:rPr>
          <w:rFonts w:ascii="宋体" w:hAnsi="宋体" w:eastAsia="宋体" w:cs="宋体"/>
          <w:sz w:val="18"/>
          <w:szCs w:val="18"/>
        </w:rPr>
        <w:t>公司上市时未盈利且目前未实现盈利</w:t>
      </w:r>
    </w:p>
    <w:p w14:paraId="43D5E8ED">
      <w:pPr>
        <w:spacing w:after="0" w:line="240" w:lineRule="auto"/>
        <w:ind w:firstLine="360" w:firstLineChars="200"/>
        <w:rPr>
          <w:rFonts w:hint="eastAsia"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055953B">
      <w:pPr>
        <w:spacing w:after="0" w:line="240" w:lineRule="auto"/>
        <w:ind w:firstLine="360" w:firstLineChars="200"/>
        <w:rPr>
          <w:rFonts w:hint="eastAsia" w:ascii="宋体" w:hAnsi="宋体" w:eastAsia="宋体" w:cs="宋体"/>
          <w:sz w:val="18"/>
          <w:szCs w:val="18"/>
        </w:rPr>
      </w:pPr>
      <w:r>
        <w:rPr>
          <w:rFonts w:ascii="宋体" w:hAnsi="宋体" w:eastAsia="宋体" w:cs="宋体"/>
          <w:sz w:val="18"/>
          <w:szCs w:val="18"/>
        </w:rPr>
        <w:t>董事会审议的报告期利润分配预案或公积金转增股本预案</w:t>
      </w:r>
    </w:p>
    <w:p w14:paraId="6E4AB6B2">
      <w:pPr>
        <w:spacing w:after="0" w:line="240" w:lineRule="auto"/>
        <w:ind w:firstLine="360" w:firstLineChars="200"/>
        <w:rPr>
          <w:rFonts w:hint="eastAsia"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34FC8B2">
      <w:pPr>
        <w:spacing w:after="0" w:line="240" w:lineRule="auto"/>
        <w:ind w:firstLine="360" w:firstLineChars="200"/>
        <w:rPr>
          <w:rFonts w:hint="eastAsia" w:ascii="宋体" w:hAnsi="宋体" w:eastAsia="宋体" w:cs="宋体"/>
          <w:sz w:val="18"/>
          <w:szCs w:val="18"/>
        </w:rPr>
      </w:pPr>
      <w:r>
        <w:rPr>
          <w:rFonts w:ascii="宋体" w:hAnsi="宋体" w:eastAsia="宋体" w:cs="宋体"/>
          <w:sz w:val="18"/>
          <w:szCs w:val="18"/>
        </w:rPr>
        <w:t>公司计划不派发现金红利，不送红股，不以公积金转增股本。</w:t>
      </w:r>
    </w:p>
    <w:p w14:paraId="66D32A74">
      <w:pPr>
        <w:spacing w:after="0" w:line="240" w:lineRule="auto"/>
        <w:ind w:firstLine="360" w:firstLineChars="200"/>
        <w:rPr>
          <w:rFonts w:hint="eastAsia" w:ascii="宋体" w:hAnsi="宋体" w:eastAsia="宋体" w:cs="宋体"/>
          <w:sz w:val="18"/>
          <w:szCs w:val="18"/>
        </w:rPr>
      </w:pPr>
      <w:r>
        <w:rPr>
          <w:rFonts w:ascii="宋体" w:hAnsi="宋体" w:eastAsia="宋体" w:cs="宋体"/>
          <w:sz w:val="18"/>
          <w:szCs w:val="18"/>
        </w:rPr>
        <w:t>董事会决议通过的本报告期优先股利润分配预案</w:t>
      </w:r>
    </w:p>
    <w:p w14:paraId="4E10A385">
      <w:pPr>
        <w:spacing w:after="0" w:line="240" w:lineRule="auto"/>
        <w:ind w:firstLine="360" w:firstLineChars="200"/>
        <w:rPr>
          <w:rFonts w:hint="eastAsia"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F5DF710">
      <w:pPr>
        <w:pStyle w:val="2"/>
        <w:spacing w:before="300" w:after="300" w:line="320" w:lineRule="exact"/>
        <w:rPr>
          <w:rFonts w:hint="eastAsia" w:ascii="宋体" w:hAnsi="宋体" w:eastAsia="宋体" w:cs="宋体"/>
          <w:b/>
          <w:bCs/>
          <w:sz w:val="24"/>
          <w:szCs w:val="24"/>
        </w:rPr>
      </w:pPr>
      <w:bookmarkStart w:id="1" w:name="_Toc988890"/>
      <w:r>
        <w:rPr>
          <w:rFonts w:ascii="宋体" w:hAnsi="宋体" w:eastAsia="宋体" w:cs="宋体"/>
          <w:b/>
          <w:bCs/>
          <w:sz w:val="24"/>
          <w:szCs w:val="24"/>
        </w:rPr>
        <w:t>二、公司基本情况</w:t>
      </w:r>
      <w:bookmarkEnd w:id="1"/>
    </w:p>
    <w:p w14:paraId="02DC012D">
      <w:pPr>
        <w:pStyle w:val="3"/>
        <w:spacing w:line="280" w:lineRule="exact"/>
        <w:jc w:val="left"/>
        <w:rPr>
          <w:rFonts w:hint="eastAsia" w:ascii="宋体" w:hAnsi="宋体" w:cs="宋体"/>
          <w:b/>
          <w:bCs/>
        </w:rPr>
      </w:pPr>
      <w:bookmarkStart w:id="2" w:name="_Toc988891"/>
      <w:r>
        <w:rPr>
          <w:rFonts w:ascii="Times New Roman" w:hAnsi="Times New Roman" w:cs="Times New Roman"/>
          <w:b/>
          <w:bCs/>
        </w:rPr>
        <w:t>1</w:t>
      </w:r>
      <w:r>
        <w:rPr>
          <w:rFonts w:ascii="宋体" w:hAnsi="宋体" w:cs="宋体"/>
          <w:b/>
          <w:bCs/>
        </w:rPr>
        <w:t>、公司简介</w:t>
      </w:r>
      <w:bookmarkEnd w:id="2"/>
    </w:p>
    <w:tbl>
      <w:tblPr>
        <w:tblStyle w:val="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24"/>
        <w:gridCol w:w="3055"/>
        <w:gridCol w:w="1480"/>
        <w:gridCol w:w="1480"/>
      </w:tblGrid>
      <w:tr w14:paraId="3A0B0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24" w:type="dxa"/>
            <w:tcBorders>
              <w:top w:val="single" w:color="auto" w:sz="2" w:space="0"/>
              <w:left w:val="single" w:color="auto" w:sz="2" w:space="0"/>
              <w:bottom w:val="single" w:color="auto" w:sz="2" w:space="0"/>
              <w:right w:val="single" w:color="auto" w:sz="2" w:space="0"/>
            </w:tcBorders>
            <w:shd w:val="clear" w:color="auto" w:fill="D3D3D3"/>
            <w:vAlign w:val="center"/>
          </w:tcPr>
          <w:p w14:paraId="4D25BF3D">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股票简称</w:t>
            </w:r>
          </w:p>
        </w:tc>
        <w:tc>
          <w:tcPr>
            <w:tcW w:w="3055" w:type="dxa"/>
            <w:tcBorders>
              <w:top w:val="single" w:color="auto" w:sz="2" w:space="0"/>
              <w:left w:val="single" w:color="auto" w:sz="2" w:space="0"/>
              <w:bottom w:val="single" w:color="auto" w:sz="2" w:space="0"/>
              <w:right w:val="single" w:color="auto" w:sz="2" w:space="0"/>
            </w:tcBorders>
            <w:vAlign w:val="center"/>
          </w:tcPr>
          <w:p w14:paraId="3C26613A">
            <w:pPr>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冠昊生物</w:t>
            </w:r>
          </w:p>
        </w:tc>
        <w:tc>
          <w:tcPr>
            <w:tcW w:w="1480" w:type="dxa"/>
            <w:tcBorders>
              <w:top w:val="single" w:color="auto" w:sz="2" w:space="0"/>
              <w:left w:val="single" w:color="auto" w:sz="2" w:space="0"/>
              <w:bottom w:val="single" w:color="auto" w:sz="2" w:space="0"/>
              <w:right w:val="single" w:color="auto" w:sz="2" w:space="0"/>
            </w:tcBorders>
            <w:shd w:val="clear" w:color="auto" w:fill="D3D3D3"/>
            <w:vAlign w:val="center"/>
          </w:tcPr>
          <w:p w14:paraId="276CC54A">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股票代码</w:t>
            </w:r>
          </w:p>
        </w:tc>
        <w:tc>
          <w:tcPr>
            <w:tcW w:w="1480" w:type="dxa"/>
            <w:tcBorders>
              <w:top w:val="single" w:color="auto" w:sz="2" w:space="0"/>
              <w:left w:val="single" w:color="auto" w:sz="2" w:space="0"/>
              <w:bottom w:val="single" w:color="auto" w:sz="2" w:space="0"/>
              <w:right w:val="single" w:color="auto" w:sz="2" w:space="0"/>
            </w:tcBorders>
            <w:vAlign w:val="center"/>
          </w:tcPr>
          <w:p w14:paraId="12D96BD9">
            <w:pPr>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300238</w:t>
            </w:r>
          </w:p>
        </w:tc>
      </w:tr>
      <w:tr w14:paraId="6342F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24" w:type="dxa"/>
            <w:tcBorders>
              <w:top w:val="single" w:color="auto" w:sz="2" w:space="0"/>
              <w:left w:val="single" w:color="auto" w:sz="2" w:space="0"/>
              <w:bottom w:val="single" w:color="auto" w:sz="2" w:space="0"/>
              <w:right w:val="single" w:color="auto" w:sz="2" w:space="0"/>
            </w:tcBorders>
            <w:shd w:val="clear" w:color="auto" w:fill="D3D3D3"/>
            <w:vAlign w:val="center"/>
          </w:tcPr>
          <w:p w14:paraId="5517340E">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股票上市交易所</w:t>
            </w:r>
          </w:p>
        </w:tc>
        <w:tc>
          <w:tcPr>
            <w:tcW w:w="6015" w:type="dxa"/>
            <w:gridSpan w:val="3"/>
            <w:tcBorders>
              <w:top w:val="single" w:color="auto" w:sz="2" w:space="0"/>
              <w:left w:val="single" w:color="auto" w:sz="2" w:space="0"/>
              <w:bottom w:val="single" w:color="auto" w:sz="2" w:space="0"/>
              <w:right w:val="single" w:color="auto" w:sz="2" w:space="0"/>
            </w:tcBorders>
            <w:vAlign w:val="center"/>
          </w:tcPr>
          <w:p w14:paraId="7634D101">
            <w:pPr>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深圳证券交易所</w:t>
            </w:r>
          </w:p>
        </w:tc>
      </w:tr>
      <w:tr w14:paraId="07F0A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24" w:type="dxa"/>
            <w:tcBorders>
              <w:top w:val="single" w:color="auto" w:sz="2" w:space="0"/>
              <w:left w:val="single" w:color="auto" w:sz="2" w:space="0"/>
              <w:bottom w:val="single" w:color="auto" w:sz="2" w:space="0"/>
              <w:right w:val="single" w:color="auto" w:sz="2" w:space="0"/>
            </w:tcBorders>
            <w:shd w:val="clear" w:color="auto" w:fill="D3D3D3"/>
            <w:vAlign w:val="center"/>
          </w:tcPr>
          <w:p w14:paraId="1C1698AC">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联系人和联系方式</w:t>
            </w:r>
          </w:p>
        </w:tc>
        <w:tc>
          <w:tcPr>
            <w:tcW w:w="3055" w:type="dxa"/>
            <w:tcBorders>
              <w:top w:val="single" w:color="auto" w:sz="2" w:space="0"/>
              <w:left w:val="single" w:color="auto" w:sz="2" w:space="0"/>
              <w:bottom w:val="single" w:color="auto" w:sz="2" w:space="0"/>
              <w:right w:val="single" w:color="auto" w:sz="2" w:space="0"/>
            </w:tcBorders>
            <w:shd w:val="clear" w:color="auto" w:fill="D3D3D3"/>
            <w:vAlign w:val="center"/>
          </w:tcPr>
          <w:p w14:paraId="29EBB615">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董事会秘书</w:t>
            </w:r>
          </w:p>
        </w:tc>
        <w:tc>
          <w:tcPr>
            <w:tcW w:w="296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2B514ED">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证券事务代表</w:t>
            </w:r>
          </w:p>
        </w:tc>
      </w:tr>
      <w:tr w14:paraId="32B29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24" w:type="dxa"/>
            <w:tcBorders>
              <w:top w:val="single" w:color="auto" w:sz="2" w:space="0"/>
              <w:left w:val="single" w:color="auto" w:sz="2" w:space="0"/>
              <w:bottom w:val="single" w:color="auto" w:sz="2" w:space="0"/>
              <w:right w:val="single" w:color="auto" w:sz="2" w:space="0"/>
            </w:tcBorders>
            <w:shd w:val="clear" w:color="auto" w:fill="D3D3D3"/>
            <w:vAlign w:val="center"/>
          </w:tcPr>
          <w:p w14:paraId="35F7208F">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姓名</w:t>
            </w:r>
          </w:p>
        </w:tc>
        <w:tc>
          <w:tcPr>
            <w:tcW w:w="3055" w:type="dxa"/>
            <w:tcBorders>
              <w:top w:val="single" w:color="auto" w:sz="2" w:space="0"/>
              <w:left w:val="single" w:color="auto" w:sz="2" w:space="0"/>
              <w:bottom w:val="single" w:color="auto" w:sz="2" w:space="0"/>
              <w:right w:val="single" w:color="auto" w:sz="2" w:space="0"/>
            </w:tcBorders>
            <w:vAlign w:val="center"/>
          </w:tcPr>
          <w:p w14:paraId="64A8D7D4">
            <w:pPr>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徐庆荣</w:t>
            </w:r>
          </w:p>
        </w:tc>
        <w:tc>
          <w:tcPr>
            <w:tcW w:w="2960" w:type="dxa"/>
            <w:gridSpan w:val="2"/>
            <w:tcBorders>
              <w:top w:val="single" w:color="auto" w:sz="2" w:space="0"/>
              <w:left w:val="single" w:color="auto" w:sz="2" w:space="0"/>
              <w:bottom w:val="single" w:color="auto" w:sz="2" w:space="0"/>
              <w:right w:val="single" w:color="auto" w:sz="2" w:space="0"/>
            </w:tcBorders>
            <w:vAlign w:val="center"/>
          </w:tcPr>
          <w:p w14:paraId="3C6CBD9A">
            <w:pPr>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李群</w:t>
            </w:r>
          </w:p>
        </w:tc>
      </w:tr>
      <w:tr w14:paraId="3853E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24" w:type="dxa"/>
            <w:tcBorders>
              <w:top w:val="single" w:color="auto" w:sz="2" w:space="0"/>
              <w:left w:val="single" w:color="auto" w:sz="2" w:space="0"/>
              <w:bottom w:val="single" w:color="auto" w:sz="2" w:space="0"/>
              <w:right w:val="single" w:color="auto" w:sz="2" w:space="0"/>
            </w:tcBorders>
            <w:shd w:val="clear" w:color="auto" w:fill="D3D3D3"/>
            <w:vAlign w:val="center"/>
          </w:tcPr>
          <w:p w14:paraId="078ED75C">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办公地址</w:t>
            </w:r>
          </w:p>
        </w:tc>
        <w:tc>
          <w:tcPr>
            <w:tcW w:w="3055" w:type="dxa"/>
            <w:tcBorders>
              <w:top w:val="single" w:color="auto" w:sz="2" w:space="0"/>
              <w:left w:val="single" w:color="auto" w:sz="2" w:space="0"/>
              <w:bottom w:val="single" w:color="auto" w:sz="2" w:space="0"/>
              <w:right w:val="single" w:color="auto" w:sz="2" w:space="0"/>
            </w:tcBorders>
            <w:vAlign w:val="center"/>
          </w:tcPr>
          <w:p w14:paraId="0DE89F05">
            <w:pPr>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广州市黄埔区玉岩路12号</w:t>
            </w:r>
          </w:p>
        </w:tc>
        <w:tc>
          <w:tcPr>
            <w:tcW w:w="2960" w:type="dxa"/>
            <w:gridSpan w:val="2"/>
            <w:tcBorders>
              <w:top w:val="single" w:color="auto" w:sz="2" w:space="0"/>
              <w:left w:val="single" w:color="auto" w:sz="2" w:space="0"/>
              <w:bottom w:val="single" w:color="auto" w:sz="2" w:space="0"/>
              <w:right w:val="single" w:color="auto" w:sz="2" w:space="0"/>
            </w:tcBorders>
            <w:vAlign w:val="center"/>
          </w:tcPr>
          <w:p w14:paraId="302937F1">
            <w:pPr>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广州市黄埔区玉岩路12号</w:t>
            </w:r>
          </w:p>
        </w:tc>
      </w:tr>
      <w:tr w14:paraId="62260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24" w:type="dxa"/>
            <w:tcBorders>
              <w:top w:val="single" w:color="auto" w:sz="2" w:space="0"/>
              <w:left w:val="single" w:color="auto" w:sz="2" w:space="0"/>
              <w:bottom w:val="single" w:color="auto" w:sz="2" w:space="0"/>
              <w:right w:val="single" w:color="auto" w:sz="2" w:space="0"/>
            </w:tcBorders>
            <w:shd w:val="clear" w:color="auto" w:fill="D3D3D3"/>
            <w:vAlign w:val="center"/>
          </w:tcPr>
          <w:p w14:paraId="0647A65C">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传真</w:t>
            </w:r>
          </w:p>
        </w:tc>
        <w:tc>
          <w:tcPr>
            <w:tcW w:w="3055" w:type="dxa"/>
            <w:tcBorders>
              <w:top w:val="single" w:color="auto" w:sz="2" w:space="0"/>
              <w:left w:val="single" w:color="auto" w:sz="2" w:space="0"/>
              <w:bottom w:val="single" w:color="auto" w:sz="2" w:space="0"/>
              <w:right w:val="single" w:color="auto" w:sz="2" w:space="0"/>
            </w:tcBorders>
            <w:vAlign w:val="center"/>
          </w:tcPr>
          <w:p w14:paraId="05C5C788">
            <w:pPr>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020-32211255</w:t>
            </w:r>
          </w:p>
        </w:tc>
        <w:tc>
          <w:tcPr>
            <w:tcW w:w="2960" w:type="dxa"/>
            <w:gridSpan w:val="2"/>
            <w:tcBorders>
              <w:top w:val="single" w:color="auto" w:sz="2" w:space="0"/>
              <w:left w:val="single" w:color="auto" w:sz="2" w:space="0"/>
              <w:bottom w:val="single" w:color="auto" w:sz="2" w:space="0"/>
              <w:right w:val="single" w:color="auto" w:sz="2" w:space="0"/>
            </w:tcBorders>
            <w:vAlign w:val="center"/>
          </w:tcPr>
          <w:p w14:paraId="0F84510D">
            <w:pPr>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020-32211255</w:t>
            </w:r>
          </w:p>
        </w:tc>
      </w:tr>
      <w:tr w14:paraId="7FD6F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24" w:type="dxa"/>
            <w:tcBorders>
              <w:top w:val="single" w:color="auto" w:sz="2" w:space="0"/>
              <w:left w:val="single" w:color="auto" w:sz="2" w:space="0"/>
              <w:bottom w:val="single" w:color="auto" w:sz="2" w:space="0"/>
              <w:right w:val="single" w:color="auto" w:sz="2" w:space="0"/>
            </w:tcBorders>
            <w:shd w:val="clear" w:color="auto" w:fill="D3D3D3"/>
            <w:vAlign w:val="center"/>
          </w:tcPr>
          <w:p w14:paraId="68B5C8F7">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电话</w:t>
            </w:r>
          </w:p>
        </w:tc>
        <w:tc>
          <w:tcPr>
            <w:tcW w:w="3055" w:type="dxa"/>
            <w:tcBorders>
              <w:top w:val="single" w:color="auto" w:sz="2" w:space="0"/>
              <w:left w:val="single" w:color="auto" w:sz="2" w:space="0"/>
              <w:bottom w:val="single" w:color="auto" w:sz="2" w:space="0"/>
              <w:right w:val="single" w:color="auto" w:sz="2" w:space="0"/>
            </w:tcBorders>
            <w:vAlign w:val="center"/>
          </w:tcPr>
          <w:p w14:paraId="20EBA2DE">
            <w:pPr>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020-32052295</w:t>
            </w:r>
          </w:p>
        </w:tc>
        <w:tc>
          <w:tcPr>
            <w:tcW w:w="2960" w:type="dxa"/>
            <w:gridSpan w:val="2"/>
            <w:tcBorders>
              <w:top w:val="single" w:color="auto" w:sz="2" w:space="0"/>
              <w:left w:val="single" w:color="auto" w:sz="2" w:space="0"/>
              <w:bottom w:val="single" w:color="auto" w:sz="2" w:space="0"/>
              <w:right w:val="single" w:color="auto" w:sz="2" w:space="0"/>
            </w:tcBorders>
            <w:vAlign w:val="center"/>
          </w:tcPr>
          <w:p w14:paraId="0AD3F126">
            <w:pPr>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020-32052295</w:t>
            </w:r>
          </w:p>
        </w:tc>
      </w:tr>
      <w:tr w14:paraId="672E7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24" w:type="dxa"/>
            <w:tcBorders>
              <w:top w:val="single" w:color="auto" w:sz="2" w:space="0"/>
              <w:left w:val="single" w:color="auto" w:sz="2" w:space="0"/>
              <w:bottom w:val="single" w:color="auto" w:sz="2" w:space="0"/>
              <w:right w:val="single" w:color="auto" w:sz="2" w:space="0"/>
            </w:tcBorders>
            <w:shd w:val="clear" w:color="auto" w:fill="D3D3D3"/>
            <w:vAlign w:val="center"/>
          </w:tcPr>
          <w:p w14:paraId="740566BB">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电子信箱</w:t>
            </w:r>
          </w:p>
        </w:tc>
        <w:tc>
          <w:tcPr>
            <w:tcW w:w="3055" w:type="dxa"/>
            <w:tcBorders>
              <w:top w:val="single" w:color="auto" w:sz="2" w:space="0"/>
              <w:left w:val="single" w:color="auto" w:sz="2" w:space="0"/>
              <w:bottom w:val="single" w:color="auto" w:sz="2" w:space="0"/>
              <w:right w:val="single" w:color="auto" w:sz="2" w:space="0"/>
            </w:tcBorders>
            <w:vAlign w:val="center"/>
          </w:tcPr>
          <w:p w14:paraId="0E430A40">
            <w:pPr>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ir@guanhaobio.com</w:t>
            </w:r>
          </w:p>
        </w:tc>
        <w:tc>
          <w:tcPr>
            <w:tcW w:w="2960" w:type="dxa"/>
            <w:gridSpan w:val="2"/>
            <w:tcBorders>
              <w:top w:val="single" w:color="auto" w:sz="2" w:space="0"/>
              <w:left w:val="single" w:color="auto" w:sz="2" w:space="0"/>
              <w:bottom w:val="single" w:color="auto" w:sz="2" w:space="0"/>
              <w:right w:val="single" w:color="auto" w:sz="2" w:space="0"/>
            </w:tcBorders>
            <w:vAlign w:val="center"/>
          </w:tcPr>
          <w:p w14:paraId="3CECE588">
            <w:pPr>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ir@guanhaobio.com</w:t>
            </w:r>
          </w:p>
        </w:tc>
      </w:tr>
    </w:tbl>
    <w:p w14:paraId="7CFE0768">
      <w:pPr>
        <w:pStyle w:val="3"/>
        <w:spacing w:line="280" w:lineRule="exact"/>
        <w:jc w:val="left"/>
        <w:rPr>
          <w:rFonts w:hint="eastAsia" w:ascii="宋体" w:hAnsi="宋体" w:cs="宋体"/>
          <w:b/>
          <w:bCs/>
        </w:rPr>
      </w:pPr>
      <w:bookmarkStart w:id="3" w:name="_Toc988892"/>
      <w:r>
        <w:rPr>
          <w:rFonts w:ascii="Times New Roman" w:hAnsi="Times New Roman" w:cs="Times New Roman"/>
          <w:b/>
          <w:bCs/>
        </w:rPr>
        <w:t>2</w:t>
      </w:r>
      <w:r>
        <w:rPr>
          <w:rFonts w:ascii="宋体" w:hAnsi="宋体" w:cs="宋体"/>
          <w:b/>
          <w:bCs/>
        </w:rPr>
        <w:t>、报告期主要业务或产品简介</w:t>
      </w:r>
      <w:bookmarkEnd w:id="3"/>
    </w:p>
    <w:p w14:paraId="386F17C5">
      <w:pPr>
        <w:pStyle w:val="6"/>
        <w:spacing w:before="0" w:beforeAutospacing="0" w:after="0" w:afterAutospacing="0"/>
        <w:ind w:firstLine="360" w:firstLineChars="200"/>
        <w:rPr>
          <w:rFonts w:hint="eastAsia"/>
        </w:rPr>
      </w:pPr>
      <w:r>
        <w:rPr>
          <w:rFonts w:hint="eastAsia"/>
          <w:sz w:val="18"/>
          <w:szCs w:val="18"/>
        </w:rPr>
        <w:t>冠昊生物是一家立足再生医学产业，拓展生命健康相关领域，嫁接全球高端技术资源和成果的高新技术企业，持续在生物医药及先进医疗技术、产品业务领域布局，核心业务形成“</w:t>
      </w:r>
      <w:r>
        <w:rPr>
          <w:rFonts w:ascii="Times New Roman" w:hAnsi="Times New Roman" w:cs="Times New Roman"/>
          <w:sz w:val="18"/>
          <w:szCs w:val="18"/>
        </w:rPr>
        <w:t>3</w:t>
      </w:r>
      <w:r>
        <w:rPr>
          <w:rFonts w:hint="eastAsia"/>
          <w:sz w:val="18"/>
          <w:szCs w:val="18"/>
        </w:rPr>
        <w:t>+</w:t>
      </w:r>
      <w:r>
        <w:rPr>
          <w:rFonts w:ascii="Times New Roman" w:hAnsi="Times New Roman" w:cs="Times New Roman"/>
          <w:sz w:val="18"/>
          <w:szCs w:val="18"/>
        </w:rPr>
        <w:t>1</w:t>
      </w:r>
      <w:r>
        <w:rPr>
          <w:rFonts w:hint="eastAsia"/>
          <w:sz w:val="18"/>
          <w:szCs w:val="18"/>
        </w:rPr>
        <w:t>”格局，即生物材料、药业、细胞三大业务板块和一个科技孵化平台。</w:t>
      </w:r>
    </w:p>
    <w:p w14:paraId="18EFA521">
      <w:pPr>
        <w:pStyle w:val="6"/>
        <w:spacing w:before="0" w:beforeAutospacing="0" w:after="0" w:afterAutospacing="0"/>
        <w:ind w:firstLine="360" w:firstLineChars="200"/>
        <w:rPr>
          <w:rFonts w:hint="eastAsia"/>
        </w:rPr>
      </w:pPr>
      <w:r>
        <w:rPr>
          <w:rFonts w:hint="eastAsia"/>
          <w:sz w:val="18"/>
          <w:szCs w:val="18"/>
        </w:rPr>
        <w:t>报告期内，公司自有主要产品及其用途如下：</w:t>
      </w:r>
    </w:p>
    <w:tbl>
      <w:tblPr>
        <w:tblStyle w:val="7"/>
        <w:tblW w:w="9210" w:type="dxa"/>
        <w:jc w:val="center"/>
        <w:tblLayout w:type="autofit"/>
        <w:tblCellMar>
          <w:top w:w="0" w:type="dxa"/>
          <w:left w:w="0" w:type="dxa"/>
          <w:bottom w:w="0" w:type="dxa"/>
          <w:right w:w="0" w:type="dxa"/>
        </w:tblCellMar>
      </w:tblPr>
      <w:tblGrid>
        <w:gridCol w:w="2175"/>
        <w:gridCol w:w="1907"/>
        <w:gridCol w:w="5128"/>
      </w:tblGrid>
      <w:tr w14:paraId="569C68CF">
        <w:tblPrEx>
          <w:tblCellMar>
            <w:top w:w="0" w:type="dxa"/>
            <w:left w:w="0" w:type="dxa"/>
            <w:bottom w:w="0" w:type="dxa"/>
            <w:right w:w="0" w:type="dxa"/>
          </w:tblCellMar>
        </w:tblPrEx>
        <w:trPr>
          <w:tblHeader/>
          <w:jc w:val="center"/>
        </w:trPr>
        <w:tc>
          <w:tcPr>
            <w:tcW w:w="2175" w:type="dxa"/>
            <w:tcBorders>
              <w:top w:val="single" w:color="auto" w:sz="8" w:space="0"/>
              <w:left w:val="single" w:color="auto" w:sz="8" w:space="0"/>
              <w:bottom w:val="single" w:color="auto" w:sz="8" w:space="0"/>
              <w:right w:val="single" w:color="auto" w:sz="8" w:space="0"/>
            </w:tcBorders>
            <w:shd w:val="clear" w:color="auto" w:fill="BFBFBF"/>
            <w:noWrap/>
            <w:tcMar>
              <w:top w:w="10" w:type="dxa"/>
              <w:left w:w="10" w:type="dxa"/>
              <w:bottom w:w="0" w:type="dxa"/>
              <w:right w:w="10" w:type="dxa"/>
            </w:tcMar>
            <w:vAlign w:val="center"/>
          </w:tcPr>
          <w:p w14:paraId="3C9E9E2F">
            <w:pPr>
              <w:pStyle w:val="6"/>
              <w:jc w:val="center"/>
              <w:textAlignment w:val="center"/>
              <w:rPr>
                <w:rFonts w:hint="eastAsia"/>
              </w:rPr>
            </w:pPr>
            <w:r>
              <w:rPr>
                <w:rStyle w:val="9"/>
                <w:rFonts w:hint="eastAsia"/>
                <w:color w:val="000000"/>
                <w:sz w:val="18"/>
                <w:szCs w:val="18"/>
              </w:rPr>
              <w:t>产品名称</w:t>
            </w:r>
          </w:p>
        </w:tc>
        <w:tc>
          <w:tcPr>
            <w:tcW w:w="1907" w:type="dxa"/>
            <w:tcBorders>
              <w:top w:val="single" w:color="auto" w:sz="8" w:space="0"/>
              <w:left w:val="nil"/>
              <w:bottom w:val="single" w:color="auto" w:sz="8" w:space="0"/>
              <w:right w:val="single" w:color="auto" w:sz="8" w:space="0"/>
            </w:tcBorders>
            <w:shd w:val="clear" w:color="auto" w:fill="BFBFBF"/>
            <w:noWrap/>
            <w:tcMar>
              <w:top w:w="10" w:type="dxa"/>
              <w:left w:w="10" w:type="dxa"/>
              <w:bottom w:w="0" w:type="dxa"/>
              <w:right w:w="10" w:type="dxa"/>
            </w:tcMar>
            <w:vAlign w:val="center"/>
          </w:tcPr>
          <w:p w14:paraId="2C273795">
            <w:pPr>
              <w:pStyle w:val="6"/>
              <w:jc w:val="center"/>
              <w:textAlignment w:val="center"/>
              <w:rPr>
                <w:rFonts w:hint="eastAsia"/>
              </w:rPr>
            </w:pPr>
            <w:r>
              <w:rPr>
                <w:rStyle w:val="9"/>
                <w:rFonts w:hint="eastAsia"/>
                <w:color w:val="000000"/>
                <w:sz w:val="18"/>
                <w:szCs w:val="18"/>
              </w:rPr>
              <w:t>产品分类</w:t>
            </w:r>
          </w:p>
        </w:tc>
        <w:tc>
          <w:tcPr>
            <w:tcW w:w="5127" w:type="dxa"/>
            <w:tcBorders>
              <w:top w:val="single" w:color="auto" w:sz="8" w:space="0"/>
              <w:left w:val="nil"/>
              <w:bottom w:val="single" w:color="auto" w:sz="8" w:space="0"/>
              <w:right w:val="single" w:color="auto" w:sz="8" w:space="0"/>
            </w:tcBorders>
            <w:shd w:val="clear" w:color="auto" w:fill="BFBFBF"/>
            <w:noWrap/>
            <w:tcMar>
              <w:top w:w="10" w:type="dxa"/>
              <w:left w:w="10" w:type="dxa"/>
              <w:bottom w:w="0" w:type="dxa"/>
              <w:right w:w="10" w:type="dxa"/>
            </w:tcMar>
            <w:vAlign w:val="center"/>
          </w:tcPr>
          <w:p w14:paraId="778C260B">
            <w:pPr>
              <w:pStyle w:val="6"/>
              <w:jc w:val="center"/>
              <w:textAlignment w:val="center"/>
              <w:rPr>
                <w:rFonts w:hint="eastAsia"/>
              </w:rPr>
            </w:pPr>
            <w:r>
              <w:rPr>
                <w:rStyle w:val="9"/>
                <w:rFonts w:hint="eastAsia"/>
                <w:color w:val="000000"/>
                <w:sz w:val="18"/>
                <w:szCs w:val="18"/>
              </w:rPr>
              <w:t>适用范围</w:t>
            </w:r>
          </w:p>
        </w:tc>
      </w:tr>
      <w:tr w14:paraId="2AD0B710">
        <w:tblPrEx>
          <w:tblCellMar>
            <w:top w:w="0" w:type="dxa"/>
            <w:left w:w="0" w:type="dxa"/>
            <w:bottom w:w="0" w:type="dxa"/>
            <w:right w:w="0" w:type="dxa"/>
          </w:tblCellMar>
        </w:tblPrEx>
        <w:trPr>
          <w:trHeight w:val="90" w:hRule="atLeast"/>
          <w:jc w:val="center"/>
        </w:trPr>
        <w:tc>
          <w:tcPr>
            <w:tcW w:w="2175" w:type="dxa"/>
            <w:tcBorders>
              <w:top w:val="nil"/>
              <w:left w:val="single" w:color="auto" w:sz="8" w:space="0"/>
              <w:bottom w:val="single" w:color="auto" w:sz="8" w:space="0"/>
              <w:right w:val="single" w:color="auto" w:sz="8" w:space="0"/>
            </w:tcBorders>
            <w:shd w:val="clear" w:color="auto" w:fill="BFBFBF"/>
            <w:noWrap/>
            <w:tcMar>
              <w:top w:w="10" w:type="dxa"/>
              <w:left w:w="10" w:type="dxa"/>
              <w:bottom w:w="0" w:type="dxa"/>
              <w:right w:w="10" w:type="dxa"/>
            </w:tcMar>
            <w:vAlign w:val="center"/>
          </w:tcPr>
          <w:p w14:paraId="496DADEE">
            <w:pPr>
              <w:pStyle w:val="6"/>
              <w:jc w:val="center"/>
              <w:textAlignment w:val="center"/>
              <w:rPr>
                <w:rFonts w:hint="eastAsia"/>
              </w:rPr>
            </w:pPr>
            <w:r>
              <w:rPr>
                <w:rFonts w:hint="eastAsia"/>
                <w:color w:val="000000"/>
                <w:sz w:val="18"/>
                <w:szCs w:val="18"/>
              </w:rPr>
              <w:t>生物型硬脑（脊）膜补片</w:t>
            </w:r>
          </w:p>
        </w:tc>
        <w:tc>
          <w:tcPr>
            <w:tcW w:w="1907" w:type="dxa"/>
            <w:tcBorders>
              <w:top w:val="nil"/>
              <w:left w:val="nil"/>
              <w:bottom w:val="single" w:color="auto" w:sz="8" w:space="0"/>
              <w:right w:val="single" w:color="auto" w:sz="8" w:space="0"/>
            </w:tcBorders>
            <w:noWrap/>
            <w:tcMar>
              <w:top w:w="10" w:type="dxa"/>
              <w:left w:w="10" w:type="dxa"/>
              <w:bottom w:w="0" w:type="dxa"/>
              <w:right w:w="10" w:type="dxa"/>
            </w:tcMar>
            <w:vAlign w:val="center"/>
          </w:tcPr>
          <w:p w14:paraId="0FB67069">
            <w:pPr>
              <w:pStyle w:val="6"/>
              <w:jc w:val="center"/>
              <w:textAlignment w:val="center"/>
              <w:rPr>
                <w:rFonts w:hint="eastAsia"/>
              </w:rPr>
            </w:pPr>
            <w:r>
              <w:rPr>
                <w:rFonts w:hint="eastAsia"/>
                <w:color w:val="000000"/>
                <w:sz w:val="18"/>
                <w:szCs w:val="18"/>
              </w:rPr>
              <w:t>第三类植入性医疗器械</w:t>
            </w:r>
          </w:p>
        </w:tc>
        <w:tc>
          <w:tcPr>
            <w:tcW w:w="5127" w:type="dxa"/>
            <w:tcBorders>
              <w:top w:val="nil"/>
              <w:left w:val="nil"/>
              <w:bottom w:val="single" w:color="auto" w:sz="8" w:space="0"/>
              <w:right w:val="single" w:color="auto" w:sz="8" w:space="0"/>
            </w:tcBorders>
            <w:tcMar>
              <w:top w:w="10" w:type="dxa"/>
              <w:left w:w="10" w:type="dxa"/>
              <w:bottom w:w="0" w:type="dxa"/>
              <w:right w:w="10" w:type="dxa"/>
            </w:tcMar>
            <w:vAlign w:val="center"/>
          </w:tcPr>
          <w:p w14:paraId="650323AA">
            <w:pPr>
              <w:pStyle w:val="6"/>
              <w:spacing w:before="0" w:beforeAutospacing="0" w:after="0" w:afterAutospacing="0"/>
              <w:ind w:left="220"/>
              <w:textAlignment w:val="center"/>
              <w:rPr>
                <w:rFonts w:hint="eastAsia"/>
              </w:rPr>
            </w:pPr>
            <w:r>
              <w:rPr>
                <w:rFonts w:ascii="Times New Roman" w:hAnsi="Times New Roman" w:cs="Times New Roman"/>
                <w:color w:val="000000"/>
                <w:sz w:val="18"/>
                <w:szCs w:val="18"/>
              </w:rPr>
              <w:t>1</w:t>
            </w:r>
            <w:r>
              <w:rPr>
                <w:rFonts w:hint="eastAsia"/>
                <w:color w:val="000000"/>
                <w:sz w:val="18"/>
                <w:szCs w:val="18"/>
              </w:rPr>
              <w:t>.颅脑、脊柱损伤后，硬脑（脊）膜的修补；</w:t>
            </w:r>
          </w:p>
          <w:p w14:paraId="447C2173">
            <w:pPr>
              <w:pStyle w:val="6"/>
              <w:spacing w:before="0" w:beforeAutospacing="0" w:after="0" w:afterAutospacing="0"/>
              <w:ind w:left="220"/>
              <w:textAlignment w:val="center"/>
              <w:rPr>
                <w:rFonts w:hint="eastAsia"/>
              </w:rPr>
            </w:pPr>
            <w:r>
              <w:rPr>
                <w:rFonts w:ascii="Times New Roman" w:hAnsi="Times New Roman" w:cs="Times New Roman"/>
                <w:color w:val="000000"/>
                <w:sz w:val="18"/>
                <w:szCs w:val="18"/>
              </w:rPr>
              <w:t>2</w:t>
            </w:r>
            <w:r>
              <w:rPr>
                <w:rFonts w:hint="eastAsia"/>
                <w:color w:val="000000"/>
                <w:sz w:val="18"/>
                <w:szCs w:val="18"/>
              </w:rPr>
              <w:t>.脑、脊柱肿瘤术后，硬脑（脊）膜的修补；</w:t>
            </w:r>
          </w:p>
          <w:p w14:paraId="691C19CF">
            <w:pPr>
              <w:pStyle w:val="6"/>
              <w:spacing w:before="0" w:beforeAutospacing="0" w:after="0" w:afterAutospacing="0"/>
              <w:ind w:left="220"/>
              <w:textAlignment w:val="center"/>
              <w:rPr>
                <w:rFonts w:hint="eastAsia"/>
              </w:rPr>
            </w:pPr>
            <w:r>
              <w:rPr>
                <w:rFonts w:ascii="Times New Roman" w:hAnsi="Times New Roman" w:cs="Times New Roman"/>
                <w:color w:val="000000"/>
                <w:sz w:val="18"/>
                <w:szCs w:val="18"/>
              </w:rPr>
              <w:t>3</w:t>
            </w:r>
            <w:r>
              <w:rPr>
                <w:rFonts w:hint="eastAsia"/>
                <w:color w:val="000000"/>
                <w:sz w:val="18"/>
                <w:szCs w:val="18"/>
              </w:rPr>
              <w:t>.脑出血术后，硬脑（脊）膜的修补；</w:t>
            </w:r>
          </w:p>
          <w:p w14:paraId="7616FCA7">
            <w:pPr>
              <w:pStyle w:val="6"/>
              <w:spacing w:before="0" w:beforeAutospacing="0" w:after="0" w:afterAutospacing="0"/>
              <w:ind w:left="220"/>
              <w:textAlignment w:val="center"/>
              <w:rPr>
                <w:rFonts w:hint="eastAsia"/>
              </w:rPr>
            </w:pPr>
            <w:r>
              <w:rPr>
                <w:rFonts w:ascii="Times New Roman" w:hAnsi="Times New Roman" w:cs="Times New Roman"/>
                <w:color w:val="000000"/>
                <w:sz w:val="18"/>
                <w:szCs w:val="18"/>
              </w:rPr>
              <w:t>4</w:t>
            </w:r>
            <w:r>
              <w:rPr>
                <w:rFonts w:hint="eastAsia"/>
                <w:color w:val="000000"/>
                <w:sz w:val="18"/>
                <w:szCs w:val="18"/>
              </w:rPr>
              <w:t>.颅内高压减压，椎管内减压，硬脑（脊）膜的修补；</w:t>
            </w:r>
          </w:p>
          <w:p w14:paraId="6AE7866E">
            <w:pPr>
              <w:pStyle w:val="6"/>
              <w:spacing w:before="0" w:beforeAutospacing="0" w:after="0" w:afterAutospacing="0"/>
              <w:ind w:left="220"/>
              <w:textAlignment w:val="center"/>
              <w:rPr>
                <w:rFonts w:hint="eastAsia"/>
              </w:rPr>
            </w:pPr>
            <w:r>
              <w:rPr>
                <w:rFonts w:ascii="Times New Roman" w:hAnsi="Times New Roman" w:cs="Times New Roman"/>
                <w:color w:val="000000"/>
                <w:sz w:val="18"/>
                <w:szCs w:val="18"/>
              </w:rPr>
              <w:t>5</w:t>
            </w:r>
            <w:r>
              <w:rPr>
                <w:rFonts w:hint="eastAsia"/>
                <w:color w:val="000000"/>
                <w:sz w:val="18"/>
                <w:szCs w:val="18"/>
              </w:rPr>
              <w:t>.硬膜下血肿，硬脑（脊）膜的修补；</w:t>
            </w:r>
          </w:p>
          <w:p w14:paraId="4F1D1C3A">
            <w:pPr>
              <w:pStyle w:val="6"/>
              <w:spacing w:before="0" w:beforeAutospacing="0" w:after="0" w:afterAutospacing="0"/>
              <w:ind w:left="220"/>
              <w:textAlignment w:val="center"/>
              <w:rPr>
                <w:rFonts w:hint="eastAsia"/>
              </w:rPr>
            </w:pPr>
            <w:r>
              <w:rPr>
                <w:rFonts w:ascii="Times New Roman" w:hAnsi="Times New Roman" w:cs="Times New Roman"/>
                <w:color w:val="000000"/>
                <w:sz w:val="18"/>
                <w:szCs w:val="18"/>
              </w:rPr>
              <w:t>6</w:t>
            </w:r>
            <w:r>
              <w:rPr>
                <w:rFonts w:hint="eastAsia"/>
                <w:color w:val="000000"/>
                <w:sz w:val="18"/>
                <w:szCs w:val="18"/>
              </w:rPr>
              <w:t>.其它有需硬脑膜替代或加强的病症，硬脑（脊）膜的修补。</w:t>
            </w:r>
          </w:p>
        </w:tc>
      </w:tr>
      <w:tr w14:paraId="4D8CD273">
        <w:tblPrEx>
          <w:tblCellMar>
            <w:top w:w="0" w:type="dxa"/>
            <w:left w:w="0" w:type="dxa"/>
            <w:bottom w:w="0" w:type="dxa"/>
            <w:right w:w="0" w:type="dxa"/>
          </w:tblCellMar>
        </w:tblPrEx>
        <w:trPr>
          <w:jc w:val="center"/>
        </w:trPr>
        <w:tc>
          <w:tcPr>
            <w:tcW w:w="2175" w:type="dxa"/>
            <w:tcBorders>
              <w:top w:val="nil"/>
              <w:left w:val="single" w:color="auto" w:sz="8" w:space="0"/>
              <w:bottom w:val="single" w:color="auto" w:sz="8" w:space="0"/>
              <w:right w:val="single" w:color="auto" w:sz="8" w:space="0"/>
            </w:tcBorders>
            <w:shd w:val="clear" w:color="auto" w:fill="BFBFBF"/>
            <w:noWrap/>
            <w:tcMar>
              <w:top w:w="10" w:type="dxa"/>
              <w:left w:w="10" w:type="dxa"/>
              <w:bottom w:w="0" w:type="dxa"/>
              <w:right w:w="10" w:type="dxa"/>
            </w:tcMar>
            <w:vAlign w:val="center"/>
          </w:tcPr>
          <w:p w14:paraId="240B9A0F">
            <w:pPr>
              <w:pStyle w:val="6"/>
              <w:jc w:val="center"/>
              <w:textAlignment w:val="center"/>
              <w:rPr>
                <w:rFonts w:hint="eastAsia"/>
              </w:rPr>
            </w:pPr>
            <w:r>
              <w:rPr>
                <w:rFonts w:ascii="Times New Roman" w:hAnsi="Times New Roman" w:cs="Times New Roman"/>
                <w:color w:val="000000"/>
                <w:sz w:val="18"/>
                <w:szCs w:val="18"/>
              </w:rPr>
              <w:t>B</w:t>
            </w:r>
            <w:r>
              <w:rPr>
                <w:rFonts w:hint="eastAsia"/>
                <w:color w:val="000000"/>
                <w:sz w:val="18"/>
                <w:szCs w:val="18"/>
              </w:rPr>
              <w:t>型硬脑（脊）膜补片</w:t>
            </w:r>
          </w:p>
        </w:tc>
        <w:tc>
          <w:tcPr>
            <w:tcW w:w="1907" w:type="dxa"/>
            <w:tcBorders>
              <w:top w:val="nil"/>
              <w:left w:val="nil"/>
              <w:bottom w:val="single" w:color="auto" w:sz="8" w:space="0"/>
              <w:right w:val="single" w:color="auto" w:sz="8" w:space="0"/>
            </w:tcBorders>
            <w:noWrap/>
            <w:tcMar>
              <w:top w:w="10" w:type="dxa"/>
              <w:left w:w="10" w:type="dxa"/>
              <w:bottom w:w="0" w:type="dxa"/>
              <w:right w:w="10" w:type="dxa"/>
            </w:tcMar>
            <w:vAlign w:val="center"/>
          </w:tcPr>
          <w:p w14:paraId="6C220298">
            <w:pPr>
              <w:pStyle w:val="6"/>
              <w:jc w:val="center"/>
              <w:textAlignment w:val="center"/>
              <w:rPr>
                <w:rFonts w:hint="eastAsia"/>
              </w:rPr>
            </w:pPr>
            <w:r>
              <w:rPr>
                <w:rFonts w:hint="eastAsia"/>
                <w:color w:val="000000"/>
                <w:sz w:val="18"/>
                <w:szCs w:val="18"/>
              </w:rPr>
              <w:t>第三类植入性医疗器械</w:t>
            </w:r>
          </w:p>
        </w:tc>
        <w:tc>
          <w:tcPr>
            <w:tcW w:w="5127" w:type="dxa"/>
            <w:tcBorders>
              <w:top w:val="nil"/>
              <w:left w:val="nil"/>
              <w:bottom w:val="single" w:color="auto" w:sz="8" w:space="0"/>
              <w:right w:val="single" w:color="auto" w:sz="8" w:space="0"/>
            </w:tcBorders>
            <w:tcMar>
              <w:top w:w="10" w:type="dxa"/>
              <w:left w:w="10" w:type="dxa"/>
              <w:bottom w:w="0" w:type="dxa"/>
              <w:right w:w="10" w:type="dxa"/>
            </w:tcMar>
            <w:vAlign w:val="center"/>
          </w:tcPr>
          <w:p w14:paraId="6FCA768E">
            <w:pPr>
              <w:pStyle w:val="6"/>
              <w:spacing w:before="0" w:beforeAutospacing="0" w:after="0" w:afterAutospacing="0"/>
              <w:ind w:left="220"/>
              <w:textAlignment w:val="center"/>
              <w:rPr>
                <w:rFonts w:hint="eastAsia"/>
              </w:rPr>
            </w:pPr>
            <w:r>
              <w:rPr>
                <w:rFonts w:ascii="Times New Roman" w:hAnsi="Times New Roman" w:cs="Times New Roman"/>
                <w:color w:val="000000"/>
                <w:sz w:val="18"/>
                <w:szCs w:val="18"/>
              </w:rPr>
              <w:t>1</w:t>
            </w:r>
            <w:r>
              <w:rPr>
                <w:rFonts w:hint="eastAsia"/>
                <w:color w:val="000000"/>
                <w:sz w:val="18"/>
                <w:szCs w:val="18"/>
              </w:rPr>
              <w:t>.颅脑、脊柱损伤后，硬脑（脊）膜的修补；</w:t>
            </w:r>
          </w:p>
          <w:p w14:paraId="453310CF">
            <w:pPr>
              <w:pStyle w:val="6"/>
              <w:spacing w:before="0" w:beforeAutospacing="0" w:after="0" w:afterAutospacing="0"/>
              <w:ind w:left="220"/>
              <w:textAlignment w:val="center"/>
              <w:rPr>
                <w:rFonts w:hint="eastAsia"/>
              </w:rPr>
            </w:pPr>
            <w:r>
              <w:rPr>
                <w:rFonts w:ascii="Times New Roman" w:hAnsi="Times New Roman" w:cs="Times New Roman"/>
                <w:color w:val="000000"/>
                <w:sz w:val="18"/>
                <w:szCs w:val="18"/>
              </w:rPr>
              <w:t>2</w:t>
            </w:r>
            <w:r>
              <w:rPr>
                <w:rFonts w:hint="eastAsia"/>
                <w:color w:val="000000"/>
                <w:sz w:val="18"/>
                <w:szCs w:val="18"/>
              </w:rPr>
              <w:t>.脑、脊柱肿瘤术后，硬脑（脊）膜的修补；</w:t>
            </w:r>
          </w:p>
          <w:p w14:paraId="5318AC57">
            <w:pPr>
              <w:pStyle w:val="6"/>
              <w:spacing w:before="0" w:beforeAutospacing="0" w:after="0" w:afterAutospacing="0"/>
              <w:ind w:left="220"/>
              <w:textAlignment w:val="center"/>
              <w:rPr>
                <w:rFonts w:hint="eastAsia"/>
              </w:rPr>
            </w:pPr>
            <w:r>
              <w:rPr>
                <w:rFonts w:ascii="Times New Roman" w:hAnsi="Times New Roman" w:cs="Times New Roman"/>
                <w:color w:val="000000"/>
                <w:sz w:val="18"/>
                <w:szCs w:val="18"/>
              </w:rPr>
              <w:t>3</w:t>
            </w:r>
            <w:r>
              <w:rPr>
                <w:rFonts w:hint="eastAsia"/>
                <w:color w:val="000000"/>
                <w:sz w:val="18"/>
                <w:szCs w:val="18"/>
              </w:rPr>
              <w:t>.脑出血术后，硬脑（脊）膜的修补；</w:t>
            </w:r>
          </w:p>
          <w:p w14:paraId="749868F5">
            <w:pPr>
              <w:pStyle w:val="6"/>
              <w:spacing w:before="0" w:beforeAutospacing="0" w:after="0" w:afterAutospacing="0"/>
              <w:ind w:left="220"/>
              <w:textAlignment w:val="center"/>
              <w:rPr>
                <w:rFonts w:hint="eastAsia"/>
              </w:rPr>
            </w:pPr>
            <w:r>
              <w:rPr>
                <w:rFonts w:ascii="Times New Roman" w:hAnsi="Times New Roman" w:cs="Times New Roman"/>
                <w:color w:val="000000"/>
                <w:sz w:val="18"/>
                <w:szCs w:val="18"/>
              </w:rPr>
              <w:t>4</w:t>
            </w:r>
            <w:r>
              <w:rPr>
                <w:rFonts w:hint="eastAsia"/>
                <w:color w:val="000000"/>
                <w:sz w:val="18"/>
                <w:szCs w:val="18"/>
              </w:rPr>
              <w:t>.颅内高压减压，椎管内减压，硬脑（脊）膜的修补；</w:t>
            </w:r>
          </w:p>
          <w:p w14:paraId="15FF79AA">
            <w:pPr>
              <w:pStyle w:val="6"/>
              <w:spacing w:before="0" w:beforeAutospacing="0" w:after="0" w:afterAutospacing="0"/>
              <w:ind w:left="220"/>
              <w:textAlignment w:val="center"/>
              <w:rPr>
                <w:rFonts w:hint="eastAsia"/>
              </w:rPr>
            </w:pPr>
            <w:r>
              <w:rPr>
                <w:rFonts w:ascii="Times New Roman" w:hAnsi="Times New Roman" w:cs="Times New Roman"/>
                <w:color w:val="000000"/>
                <w:sz w:val="18"/>
                <w:szCs w:val="18"/>
              </w:rPr>
              <w:t>5</w:t>
            </w:r>
            <w:r>
              <w:rPr>
                <w:rFonts w:hint="eastAsia"/>
                <w:color w:val="000000"/>
                <w:sz w:val="18"/>
                <w:szCs w:val="18"/>
              </w:rPr>
              <w:t>.硬膜下血肿，硬脑（脊）膜的修补；</w:t>
            </w:r>
          </w:p>
          <w:p w14:paraId="04EB2F93">
            <w:pPr>
              <w:pStyle w:val="6"/>
              <w:spacing w:before="0" w:beforeAutospacing="0" w:after="0" w:afterAutospacing="0"/>
              <w:ind w:left="220"/>
              <w:textAlignment w:val="center"/>
              <w:rPr>
                <w:rFonts w:hint="eastAsia"/>
              </w:rPr>
            </w:pPr>
            <w:r>
              <w:rPr>
                <w:rFonts w:ascii="Times New Roman" w:hAnsi="Times New Roman" w:cs="Times New Roman"/>
                <w:color w:val="000000"/>
                <w:sz w:val="18"/>
                <w:szCs w:val="18"/>
              </w:rPr>
              <w:t>6</w:t>
            </w:r>
            <w:r>
              <w:rPr>
                <w:rFonts w:hint="eastAsia"/>
                <w:color w:val="000000"/>
                <w:sz w:val="18"/>
                <w:szCs w:val="18"/>
              </w:rPr>
              <w:t>.其它有需硬脑膜替代或加强的病症，硬脑（脊）膜的修补。</w:t>
            </w:r>
          </w:p>
        </w:tc>
      </w:tr>
      <w:tr w14:paraId="70113BF8">
        <w:tblPrEx>
          <w:tblCellMar>
            <w:top w:w="0" w:type="dxa"/>
            <w:left w:w="0" w:type="dxa"/>
            <w:bottom w:w="0" w:type="dxa"/>
            <w:right w:w="0" w:type="dxa"/>
          </w:tblCellMar>
        </w:tblPrEx>
        <w:trPr>
          <w:jc w:val="center"/>
        </w:trPr>
        <w:tc>
          <w:tcPr>
            <w:tcW w:w="2175" w:type="dxa"/>
            <w:tcBorders>
              <w:top w:val="nil"/>
              <w:left w:val="single" w:color="auto" w:sz="8" w:space="0"/>
              <w:bottom w:val="single" w:color="auto" w:sz="8" w:space="0"/>
              <w:right w:val="single" w:color="auto" w:sz="8" w:space="0"/>
            </w:tcBorders>
            <w:shd w:val="clear" w:color="auto" w:fill="BFBFBF"/>
            <w:noWrap/>
            <w:tcMar>
              <w:top w:w="10" w:type="dxa"/>
              <w:left w:w="10" w:type="dxa"/>
              <w:bottom w:w="0" w:type="dxa"/>
              <w:right w:w="10" w:type="dxa"/>
            </w:tcMar>
            <w:vAlign w:val="center"/>
          </w:tcPr>
          <w:p w14:paraId="2E725A86">
            <w:pPr>
              <w:pStyle w:val="6"/>
              <w:jc w:val="center"/>
              <w:textAlignment w:val="center"/>
              <w:rPr>
                <w:rFonts w:hint="eastAsia"/>
              </w:rPr>
            </w:pPr>
            <w:r>
              <w:rPr>
                <w:rFonts w:hint="eastAsia"/>
                <w:color w:val="000000"/>
                <w:sz w:val="18"/>
                <w:szCs w:val="18"/>
              </w:rPr>
              <w:t>无菌生物护创膜</w:t>
            </w:r>
          </w:p>
        </w:tc>
        <w:tc>
          <w:tcPr>
            <w:tcW w:w="1907" w:type="dxa"/>
            <w:tcBorders>
              <w:top w:val="nil"/>
              <w:left w:val="nil"/>
              <w:bottom w:val="single" w:color="auto" w:sz="8" w:space="0"/>
              <w:right w:val="single" w:color="auto" w:sz="8" w:space="0"/>
            </w:tcBorders>
            <w:noWrap/>
            <w:tcMar>
              <w:top w:w="10" w:type="dxa"/>
              <w:left w:w="10" w:type="dxa"/>
              <w:bottom w:w="0" w:type="dxa"/>
              <w:right w:w="10" w:type="dxa"/>
            </w:tcMar>
            <w:vAlign w:val="center"/>
          </w:tcPr>
          <w:p w14:paraId="74078ADD">
            <w:pPr>
              <w:pStyle w:val="6"/>
              <w:jc w:val="center"/>
              <w:textAlignment w:val="center"/>
              <w:rPr>
                <w:rFonts w:hint="eastAsia"/>
              </w:rPr>
            </w:pPr>
            <w:r>
              <w:rPr>
                <w:rFonts w:hint="eastAsia"/>
                <w:color w:val="000000"/>
                <w:sz w:val="18"/>
                <w:szCs w:val="18"/>
              </w:rPr>
              <w:t>第三类植入性医疗器械</w:t>
            </w:r>
          </w:p>
        </w:tc>
        <w:tc>
          <w:tcPr>
            <w:tcW w:w="5127" w:type="dxa"/>
            <w:tcBorders>
              <w:top w:val="nil"/>
              <w:left w:val="nil"/>
              <w:bottom w:val="single" w:color="auto" w:sz="8" w:space="0"/>
              <w:right w:val="single" w:color="auto" w:sz="8" w:space="0"/>
            </w:tcBorders>
            <w:tcMar>
              <w:top w:w="10" w:type="dxa"/>
              <w:left w:w="10" w:type="dxa"/>
              <w:bottom w:w="0" w:type="dxa"/>
              <w:right w:w="10" w:type="dxa"/>
            </w:tcMar>
            <w:vAlign w:val="center"/>
          </w:tcPr>
          <w:p w14:paraId="6067255D">
            <w:pPr>
              <w:pStyle w:val="6"/>
              <w:spacing w:before="0" w:beforeAutospacing="0" w:after="0" w:afterAutospacing="0"/>
              <w:ind w:left="220"/>
              <w:textAlignment w:val="center"/>
              <w:rPr>
                <w:rFonts w:hint="eastAsia"/>
              </w:rPr>
            </w:pPr>
            <w:r>
              <w:rPr>
                <w:rFonts w:hint="eastAsia"/>
                <w:color w:val="000000"/>
                <w:sz w:val="18"/>
                <w:szCs w:val="18"/>
              </w:rPr>
              <w:t>用于皮肤</w:t>
            </w:r>
            <w:r>
              <w:rPr>
                <w:rFonts w:ascii="Times New Roman" w:hAnsi="Times New Roman" w:cs="Times New Roman"/>
                <w:color w:val="000000"/>
                <w:sz w:val="18"/>
                <w:szCs w:val="18"/>
              </w:rPr>
              <w:t>Ⅰ</w:t>
            </w:r>
            <w:r>
              <w:rPr>
                <w:rFonts w:hint="eastAsia"/>
                <w:color w:val="000000"/>
                <w:sz w:val="18"/>
                <w:szCs w:val="18"/>
              </w:rPr>
              <w:t>、</w:t>
            </w:r>
            <w:r>
              <w:rPr>
                <w:rFonts w:ascii="Times New Roman" w:hAnsi="Times New Roman" w:cs="Times New Roman"/>
                <w:color w:val="000000"/>
                <w:sz w:val="18"/>
                <w:szCs w:val="18"/>
              </w:rPr>
              <w:t>Ⅱ</w:t>
            </w:r>
            <w:r>
              <w:rPr>
                <w:rFonts w:hint="eastAsia"/>
                <w:color w:val="000000"/>
                <w:sz w:val="18"/>
                <w:szCs w:val="18"/>
              </w:rPr>
              <w:t>度烧伤、烫伤及创伤、皮肤缺损所致深浅创面治疗。</w:t>
            </w:r>
          </w:p>
        </w:tc>
      </w:tr>
      <w:tr w14:paraId="544D6F72">
        <w:tblPrEx>
          <w:tblCellMar>
            <w:top w:w="0" w:type="dxa"/>
            <w:left w:w="0" w:type="dxa"/>
            <w:bottom w:w="0" w:type="dxa"/>
            <w:right w:w="0" w:type="dxa"/>
          </w:tblCellMar>
        </w:tblPrEx>
        <w:trPr>
          <w:jc w:val="center"/>
        </w:trPr>
        <w:tc>
          <w:tcPr>
            <w:tcW w:w="2175" w:type="dxa"/>
            <w:tcBorders>
              <w:top w:val="nil"/>
              <w:left w:val="single" w:color="auto" w:sz="8" w:space="0"/>
              <w:bottom w:val="single" w:color="auto" w:sz="8" w:space="0"/>
              <w:right w:val="single" w:color="auto" w:sz="8" w:space="0"/>
            </w:tcBorders>
            <w:shd w:val="clear" w:color="auto" w:fill="BFBFBF"/>
            <w:noWrap/>
            <w:tcMar>
              <w:top w:w="10" w:type="dxa"/>
              <w:left w:w="10" w:type="dxa"/>
              <w:bottom w:w="0" w:type="dxa"/>
              <w:right w:w="10" w:type="dxa"/>
            </w:tcMar>
            <w:vAlign w:val="center"/>
          </w:tcPr>
          <w:p w14:paraId="60369B78">
            <w:pPr>
              <w:pStyle w:val="6"/>
              <w:jc w:val="center"/>
              <w:textAlignment w:val="center"/>
              <w:rPr>
                <w:rFonts w:hint="eastAsia"/>
              </w:rPr>
            </w:pPr>
            <w:r>
              <w:rPr>
                <w:rFonts w:hint="eastAsia"/>
                <w:color w:val="000000"/>
                <w:sz w:val="18"/>
                <w:szCs w:val="18"/>
              </w:rPr>
              <w:t>艾瑞欧</w:t>
            </w:r>
            <w:r>
              <w:rPr>
                <w:rFonts w:ascii="Times New Roman" w:hAnsi="Times New Roman" w:cs="Times New Roman"/>
                <w:color w:val="000000"/>
                <w:sz w:val="18"/>
                <w:szCs w:val="18"/>
                <w:vertAlign w:val="superscript"/>
              </w:rPr>
              <w:t>TM</w:t>
            </w:r>
            <w:r>
              <w:rPr>
                <w:rFonts w:hint="eastAsia"/>
                <w:color w:val="000000"/>
                <w:sz w:val="18"/>
                <w:szCs w:val="18"/>
              </w:rPr>
              <w:t>乳房补片</w:t>
            </w:r>
          </w:p>
        </w:tc>
        <w:tc>
          <w:tcPr>
            <w:tcW w:w="1907" w:type="dxa"/>
            <w:tcBorders>
              <w:top w:val="nil"/>
              <w:left w:val="nil"/>
              <w:bottom w:val="single" w:color="auto" w:sz="8" w:space="0"/>
              <w:right w:val="single" w:color="auto" w:sz="8" w:space="0"/>
            </w:tcBorders>
            <w:noWrap/>
            <w:tcMar>
              <w:top w:w="10" w:type="dxa"/>
              <w:left w:w="10" w:type="dxa"/>
              <w:bottom w:w="0" w:type="dxa"/>
              <w:right w:w="10" w:type="dxa"/>
            </w:tcMar>
            <w:vAlign w:val="center"/>
          </w:tcPr>
          <w:p w14:paraId="29F72688">
            <w:pPr>
              <w:pStyle w:val="6"/>
              <w:jc w:val="center"/>
              <w:textAlignment w:val="center"/>
              <w:rPr>
                <w:rFonts w:hint="eastAsia"/>
              </w:rPr>
            </w:pPr>
            <w:r>
              <w:rPr>
                <w:rFonts w:hint="eastAsia"/>
                <w:color w:val="000000"/>
                <w:sz w:val="18"/>
                <w:szCs w:val="18"/>
              </w:rPr>
              <w:t>第三类植入性医疗器械</w:t>
            </w:r>
          </w:p>
        </w:tc>
        <w:tc>
          <w:tcPr>
            <w:tcW w:w="5127" w:type="dxa"/>
            <w:tcBorders>
              <w:top w:val="nil"/>
              <w:left w:val="nil"/>
              <w:bottom w:val="single" w:color="auto" w:sz="8" w:space="0"/>
              <w:right w:val="single" w:color="auto" w:sz="8" w:space="0"/>
            </w:tcBorders>
            <w:tcMar>
              <w:top w:w="10" w:type="dxa"/>
              <w:left w:w="10" w:type="dxa"/>
              <w:bottom w:w="0" w:type="dxa"/>
              <w:right w:w="10" w:type="dxa"/>
            </w:tcMar>
            <w:vAlign w:val="center"/>
          </w:tcPr>
          <w:p w14:paraId="098E0461">
            <w:pPr>
              <w:pStyle w:val="6"/>
              <w:spacing w:before="0" w:beforeAutospacing="0" w:after="0" w:afterAutospacing="0"/>
              <w:ind w:left="220"/>
              <w:textAlignment w:val="center"/>
              <w:rPr>
                <w:rFonts w:hint="eastAsia"/>
              </w:rPr>
            </w:pPr>
            <w:r>
              <w:rPr>
                <w:rFonts w:ascii="Times New Roman" w:hAnsi="Times New Roman" w:cs="Times New Roman"/>
                <w:color w:val="000000"/>
                <w:sz w:val="18"/>
                <w:szCs w:val="18"/>
              </w:rPr>
              <w:t>1</w:t>
            </w:r>
            <w:r>
              <w:rPr>
                <w:rFonts w:hint="eastAsia"/>
                <w:color w:val="000000"/>
                <w:sz w:val="18"/>
                <w:szCs w:val="18"/>
              </w:rPr>
              <w:t>.胸部软组织修补、固定、牵引；</w:t>
            </w:r>
          </w:p>
          <w:p w14:paraId="284AAFF7">
            <w:pPr>
              <w:pStyle w:val="6"/>
              <w:spacing w:before="0" w:beforeAutospacing="0" w:after="0" w:afterAutospacing="0"/>
              <w:ind w:left="220"/>
              <w:textAlignment w:val="center"/>
              <w:rPr>
                <w:rFonts w:hint="eastAsia"/>
              </w:rPr>
            </w:pPr>
            <w:r>
              <w:rPr>
                <w:rFonts w:ascii="Times New Roman" w:hAnsi="Times New Roman" w:cs="Times New Roman"/>
                <w:color w:val="000000"/>
                <w:sz w:val="18"/>
                <w:szCs w:val="18"/>
              </w:rPr>
              <w:t>2</w:t>
            </w:r>
            <w:r>
              <w:rPr>
                <w:rFonts w:hint="eastAsia"/>
                <w:color w:val="000000"/>
                <w:sz w:val="18"/>
                <w:szCs w:val="18"/>
              </w:rPr>
              <w:t>.乳房植入体的包被、固定。</w:t>
            </w:r>
          </w:p>
        </w:tc>
      </w:tr>
      <w:tr w14:paraId="707C642F">
        <w:tblPrEx>
          <w:tblCellMar>
            <w:top w:w="0" w:type="dxa"/>
            <w:left w:w="0" w:type="dxa"/>
            <w:bottom w:w="0" w:type="dxa"/>
            <w:right w:w="0" w:type="dxa"/>
          </w:tblCellMar>
        </w:tblPrEx>
        <w:trPr>
          <w:jc w:val="center"/>
        </w:trPr>
        <w:tc>
          <w:tcPr>
            <w:tcW w:w="2175" w:type="dxa"/>
            <w:tcBorders>
              <w:top w:val="nil"/>
              <w:left w:val="single" w:color="auto" w:sz="8" w:space="0"/>
              <w:bottom w:val="single" w:color="auto" w:sz="8" w:space="0"/>
              <w:right w:val="single" w:color="auto" w:sz="8" w:space="0"/>
            </w:tcBorders>
            <w:shd w:val="clear" w:color="auto" w:fill="BFBFBF"/>
            <w:noWrap/>
            <w:tcMar>
              <w:top w:w="10" w:type="dxa"/>
              <w:left w:w="10" w:type="dxa"/>
              <w:bottom w:w="0" w:type="dxa"/>
              <w:right w:w="10" w:type="dxa"/>
            </w:tcMar>
            <w:vAlign w:val="center"/>
          </w:tcPr>
          <w:p w14:paraId="39B944A7">
            <w:pPr>
              <w:pStyle w:val="6"/>
              <w:jc w:val="center"/>
              <w:textAlignment w:val="center"/>
              <w:rPr>
                <w:rFonts w:hint="eastAsia"/>
              </w:rPr>
            </w:pPr>
            <w:r>
              <w:rPr>
                <w:rFonts w:hint="eastAsia"/>
                <w:color w:val="000000"/>
                <w:sz w:val="18"/>
                <w:szCs w:val="18"/>
              </w:rPr>
              <w:t>胸普外科修补膜片</w:t>
            </w:r>
          </w:p>
        </w:tc>
        <w:tc>
          <w:tcPr>
            <w:tcW w:w="1907" w:type="dxa"/>
            <w:tcBorders>
              <w:top w:val="nil"/>
              <w:left w:val="nil"/>
              <w:bottom w:val="single" w:color="auto" w:sz="8" w:space="0"/>
              <w:right w:val="single" w:color="auto" w:sz="8" w:space="0"/>
            </w:tcBorders>
            <w:noWrap/>
            <w:tcMar>
              <w:top w:w="10" w:type="dxa"/>
              <w:left w:w="10" w:type="dxa"/>
              <w:bottom w:w="0" w:type="dxa"/>
              <w:right w:w="10" w:type="dxa"/>
            </w:tcMar>
            <w:vAlign w:val="center"/>
          </w:tcPr>
          <w:p w14:paraId="138B8526">
            <w:pPr>
              <w:pStyle w:val="6"/>
              <w:jc w:val="center"/>
              <w:textAlignment w:val="center"/>
              <w:rPr>
                <w:rFonts w:hint="eastAsia"/>
              </w:rPr>
            </w:pPr>
            <w:r>
              <w:rPr>
                <w:rFonts w:hint="eastAsia"/>
                <w:color w:val="000000"/>
                <w:sz w:val="18"/>
                <w:szCs w:val="18"/>
              </w:rPr>
              <w:t>第三类植入性医疗器械</w:t>
            </w:r>
          </w:p>
        </w:tc>
        <w:tc>
          <w:tcPr>
            <w:tcW w:w="5127" w:type="dxa"/>
            <w:tcBorders>
              <w:top w:val="nil"/>
              <w:left w:val="nil"/>
              <w:bottom w:val="single" w:color="auto" w:sz="8" w:space="0"/>
              <w:right w:val="single" w:color="auto" w:sz="8" w:space="0"/>
            </w:tcBorders>
            <w:tcMar>
              <w:top w:w="10" w:type="dxa"/>
              <w:left w:w="10" w:type="dxa"/>
              <w:bottom w:w="0" w:type="dxa"/>
              <w:right w:w="10" w:type="dxa"/>
            </w:tcMar>
            <w:vAlign w:val="center"/>
          </w:tcPr>
          <w:p w14:paraId="6A7FCB68">
            <w:pPr>
              <w:pStyle w:val="6"/>
              <w:spacing w:before="0" w:beforeAutospacing="0" w:after="0" w:afterAutospacing="0"/>
              <w:ind w:left="220"/>
              <w:textAlignment w:val="center"/>
              <w:rPr>
                <w:rFonts w:hint="eastAsia"/>
              </w:rPr>
            </w:pPr>
            <w:r>
              <w:rPr>
                <w:rFonts w:ascii="Times New Roman" w:hAnsi="Times New Roman" w:cs="Times New Roman"/>
                <w:color w:val="000000"/>
                <w:sz w:val="18"/>
                <w:szCs w:val="18"/>
              </w:rPr>
              <w:t>1</w:t>
            </w:r>
            <w:r>
              <w:rPr>
                <w:rFonts w:hint="eastAsia"/>
                <w:color w:val="000000"/>
                <w:sz w:val="18"/>
                <w:szCs w:val="18"/>
              </w:rPr>
              <w:t>.胸外科手术有关组织的修补与重建；</w:t>
            </w:r>
          </w:p>
          <w:p w14:paraId="43AB555C">
            <w:pPr>
              <w:pStyle w:val="6"/>
              <w:spacing w:before="0" w:beforeAutospacing="0" w:after="0" w:afterAutospacing="0"/>
              <w:ind w:left="220"/>
              <w:textAlignment w:val="center"/>
              <w:rPr>
                <w:rFonts w:hint="eastAsia"/>
              </w:rPr>
            </w:pPr>
            <w:r>
              <w:rPr>
                <w:rFonts w:ascii="Times New Roman" w:hAnsi="Times New Roman" w:cs="Times New Roman"/>
                <w:color w:val="000000"/>
                <w:sz w:val="18"/>
                <w:szCs w:val="18"/>
              </w:rPr>
              <w:t>2</w:t>
            </w:r>
            <w:r>
              <w:rPr>
                <w:rFonts w:hint="eastAsia"/>
                <w:color w:val="000000"/>
                <w:sz w:val="18"/>
                <w:szCs w:val="18"/>
              </w:rPr>
              <w:t>.普外手术中有关组织的修补与重建；</w:t>
            </w:r>
          </w:p>
          <w:p w14:paraId="1EF67893">
            <w:pPr>
              <w:pStyle w:val="6"/>
              <w:spacing w:before="0" w:beforeAutospacing="0" w:after="0" w:afterAutospacing="0"/>
              <w:ind w:left="220"/>
              <w:textAlignment w:val="center"/>
              <w:rPr>
                <w:rFonts w:hint="eastAsia"/>
              </w:rPr>
            </w:pPr>
            <w:r>
              <w:rPr>
                <w:rFonts w:ascii="Times New Roman" w:hAnsi="Times New Roman" w:cs="Times New Roman"/>
                <w:color w:val="000000"/>
                <w:sz w:val="18"/>
                <w:szCs w:val="18"/>
              </w:rPr>
              <w:t>3</w:t>
            </w:r>
            <w:r>
              <w:rPr>
                <w:rFonts w:hint="eastAsia"/>
                <w:color w:val="000000"/>
                <w:sz w:val="18"/>
                <w:szCs w:val="18"/>
              </w:rPr>
              <w:t>.组织的固定、包埋、治瘘、防疝及缺损组织的修补。</w:t>
            </w:r>
          </w:p>
        </w:tc>
      </w:tr>
      <w:tr w14:paraId="49381F63">
        <w:tblPrEx>
          <w:tblCellMar>
            <w:top w:w="0" w:type="dxa"/>
            <w:left w:w="0" w:type="dxa"/>
            <w:bottom w:w="0" w:type="dxa"/>
            <w:right w:w="0" w:type="dxa"/>
          </w:tblCellMar>
        </w:tblPrEx>
        <w:trPr>
          <w:jc w:val="center"/>
        </w:trPr>
        <w:tc>
          <w:tcPr>
            <w:tcW w:w="2175" w:type="dxa"/>
            <w:tcBorders>
              <w:top w:val="nil"/>
              <w:left w:val="single" w:color="auto" w:sz="8" w:space="0"/>
              <w:bottom w:val="single" w:color="auto" w:sz="8" w:space="0"/>
              <w:right w:val="single" w:color="auto" w:sz="8" w:space="0"/>
            </w:tcBorders>
            <w:shd w:val="clear" w:color="auto" w:fill="BFBFBF"/>
            <w:noWrap/>
            <w:tcMar>
              <w:top w:w="10" w:type="dxa"/>
              <w:left w:w="10" w:type="dxa"/>
              <w:bottom w:w="0" w:type="dxa"/>
              <w:right w:w="10" w:type="dxa"/>
            </w:tcMar>
            <w:vAlign w:val="center"/>
          </w:tcPr>
          <w:p w14:paraId="6F1C5589">
            <w:pPr>
              <w:pStyle w:val="6"/>
              <w:spacing w:before="0" w:beforeAutospacing="0" w:after="0" w:afterAutospacing="0"/>
              <w:jc w:val="center"/>
              <w:textAlignment w:val="center"/>
              <w:rPr>
                <w:rFonts w:hint="eastAsia"/>
              </w:rPr>
            </w:pPr>
            <w:r>
              <w:rPr>
                <w:rFonts w:hint="eastAsia"/>
                <w:color w:val="000000"/>
                <w:sz w:val="18"/>
                <w:szCs w:val="18"/>
              </w:rPr>
              <w:t>安润®可降解泪小管栓</w:t>
            </w:r>
          </w:p>
        </w:tc>
        <w:tc>
          <w:tcPr>
            <w:tcW w:w="1907" w:type="dxa"/>
            <w:tcBorders>
              <w:top w:val="nil"/>
              <w:left w:val="nil"/>
              <w:bottom w:val="single" w:color="auto" w:sz="8" w:space="0"/>
              <w:right w:val="single" w:color="auto" w:sz="8" w:space="0"/>
            </w:tcBorders>
            <w:noWrap/>
            <w:tcMar>
              <w:top w:w="10" w:type="dxa"/>
              <w:left w:w="10" w:type="dxa"/>
              <w:bottom w:w="0" w:type="dxa"/>
              <w:right w:w="10" w:type="dxa"/>
            </w:tcMar>
            <w:vAlign w:val="center"/>
          </w:tcPr>
          <w:p w14:paraId="2D0A495B">
            <w:pPr>
              <w:pStyle w:val="6"/>
              <w:spacing w:before="0" w:beforeAutospacing="0" w:after="0" w:afterAutospacing="0"/>
              <w:jc w:val="center"/>
              <w:textAlignment w:val="center"/>
              <w:rPr>
                <w:rFonts w:hint="eastAsia"/>
              </w:rPr>
            </w:pPr>
            <w:r>
              <w:rPr>
                <w:rFonts w:hint="eastAsia"/>
                <w:color w:val="000000"/>
                <w:sz w:val="18"/>
                <w:szCs w:val="18"/>
              </w:rPr>
              <w:t>第三类植入性医疗器械</w:t>
            </w:r>
          </w:p>
        </w:tc>
        <w:tc>
          <w:tcPr>
            <w:tcW w:w="5127" w:type="dxa"/>
            <w:tcBorders>
              <w:top w:val="nil"/>
              <w:left w:val="nil"/>
              <w:bottom w:val="single" w:color="auto" w:sz="8" w:space="0"/>
              <w:right w:val="single" w:color="auto" w:sz="8" w:space="0"/>
            </w:tcBorders>
            <w:tcMar>
              <w:top w:w="10" w:type="dxa"/>
              <w:left w:w="10" w:type="dxa"/>
              <w:bottom w:w="0" w:type="dxa"/>
              <w:right w:w="10" w:type="dxa"/>
            </w:tcMar>
            <w:vAlign w:val="center"/>
          </w:tcPr>
          <w:p w14:paraId="7EACE0C7">
            <w:pPr>
              <w:pStyle w:val="6"/>
              <w:spacing w:before="0" w:beforeAutospacing="0" w:after="0" w:afterAutospacing="0"/>
              <w:ind w:left="220"/>
              <w:textAlignment w:val="center"/>
              <w:rPr>
                <w:rFonts w:hint="eastAsia"/>
              </w:rPr>
            </w:pPr>
            <w:r>
              <w:rPr>
                <w:rFonts w:hint="eastAsia"/>
                <w:color w:val="000000"/>
                <w:sz w:val="18"/>
                <w:szCs w:val="18"/>
              </w:rPr>
              <w:t>主要用于对泪小管的临时性封闭。</w:t>
            </w:r>
          </w:p>
        </w:tc>
      </w:tr>
      <w:tr w14:paraId="60B01A49">
        <w:tblPrEx>
          <w:tblCellMar>
            <w:top w:w="0" w:type="dxa"/>
            <w:left w:w="0" w:type="dxa"/>
            <w:bottom w:w="0" w:type="dxa"/>
            <w:right w:w="0" w:type="dxa"/>
          </w:tblCellMar>
        </w:tblPrEx>
        <w:trPr>
          <w:jc w:val="center"/>
        </w:trPr>
        <w:tc>
          <w:tcPr>
            <w:tcW w:w="2175" w:type="dxa"/>
            <w:tcBorders>
              <w:top w:val="nil"/>
              <w:left w:val="single" w:color="auto" w:sz="8" w:space="0"/>
              <w:bottom w:val="single" w:color="auto" w:sz="8" w:space="0"/>
              <w:right w:val="single" w:color="auto" w:sz="8" w:space="0"/>
            </w:tcBorders>
            <w:shd w:val="clear" w:color="auto" w:fill="BFBFBF"/>
            <w:noWrap/>
            <w:tcMar>
              <w:top w:w="10" w:type="dxa"/>
              <w:left w:w="10" w:type="dxa"/>
              <w:bottom w:w="0" w:type="dxa"/>
              <w:right w:w="10" w:type="dxa"/>
            </w:tcMar>
            <w:vAlign w:val="center"/>
          </w:tcPr>
          <w:p w14:paraId="091904CA">
            <w:pPr>
              <w:pStyle w:val="6"/>
              <w:jc w:val="center"/>
              <w:textAlignment w:val="center"/>
              <w:rPr>
                <w:rFonts w:hint="eastAsia"/>
              </w:rPr>
            </w:pPr>
            <w:r>
              <w:rPr>
                <w:rFonts w:hint="eastAsia"/>
                <w:color w:val="000000"/>
                <w:sz w:val="18"/>
                <w:szCs w:val="18"/>
              </w:rPr>
              <w:t>欣比克</w:t>
            </w:r>
            <w:r>
              <w:rPr>
                <w:rFonts w:ascii="Times New Roman" w:hAnsi="Times New Roman" w:cs="Times New Roman"/>
                <w:color w:val="000000"/>
                <w:sz w:val="18"/>
                <w:szCs w:val="18"/>
              </w:rPr>
              <w:t>®</w:t>
            </w:r>
            <w:r>
              <w:rPr>
                <w:rFonts w:hint="eastAsia"/>
                <w:color w:val="000000"/>
                <w:sz w:val="18"/>
                <w:szCs w:val="18"/>
              </w:rPr>
              <w:t>本维莫德乳膏</w:t>
            </w:r>
          </w:p>
        </w:tc>
        <w:tc>
          <w:tcPr>
            <w:tcW w:w="1907" w:type="dxa"/>
            <w:tcBorders>
              <w:top w:val="nil"/>
              <w:left w:val="nil"/>
              <w:bottom w:val="single" w:color="auto" w:sz="8" w:space="0"/>
              <w:right w:val="single" w:color="auto" w:sz="8" w:space="0"/>
            </w:tcBorders>
            <w:noWrap/>
            <w:tcMar>
              <w:top w:w="10" w:type="dxa"/>
              <w:left w:w="10" w:type="dxa"/>
              <w:bottom w:w="0" w:type="dxa"/>
              <w:right w:w="10" w:type="dxa"/>
            </w:tcMar>
            <w:vAlign w:val="center"/>
          </w:tcPr>
          <w:p w14:paraId="1FD97B79">
            <w:pPr>
              <w:pStyle w:val="6"/>
              <w:jc w:val="center"/>
              <w:textAlignment w:val="center"/>
              <w:rPr>
                <w:rFonts w:hint="eastAsia"/>
              </w:rPr>
            </w:pPr>
            <w:r>
              <w:rPr>
                <w:rFonts w:hint="eastAsia"/>
                <w:color w:val="000000"/>
                <w:sz w:val="18"/>
                <w:szCs w:val="18"/>
              </w:rPr>
              <w:t>化学药品第</w:t>
            </w:r>
            <w:r>
              <w:rPr>
                <w:rFonts w:ascii="Times New Roman" w:hAnsi="Times New Roman" w:cs="Times New Roman"/>
                <w:color w:val="000000"/>
                <w:sz w:val="18"/>
                <w:szCs w:val="18"/>
              </w:rPr>
              <w:t>1</w:t>
            </w:r>
            <w:r>
              <w:rPr>
                <w:rFonts w:hint="eastAsia"/>
                <w:color w:val="000000"/>
                <w:sz w:val="18"/>
                <w:szCs w:val="18"/>
              </w:rPr>
              <w:t>类</w:t>
            </w:r>
          </w:p>
        </w:tc>
        <w:tc>
          <w:tcPr>
            <w:tcW w:w="5127" w:type="dxa"/>
            <w:tcBorders>
              <w:top w:val="nil"/>
              <w:left w:val="nil"/>
              <w:bottom w:val="single" w:color="auto" w:sz="8" w:space="0"/>
              <w:right w:val="single" w:color="auto" w:sz="8" w:space="0"/>
            </w:tcBorders>
            <w:tcMar>
              <w:top w:w="10" w:type="dxa"/>
              <w:left w:w="10" w:type="dxa"/>
              <w:bottom w:w="0" w:type="dxa"/>
              <w:right w:w="10" w:type="dxa"/>
            </w:tcMar>
            <w:vAlign w:val="center"/>
          </w:tcPr>
          <w:p w14:paraId="75628C5F">
            <w:pPr>
              <w:pStyle w:val="6"/>
              <w:spacing w:before="0" w:beforeAutospacing="0" w:after="0" w:afterAutospacing="0"/>
              <w:ind w:left="220"/>
              <w:textAlignment w:val="center"/>
              <w:rPr>
                <w:rFonts w:hint="eastAsia"/>
              </w:rPr>
            </w:pPr>
            <w:r>
              <w:rPr>
                <w:rFonts w:hint="eastAsia"/>
                <w:color w:val="000000"/>
                <w:sz w:val="18"/>
                <w:szCs w:val="18"/>
              </w:rPr>
              <w:t>轻、中度银屑病。</w:t>
            </w:r>
          </w:p>
        </w:tc>
      </w:tr>
      <w:tr w14:paraId="0F9BC7DA">
        <w:tblPrEx>
          <w:tblCellMar>
            <w:top w:w="0" w:type="dxa"/>
            <w:left w:w="0" w:type="dxa"/>
            <w:bottom w:w="0" w:type="dxa"/>
            <w:right w:w="0" w:type="dxa"/>
          </w:tblCellMar>
        </w:tblPrEx>
        <w:trPr>
          <w:jc w:val="center"/>
        </w:trPr>
        <w:tc>
          <w:tcPr>
            <w:tcW w:w="2175" w:type="dxa"/>
            <w:tcBorders>
              <w:top w:val="nil"/>
              <w:left w:val="single" w:color="auto" w:sz="8" w:space="0"/>
              <w:bottom w:val="single" w:color="auto" w:sz="8" w:space="0"/>
              <w:right w:val="single" w:color="auto" w:sz="8" w:space="0"/>
            </w:tcBorders>
            <w:shd w:val="clear" w:color="auto" w:fill="BFBFBF"/>
            <w:noWrap/>
            <w:tcMar>
              <w:top w:w="10" w:type="dxa"/>
              <w:left w:w="10" w:type="dxa"/>
              <w:bottom w:w="0" w:type="dxa"/>
              <w:right w:w="10" w:type="dxa"/>
            </w:tcMar>
            <w:vAlign w:val="center"/>
          </w:tcPr>
          <w:p w14:paraId="5EED536F">
            <w:pPr>
              <w:pStyle w:val="6"/>
              <w:jc w:val="center"/>
              <w:textAlignment w:val="center"/>
              <w:rPr>
                <w:rFonts w:hint="eastAsia"/>
              </w:rPr>
            </w:pPr>
            <w:r>
              <w:rPr>
                <w:rFonts w:hint="eastAsia"/>
                <w:color w:val="000000"/>
                <w:sz w:val="18"/>
                <w:szCs w:val="18"/>
              </w:rPr>
              <w:t>细胞技术服务</w:t>
            </w:r>
          </w:p>
        </w:tc>
        <w:tc>
          <w:tcPr>
            <w:tcW w:w="1907" w:type="dxa"/>
            <w:tcBorders>
              <w:top w:val="nil"/>
              <w:left w:val="nil"/>
              <w:bottom w:val="single" w:color="auto" w:sz="8" w:space="0"/>
              <w:right w:val="single" w:color="auto" w:sz="8" w:space="0"/>
            </w:tcBorders>
            <w:noWrap/>
            <w:tcMar>
              <w:top w:w="10" w:type="dxa"/>
              <w:left w:w="10" w:type="dxa"/>
              <w:bottom w:w="0" w:type="dxa"/>
              <w:right w:w="10" w:type="dxa"/>
            </w:tcMar>
            <w:vAlign w:val="center"/>
          </w:tcPr>
          <w:p w14:paraId="51A6BF43">
            <w:pPr>
              <w:pStyle w:val="6"/>
              <w:jc w:val="center"/>
              <w:textAlignment w:val="center"/>
              <w:rPr>
                <w:rFonts w:hint="eastAsia"/>
              </w:rPr>
            </w:pPr>
            <w:r>
              <w:rPr>
                <w:rFonts w:hint="eastAsia"/>
                <w:color w:val="000000"/>
                <w:sz w:val="18"/>
                <w:szCs w:val="18"/>
              </w:rPr>
              <w:t>技术服务</w:t>
            </w:r>
          </w:p>
        </w:tc>
        <w:tc>
          <w:tcPr>
            <w:tcW w:w="5127" w:type="dxa"/>
            <w:tcBorders>
              <w:top w:val="nil"/>
              <w:left w:val="nil"/>
              <w:bottom w:val="single" w:color="auto" w:sz="8" w:space="0"/>
              <w:right w:val="single" w:color="auto" w:sz="8" w:space="0"/>
            </w:tcBorders>
            <w:tcMar>
              <w:top w:w="10" w:type="dxa"/>
              <w:left w:w="10" w:type="dxa"/>
              <w:bottom w:w="0" w:type="dxa"/>
              <w:right w:w="10" w:type="dxa"/>
            </w:tcMar>
            <w:vAlign w:val="center"/>
          </w:tcPr>
          <w:p w14:paraId="05044370">
            <w:pPr>
              <w:pStyle w:val="6"/>
              <w:spacing w:before="0" w:beforeAutospacing="0" w:after="0" w:afterAutospacing="0"/>
              <w:ind w:left="220"/>
              <w:textAlignment w:val="center"/>
              <w:rPr>
                <w:rFonts w:hint="eastAsia"/>
              </w:rPr>
            </w:pPr>
            <w:r>
              <w:rPr>
                <w:rFonts w:hint="eastAsia"/>
                <w:color w:val="000000"/>
                <w:sz w:val="18"/>
                <w:szCs w:val="18"/>
              </w:rPr>
              <w:t>公司形成了集细胞技术研发、区域细胞制备、生物资源样本与信息库和细胞运营体验中心的“四位一体”产业模式，专业提供细胞储存、科研合作及相关技术服务。</w:t>
            </w:r>
          </w:p>
        </w:tc>
      </w:tr>
    </w:tbl>
    <w:p w14:paraId="664EB775">
      <w:pPr>
        <w:pStyle w:val="6"/>
        <w:spacing w:before="0" w:beforeAutospacing="0" w:after="0" w:afterAutospacing="0"/>
        <w:ind w:firstLine="360" w:firstLineChars="200"/>
        <w:rPr>
          <w:rFonts w:hint="eastAsia"/>
        </w:rPr>
      </w:pPr>
      <w:r>
        <w:rPr>
          <w:rFonts w:hint="eastAsia"/>
          <w:sz w:val="18"/>
          <w:szCs w:val="18"/>
        </w:rPr>
        <w:t>在生物材料领域，公司自主研发的一系列再生医学材料，是指一类以动物组织为原料，经系列创新技术处理后，具有良好的组织相容性，植入后不引起排斥反应，并能诱导机体组织生长的一类生物医学材料。公司的“再生型生物膜高技术产业化”项目被国家发改委列入国际高技术产业化示范工程。依托强大的研发团队及内外资源整合能力，再生型医用植入器械国家工程实验室与国内外顶尖高校、科研院所及临床机构构建了深度合作网络，聚焦再生医用材料设计开发、再生机理研究、性能评价技术创新、医疗器械转化研究及行业发展趋势分析等关键领域，开展系统性科研工作，形成了从基础研究、技术开发到临床转化的全链条科研布局，持续助力再生医学材料领域的技术突破与产业升级。公司已上市的主要产品有生物型硬脑（脊）膜补片、</w:t>
      </w:r>
      <w:r>
        <w:rPr>
          <w:rFonts w:ascii="Times New Roman" w:hAnsi="Times New Roman" w:cs="Times New Roman"/>
          <w:sz w:val="18"/>
          <w:szCs w:val="18"/>
        </w:rPr>
        <w:t>B</w:t>
      </w:r>
      <w:r>
        <w:rPr>
          <w:rFonts w:hint="eastAsia"/>
          <w:sz w:val="18"/>
          <w:szCs w:val="18"/>
        </w:rPr>
        <w:t>型硬脑（脊）膜补片、胸普外科修补膜、无菌生物护创膜、艾瑞欧乳房补片，可广泛应用于神经外科、胸普外科、皮肤科、骨科、整形美容科、眼科等。</w:t>
      </w:r>
    </w:p>
    <w:p w14:paraId="72CBDCCD">
      <w:pPr>
        <w:pStyle w:val="6"/>
        <w:spacing w:before="0" w:beforeAutospacing="0" w:after="0" w:afterAutospacing="0"/>
        <w:ind w:firstLine="360" w:firstLineChars="200"/>
        <w:rPr>
          <w:rFonts w:hint="eastAsia"/>
        </w:rPr>
      </w:pPr>
      <w:r>
        <w:rPr>
          <w:rFonts w:hint="eastAsia"/>
          <w:sz w:val="18"/>
          <w:szCs w:val="18"/>
        </w:rPr>
        <w:t>在药业领域，公司药业技术研究成果本维莫德是一种天然微生物代谢产物中分离出来的非激素类小分子化合物，可用于治疗炎症性和自身免疫性疾病，被国家科技部列为“十二五”、国家“重大新药创制”科技重大专项成果。</w:t>
      </w:r>
      <w:r>
        <w:rPr>
          <w:rFonts w:ascii="Times New Roman" w:hAnsi="Times New Roman" w:cs="Times New Roman"/>
          <w:sz w:val="18"/>
          <w:szCs w:val="18"/>
        </w:rPr>
        <w:t>2019</w:t>
      </w:r>
      <w:r>
        <w:rPr>
          <w:rFonts w:hint="eastAsia"/>
          <w:sz w:val="18"/>
          <w:szCs w:val="18"/>
        </w:rPr>
        <w:t>年</w:t>
      </w:r>
      <w:r>
        <w:rPr>
          <w:rFonts w:ascii="Times New Roman" w:hAnsi="Times New Roman" w:cs="Times New Roman"/>
          <w:sz w:val="18"/>
          <w:szCs w:val="18"/>
        </w:rPr>
        <w:t>5</w:t>
      </w:r>
      <w:r>
        <w:rPr>
          <w:rFonts w:hint="eastAsia"/>
          <w:sz w:val="18"/>
          <w:szCs w:val="18"/>
        </w:rPr>
        <w:t>月，公司本维莫德乳膏获批新药证书，填补了皮肤科领域近</w:t>
      </w:r>
      <w:r>
        <w:rPr>
          <w:rFonts w:ascii="Times New Roman" w:hAnsi="Times New Roman" w:cs="Times New Roman"/>
          <w:sz w:val="18"/>
          <w:szCs w:val="18"/>
        </w:rPr>
        <w:t>30</w:t>
      </w:r>
      <w:r>
        <w:rPr>
          <w:rFonts w:hint="eastAsia"/>
          <w:sz w:val="18"/>
          <w:szCs w:val="18"/>
        </w:rPr>
        <w:t>年来没有外用创新药的空白。本维莫德乳膏（商品名：欣比克）于</w:t>
      </w:r>
      <w:r>
        <w:rPr>
          <w:rFonts w:ascii="Times New Roman" w:hAnsi="Times New Roman" w:cs="Times New Roman"/>
          <w:sz w:val="18"/>
          <w:szCs w:val="18"/>
        </w:rPr>
        <w:t>2020</w:t>
      </w:r>
      <w:r>
        <w:rPr>
          <w:rFonts w:hint="eastAsia"/>
          <w:sz w:val="18"/>
          <w:szCs w:val="18"/>
        </w:rPr>
        <w:t>年国家医保谈判中成功入围，</w:t>
      </w:r>
      <w:r>
        <w:rPr>
          <w:rFonts w:ascii="Times New Roman" w:hAnsi="Times New Roman" w:cs="Times New Roman"/>
          <w:sz w:val="18"/>
          <w:szCs w:val="18"/>
        </w:rPr>
        <w:t>2021</w:t>
      </w:r>
      <w:r>
        <w:rPr>
          <w:rFonts w:hint="eastAsia"/>
          <w:sz w:val="18"/>
          <w:szCs w:val="18"/>
        </w:rPr>
        <w:t>年</w:t>
      </w:r>
      <w:r>
        <w:rPr>
          <w:rFonts w:ascii="Times New Roman" w:hAnsi="Times New Roman" w:cs="Times New Roman"/>
          <w:sz w:val="18"/>
          <w:szCs w:val="18"/>
        </w:rPr>
        <w:t>3</w:t>
      </w:r>
      <w:r>
        <w:rPr>
          <w:rFonts w:hint="eastAsia"/>
          <w:sz w:val="18"/>
          <w:szCs w:val="18"/>
        </w:rPr>
        <w:t>月</w:t>
      </w:r>
      <w:r>
        <w:rPr>
          <w:rFonts w:ascii="Times New Roman" w:hAnsi="Times New Roman" w:cs="Times New Roman"/>
          <w:sz w:val="18"/>
          <w:szCs w:val="18"/>
        </w:rPr>
        <w:t>1</w:t>
      </w:r>
      <w:r>
        <w:rPr>
          <w:rFonts w:hint="eastAsia"/>
          <w:sz w:val="18"/>
          <w:szCs w:val="18"/>
        </w:rPr>
        <w:t>日正式进入国家医保谈判目录，</w:t>
      </w:r>
      <w:r>
        <w:rPr>
          <w:rFonts w:ascii="Times New Roman" w:hAnsi="Times New Roman" w:cs="Times New Roman"/>
          <w:sz w:val="18"/>
          <w:szCs w:val="18"/>
        </w:rPr>
        <w:t>2026</w:t>
      </w:r>
      <w:r>
        <w:rPr>
          <w:rFonts w:hint="eastAsia"/>
          <w:sz w:val="18"/>
          <w:szCs w:val="18"/>
        </w:rPr>
        <w:t>年</w:t>
      </w:r>
      <w:r>
        <w:rPr>
          <w:rFonts w:ascii="Times New Roman" w:hAnsi="Times New Roman" w:cs="Times New Roman"/>
          <w:sz w:val="18"/>
          <w:szCs w:val="18"/>
        </w:rPr>
        <w:t>1</w:t>
      </w:r>
      <w:r>
        <w:rPr>
          <w:rFonts w:hint="eastAsia"/>
          <w:sz w:val="18"/>
          <w:szCs w:val="18"/>
        </w:rPr>
        <w:t>月被纳入常规医保药品目录。除银屑病治疗领域外，本维莫德在特应性皮炎、过敏性鼻炎、溃疡性结肠炎等多个重大疾病领域均具备广阔的应用潜力，目前针对特应性皮炎适应症的</w:t>
      </w:r>
      <w:r>
        <w:rPr>
          <w:rFonts w:ascii="Times New Roman" w:hAnsi="Times New Roman" w:cs="Times New Roman"/>
          <w:sz w:val="18"/>
          <w:szCs w:val="18"/>
        </w:rPr>
        <w:t>III</w:t>
      </w:r>
      <w:r>
        <w:rPr>
          <w:rFonts w:hint="eastAsia"/>
          <w:sz w:val="18"/>
          <w:szCs w:val="18"/>
        </w:rPr>
        <w:t>期临床试验正有序推进，针对银屑病扩大人群的</w:t>
      </w:r>
      <w:r>
        <w:rPr>
          <w:rFonts w:ascii="Times New Roman" w:hAnsi="Times New Roman" w:cs="Times New Roman"/>
          <w:sz w:val="18"/>
          <w:szCs w:val="18"/>
        </w:rPr>
        <w:t>IV</w:t>
      </w:r>
      <w:r>
        <w:rPr>
          <w:rFonts w:hint="eastAsia"/>
          <w:sz w:val="18"/>
          <w:szCs w:val="18"/>
        </w:rPr>
        <w:t>期临床试验已经完成。</w:t>
      </w:r>
    </w:p>
    <w:p w14:paraId="11E29159">
      <w:pPr>
        <w:pStyle w:val="6"/>
        <w:spacing w:before="0" w:beforeAutospacing="0" w:after="0" w:afterAutospacing="0"/>
        <w:ind w:firstLine="360" w:firstLineChars="200"/>
        <w:rPr>
          <w:rFonts w:hint="eastAsia"/>
        </w:rPr>
      </w:pPr>
      <w:r>
        <w:rPr>
          <w:rFonts w:hint="eastAsia"/>
          <w:sz w:val="18"/>
          <w:szCs w:val="18"/>
        </w:rPr>
        <w:t>在细胞领域，公司始终坚持在干细胞治疗和技术前沿领域开拓创新，深入发展干细胞资源库、干细胞药物研发和干细胞临床试验合作研究。公司拥有通过</w:t>
      </w:r>
      <w:r>
        <w:rPr>
          <w:rFonts w:ascii="Times New Roman" w:hAnsi="Times New Roman" w:cs="Times New Roman"/>
          <w:sz w:val="18"/>
          <w:szCs w:val="18"/>
        </w:rPr>
        <w:t>GMP</w:t>
      </w:r>
      <w:r>
        <w:rPr>
          <w:rFonts w:hint="eastAsia"/>
          <w:sz w:val="18"/>
          <w:szCs w:val="18"/>
        </w:rPr>
        <w:t>现场认证的细胞生产线，生产的多批干细胞制剂均通过了中国食品药品检定研究院的质量合格认定。目前涉及业务包括自体软骨组织细胞移植技术、免疫细胞储存技术、干细胞储存技术、膝关节及美肤类细胞衍生物产品应用技术等。报告期内，公司启动了已通过备案的干细胞临床研究项目，通过了国家卫健委对临床研究项目的现场审查和第三方机构的质量体系审查；公司在研的生物人工肝项目，目前正推进细胞药物的药学研究和体外支持装置等第三类医疗器械性能研究工作，并积极与相关医院等多方合作申请开展临床前研究；公司积极参与制定了</w:t>
      </w:r>
      <w:r>
        <w:rPr>
          <w:rFonts w:ascii="Times New Roman" w:hAnsi="Times New Roman" w:cs="Times New Roman"/>
          <w:sz w:val="18"/>
          <w:szCs w:val="18"/>
        </w:rPr>
        <w:t>2</w:t>
      </w:r>
      <w:r>
        <w:rPr>
          <w:rFonts w:hint="eastAsia"/>
          <w:sz w:val="18"/>
          <w:szCs w:val="18"/>
        </w:rPr>
        <w:t>项干细胞相关团体标准和</w:t>
      </w:r>
      <w:r>
        <w:rPr>
          <w:rFonts w:ascii="Times New Roman" w:hAnsi="Times New Roman" w:cs="Times New Roman"/>
          <w:sz w:val="18"/>
          <w:szCs w:val="18"/>
        </w:rPr>
        <w:t>1</w:t>
      </w:r>
      <w:r>
        <w:rPr>
          <w:rFonts w:hint="eastAsia"/>
          <w:sz w:val="18"/>
          <w:szCs w:val="18"/>
        </w:rPr>
        <w:t>项国家标准。</w:t>
      </w:r>
    </w:p>
    <w:p w14:paraId="3BEEB3F6">
      <w:pPr>
        <w:pStyle w:val="6"/>
        <w:spacing w:before="0" w:beforeAutospacing="0" w:after="0" w:afterAutospacing="0"/>
        <w:ind w:firstLine="360" w:firstLineChars="200"/>
        <w:rPr>
          <w:rFonts w:hint="eastAsia"/>
        </w:rPr>
      </w:pPr>
      <w:r>
        <w:rPr>
          <w:rFonts w:hint="eastAsia"/>
          <w:sz w:val="18"/>
          <w:szCs w:val="18"/>
        </w:rPr>
        <w:t>在科技孵化领域，公司子公司冠昊科技园作为专业的创新创业孵化平台，是国家级科技企业孵化器、广州市中小企业服务站、优秀科技金融工作站、青年众创空间、粤港澳青少年交流活动基地、黄埔区企业家服务中心工作站。公司立足“众创—孵化—加速—产业园”全链条服务体系，坚定践行专业化孵化服务模式，以高效链接与精准孵化为核心，推行创业项目整体解决方案及产业化转化一站式打包服务，凭借优质服务荣获广州市工业和信息化局颁发的“广州市民营和中小企业服务站”称号。</w:t>
      </w:r>
    </w:p>
    <w:p w14:paraId="4F7AB9C9">
      <w:pPr>
        <w:pStyle w:val="3"/>
        <w:spacing w:line="280" w:lineRule="exact"/>
        <w:jc w:val="left"/>
        <w:rPr>
          <w:rFonts w:hint="eastAsia" w:ascii="宋体" w:hAnsi="宋体" w:cs="宋体"/>
          <w:b/>
          <w:bCs/>
        </w:rPr>
      </w:pPr>
      <w:bookmarkStart w:id="4" w:name="_Toc988893"/>
      <w:r>
        <w:rPr>
          <w:rFonts w:ascii="Times New Roman" w:hAnsi="Times New Roman" w:cs="Times New Roman"/>
          <w:b/>
          <w:bCs/>
        </w:rPr>
        <w:t>3</w:t>
      </w:r>
      <w:r>
        <w:rPr>
          <w:rFonts w:ascii="宋体" w:hAnsi="宋体" w:cs="宋体"/>
          <w:b/>
          <w:bCs/>
        </w:rPr>
        <w:t>、主要会计数据和财务指标</w:t>
      </w:r>
      <w:bookmarkEnd w:id="4"/>
    </w:p>
    <w:p w14:paraId="3236308F">
      <w:pPr>
        <w:keepNext/>
        <w:keepLines/>
        <w:spacing w:before="300" w:after="300" w:line="280" w:lineRule="exact"/>
        <w:outlineLvl w:val="3"/>
        <w:rPr>
          <w:rFonts w:hint="eastAsia" w:ascii="宋体" w:hAnsi="宋体" w:eastAsia="宋体" w:cs="宋体"/>
          <w:b/>
          <w:bCs/>
          <w:sz w:val="18"/>
          <w:szCs w:val="18"/>
        </w:rPr>
      </w:pPr>
      <w:bookmarkStart w:id="5" w:name="_Toc988894"/>
      <w:r>
        <w:rPr>
          <w:rFonts w:ascii="宋体" w:hAnsi="宋体" w:eastAsia="宋体" w:cs="宋体"/>
          <w:b/>
          <w:bCs/>
          <w:sz w:val="18"/>
          <w:szCs w:val="18"/>
        </w:rPr>
        <w:t>（</w:t>
      </w:r>
      <w:r>
        <w:rPr>
          <w:rFonts w:ascii="Times New Roman" w:hAnsi="Times New Roman" w:eastAsia="宋体" w:cs="Times New Roman"/>
          <w:b/>
          <w:bCs/>
          <w:sz w:val="18"/>
          <w:szCs w:val="18"/>
        </w:rPr>
        <w:t>1</w:t>
      </w:r>
      <w:r>
        <w:rPr>
          <w:rFonts w:ascii="宋体" w:hAnsi="宋体" w:eastAsia="宋体" w:cs="宋体"/>
          <w:b/>
          <w:bCs/>
          <w:sz w:val="18"/>
          <w:szCs w:val="18"/>
        </w:rPr>
        <w:t>） 近三年主要会计数据和财务指标</w:t>
      </w:r>
      <w:bookmarkEnd w:id="5"/>
    </w:p>
    <w:p w14:paraId="63F19DF0">
      <w:pPr>
        <w:spacing w:after="0" w:line="240" w:lineRule="exact"/>
        <w:rPr>
          <w:rFonts w:hint="eastAsia" w:ascii="宋体" w:hAnsi="宋体" w:eastAsia="宋体" w:cs="宋体"/>
          <w:sz w:val="18"/>
          <w:szCs w:val="18"/>
        </w:rPr>
      </w:pPr>
      <w:r>
        <w:rPr>
          <w:rFonts w:ascii="宋体" w:hAnsi="宋体" w:eastAsia="宋体" w:cs="宋体"/>
          <w:sz w:val="18"/>
          <w:szCs w:val="18"/>
        </w:rPr>
        <w:t>公司是否需追溯调整或重述以前年度会计数据</w:t>
      </w:r>
    </w:p>
    <w:p w14:paraId="4744DEAC">
      <w:pPr>
        <w:spacing w:after="0" w:line="240" w:lineRule="exact"/>
        <w:rPr>
          <w:rFonts w:hint="eastAsia"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381F4833">
      <w:pPr>
        <w:spacing w:before="120" w:after="120" w:line="240" w:lineRule="exact"/>
        <w:jc w:val="right"/>
        <w:rPr>
          <w:rFonts w:hint="eastAsia" w:ascii="宋体" w:hAnsi="宋体" w:eastAsia="宋体" w:cs="宋体"/>
          <w:sz w:val="18"/>
          <w:szCs w:val="18"/>
        </w:rPr>
      </w:pPr>
      <w:r>
        <w:rPr>
          <w:rFonts w:ascii="宋体" w:hAnsi="宋体" w:eastAsia="宋体" w:cs="宋体"/>
          <w:sz w:val="18"/>
          <w:szCs w:val="18"/>
        </w:rPr>
        <w:t>元</w:t>
      </w:r>
    </w:p>
    <w:tbl>
      <w:tblPr>
        <w:tblStyle w:val="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91"/>
        <w:gridCol w:w="1811"/>
        <w:gridCol w:w="1833"/>
        <w:gridCol w:w="1876"/>
        <w:gridCol w:w="1928"/>
      </w:tblGrid>
      <w:tr w14:paraId="422A1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91" w:type="dxa"/>
            <w:tcBorders>
              <w:top w:val="single" w:color="auto" w:sz="2" w:space="0"/>
              <w:left w:val="single" w:color="auto" w:sz="2" w:space="0"/>
              <w:bottom w:val="single" w:color="auto" w:sz="2" w:space="0"/>
              <w:right w:val="single" w:color="auto" w:sz="2" w:space="0"/>
            </w:tcBorders>
            <w:shd w:val="clear" w:color="auto" w:fill="D3D3D3"/>
            <w:vAlign w:val="center"/>
          </w:tcPr>
          <w:p w14:paraId="23218C98">
            <w:pPr>
              <w:rPr>
                <w:rFonts w:ascii="Times New Roman" w:hAnsi="Times New Roman" w:cs="Times New Roman"/>
              </w:rPr>
            </w:pPr>
          </w:p>
        </w:tc>
        <w:tc>
          <w:tcPr>
            <w:tcW w:w="1811" w:type="dxa"/>
            <w:tcBorders>
              <w:top w:val="single" w:color="auto" w:sz="2" w:space="0"/>
              <w:left w:val="single" w:color="auto" w:sz="2" w:space="0"/>
              <w:bottom w:val="single" w:color="auto" w:sz="2" w:space="0"/>
              <w:right w:val="single" w:color="auto" w:sz="2" w:space="0"/>
            </w:tcBorders>
            <w:shd w:val="clear" w:color="auto" w:fill="D3D3D3"/>
            <w:vAlign w:val="center"/>
          </w:tcPr>
          <w:p w14:paraId="591B624F">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2025年末</w:t>
            </w:r>
          </w:p>
        </w:tc>
        <w:tc>
          <w:tcPr>
            <w:tcW w:w="1833" w:type="dxa"/>
            <w:tcBorders>
              <w:top w:val="single" w:color="auto" w:sz="2" w:space="0"/>
              <w:left w:val="single" w:color="auto" w:sz="2" w:space="0"/>
              <w:bottom w:val="single" w:color="auto" w:sz="2" w:space="0"/>
              <w:right w:val="single" w:color="auto" w:sz="2" w:space="0"/>
            </w:tcBorders>
            <w:shd w:val="clear" w:color="auto" w:fill="D3D3D3"/>
            <w:vAlign w:val="center"/>
          </w:tcPr>
          <w:p w14:paraId="0A97484B">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2024年末</w:t>
            </w:r>
          </w:p>
        </w:tc>
        <w:tc>
          <w:tcPr>
            <w:tcW w:w="1876" w:type="dxa"/>
            <w:tcBorders>
              <w:top w:val="single" w:color="auto" w:sz="2" w:space="0"/>
              <w:left w:val="single" w:color="auto" w:sz="2" w:space="0"/>
              <w:bottom w:val="single" w:color="auto" w:sz="2" w:space="0"/>
              <w:right w:val="single" w:color="auto" w:sz="2" w:space="0"/>
            </w:tcBorders>
            <w:shd w:val="clear" w:color="auto" w:fill="D3D3D3"/>
            <w:vAlign w:val="center"/>
          </w:tcPr>
          <w:p w14:paraId="68BD25AF">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本年末比上年末增减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B5B8C82">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2023年末</w:t>
            </w:r>
          </w:p>
        </w:tc>
      </w:tr>
      <w:tr w14:paraId="3E321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91" w:type="dxa"/>
            <w:tcBorders>
              <w:top w:val="single" w:color="auto" w:sz="2" w:space="0"/>
              <w:left w:val="single" w:color="auto" w:sz="2" w:space="0"/>
              <w:bottom w:val="single" w:color="auto" w:sz="2" w:space="0"/>
              <w:right w:val="single" w:color="auto" w:sz="2" w:space="0"/>
            </w:tcBorders>
            <w:shd w:val="clear" w:color="auto" w:fill="D3D3D3"/>
            <w:vAlign w:val="center"/>
          </w:tcPr>
          <w:p w14:paraId="643C724A">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总资产</w:t>
            </w:r>
          </w:p>
        </w:tc>
        <w:tc>
          <w:tcPr>
            <w:tcW w:w="1811" w:type="dxa"/>
            <w:tcBorders>
              <w:top w:val="single" w:color="auto" w:sz="2" w:space="0"/>
              <w:left w:val="single" w:color="auto" w:sz="2" w:space="0"/>
              <w:bottom w:val="single" w:color="auto" w:sz="2" w:space="0"/>
              <w:right w:val="single" w:color="auto" w:sz="2" w:space="0"/>
            </w:tcBorders>
            <w:vAlign w:val="center"/>
          </w:tcPr>
          <w:p w14:paraId="7DF97791">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806,532,412.19</w:t>
            </w:r>
          </w:p>
        </w:tc>
        <w:tc>
          <w:tcPr>
            <w:tcW w:w="1833" w:type="dxa"/>
            <w:tcBorders>
              <w:top w:val="single" w:color="auto" w:sz="2" w:space="0"/>
              <w:left w:val="single" w:color="auto" w:sz="2" w:space="0"/>
              <w:bottom w:val="single" w:color="auto" w:sz="2" w:space="0"/>
              <w:right w:val="single" w:color="auto" w:sz="2" w:space="0"/>
            </w:tcBorders>
            <w:vAlign w:val="center"/>
          </w:tcPr>
          <w:p w14:paraId="666CEB16">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754,399,831.41</w:t>
            </w:r>
          </w:p>
        </w:tc>
        <w:tc>
          <w:tcPr>
            <w:tcW w:w="1876" w:type="dxa"/>
            <w:tcBorders>
              <w:top w:val="single" w:color="auto" w:sz="2" w:space="0"/>
              <w:left w:val="single" w:color="auto" w:sz="2" w:space="0"/>
              <w:bottom w:val="single" w:color="auto" w:sz="2" w:space="0"/>
              <w:right w:val="single" w:color="auto" w:sz="2" w:space="0"/>
            </w:tcBorders>
            <w:vAlign w:val="center"/>
          </w:tcPr>
          <w:p w14:paraId="7B839D1B">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6.91%</w:t>
            </w:r>
          </w:p>
        </w:tc>
        <w:tc>
          <w:tcPr>
            <w:tcW w:w="1928" w:type="dxa"/>
            <w:tcBorders>
              <w:top w:val="single" w:color="auto" w:sz="2" w:space="0"/>
              <w:left w:val="single" w:color="auto" w:sz="2" w:space="0"/>
              <w:bottom w:val="single" w:color="auto" w:sz="2" w:space="0"/>
              <w:right w:val="single" w:color="auto" w:sz="2" w:space="0"/>
            </w:tcBorders>
            <w:vAlign w:val="center"/>
          </w:tcPr>
          <w:p w14:paraId="032F0727">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678,594,899.40</w:t>
            </w:r>
          </w:p>
        </w:tc>
      </w:tr>
      <w:tr w14:paraId="4B80A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91" w:type="dxa"/>
            <w:tcBorders>
              <w:top w:val="single" w:color="auto" w:sz="2" w:space="0"/>
              <w:left w:val="single" w:color="auto" w:sz="2" w:space="0"/>
              <w:bottom w:val="single" w:color="auto" w:sz="2" w:space="0"/>
              <w:right w:val="single" w:color="auto" w:sz="2" w:space="0"/>
            </w:tcBorders>
            <w:shd w:val="clear" w:color="auto" w:fill="D3D3D3"/>
            <w:vAlign w:val="center"/>
          </w:tcPr>
          <w:p w14:paraId="23AF7D34">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归属于上市公司股东的净资产</w:t>
            </w:r>
          </w:p>
        </w:tc>
        <w:tc>
          <w:tcPr>
            <w:tcW w:w="1811" w:type="dxa"/>
            <w:tcBorders>
              <w:top w:val="single" w:color="auto" w:sz="2" w:space="0"/>
              <w:left w:val="single" w:color="auto" w:sz="2" w:space="0"/>
              <w:bottom w:val="single" w:color="auto" w:sz="2" w:space="0"/>
              <w:right w:val="single" w:color="auto" w:sz="2" w:space="0"/>
            </w:tcBorders>
            <w:vAlign w:val="center"/>
          </w:tcPr>
          <w:p w14:paraId="1E62F1EF">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570,067,516.98</w:t>
            </w:r>
          </w:p>
        </w:tc>
        <w:tc>
          <w:tcPr>
            <w:tcW w:w="1833" w:type="dxa"/>
            <w:tcBorders>
              <w:top w:val="single" w:color="auto" w:sz="2" w:space="0"/>
              <w:left w:val="single" w:color="auto" w:sz="2" w:space="0"/>
              <w:bottom w:val="single" w:color="auto" w:sz="2" w:space="0"/>
              <w:right w:val="single" w:color="auto" w:sz="2" w:space="0"/>
            </w:tcBorders>
            <w:vAlign w:val="center"/>
          </w:tcPr>
          <w:p w14:paraId="54E82096">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542,358,105.24</w:t>
            </w:r>
          </w:p>
        </w:tc>
        <w:tc>
          <w:tcPr>
            <w:tcW w:w="1876" w:type="dxa"/>
            <w:tcBorders>
              <w:top w:val="single" w:color="auto" w:sz="2" w:space="0"/>
              <w:left w:val="single" w:color="auto" w:sz="2" w:space="0"/>
              <w:bottom w:val="single" w:color="auto" w:sz="2" w:space="0"/>
              <w:right w:val="single" w:color="auto" w:sz="2" w:space="0"/>
            </w:tcBorders>
            <w:vAlign w:val="center"/>
          </w:tcPr>
          <w:p w14:paraId="6836EE43">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5.11%</w:t>
            </w:r>
          </w:p>
        </w:tc>
        <w:tc>
          <w:tcPr>
            <w:tcW w:w="1928" w:type="dxa"/>
            <w:tcBorders>
              <w:top w:val="single" w:color="auto" w:sz="2" w:space="0"/>
              <w:left w:val="single" w:color="auto" w:sz="2" w:space="0"/>
              <w:bottom w:val="single" w:color="auto" w:sz="2" w:space="0"/>
              <w:right w:val="single" w:color="auto" w:sz="2" w:space="0"/>
            </w:tcBorders>
            <w:vAlign w:val="center"/>
          </w:tcPr>
          <w:p w14:paraId="1E5F5D07">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520,593,839.11</w:t>
            </w:r>
          </w:p>
        </w:tc>
      </w:tr>
      <w:tr w14:paraId="5DEA7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91" w:type="dxa"/>
            <w:tcBorders>
              <w:top w:val="single" w:color="auto" w:sz="2" w:space="0"/>
              <w:left w:val="single" w:color="auto" w:sz="2" w:space="0"/>
              <w:bottom w:val="single" w:color="auto" w:sz="2" w:space="0"/>
              <w:right w:val="single" w:color="auto" w:sz="2" w:space="0"/>
            </w:tcBorders>
            <w:shd w:val="clear" w:color="auto" w:fill="D3D3D3"/>
            <w:vAlign w:val="center"/>
          </w:tcPr>
          <w:p w14:paraId="210C08D7">
            <w:pPr>
              <w:rPr>
                <w:rFonts w:ascii="Times New Roman" w:hAnsi="Times New Roman" w:cs="Times New Roman"/>
              </w:rPr>
            </w:pPr>
          </w:p>
        </w:tc>
        <w:tc>
          <w:tcPr>
            <w:tcW w:w="1811" w:type="dxa"/>
            <w:tcBorders>
              <w:top w:val="single" w:color="auto" w:sz="2" w:space="0"/>
              <w:left w:val="single" w:color="auto" w:sz="2" w:space="0"/>
              <w:bottom w:val="single" w:color="auto" w:sz="2" w:space="0"/>
              <w:right w:val="single" w:color="auto" w:sz="2" w:space="0"/>
            </w:tcBorders>
            <w:shd w:val="clear" w:color="auto" w:fill="D3D3D3"/>
            <w:vAlign w:val="center"/>
          </w:tcPr>
          <w:p w14:paraId="65BBD634">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2025年</w:t>
            </w:r>
          </w:p>
        </w:tc>
        <w:tc>
          <w:tcPr>
            <w:tcW w:w="1833" w:type="dxa"/>
            <w:tcBorders>
              <w:top w:val="single" w:color="auto" w:sz="2" w:space="0"/>
              <w:left w:val="single" w:color="auto" w:sz="2" w:space="0"/>
              <w:bottom w:val="single" w:color="auto" w:sz="2" w:space="0"/>
              <w:right w:val="single" w:color="auto" w:sz="2" w:space="0"/>
            </w:tcBorders>
            <w:shd w:val="clear" w:color="auto" w:fill="D3D3D3"/>
            <w:vAlign w:val="center"/>
          </w:tcPr>
          <w:p w14:paraId="72156846">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2024年</w:t>
            </w:r>
          </w:p>
        </w:tc>
        <w:tc>
          <w:tcPr>
            <w:tcW w:w="1876" w:type="dxa"/>
            <w:tcBorders>
              <w:top w:val="single" w:color="auto" w:sz="2" w:space="0"/>
              <w:left w:val="single" w:color="auto" w:sz="2" w:space="0"/>
              <w:bottom w:val="single" w:color="auto" w:sz="2" w:space="0"/>
              <w:right w:val="single" w:color="auto" w:sz="2" w:space="0"/>
            </w:tcBorders>
            <w:shd w:val="clear" w:color="auto" w:fill="D3D3D3"/>
            <w:vAlign w:val="center"/>
          </w:tcPr>
          <w:p w14:paraId="3A4E2809">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本年比上年增减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362BC9B">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2023年</w:t>
            </w:r>
          </w:p>
        </w:tc>
      </w:tr>
      <w:tr w14:paraId="6000A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91" w:type="dxa"/>
            <w:tcBorders>
              <w:top w:val="single" w:color="auto" w:sz="2" w:space="0"/>
              <w:left w:val="single" w:color="auto" w:sz="2" w:space="0"/>
              <w:bottom w:val="single" w:color="auto" w:sz="2" w:space="0"/>
              <w:right w:val="single" w:color="auto" w:sz="2" w:space="0"/>
            </w:tcBorders>
            <w:shd w:val="clear" w:color="auto" w:fill="D3D3D3"/>
            <w:vAlign w:val="center"/>
          </w:tcPr>
          <w:p w14:paraId="05E167AD">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营业收入</w:t>
            </w:r>
          </w:p>
        </w:tc>
        <w:tc>
          <w:tcPr>
            <w:tcW w:w="1811" w:type="dxa"/>
            <w:tcBorders>
              <w:top w:val="single" w:color="auto" w:sz="2" w:space="0"/>
              <w:left w:val="single" w:color="auto" w:sz="2" w:space="0"/>
              <w:bottom w:val="single" w:color="auto" w:sz="2" w:space="0"/>
              <w:right w:val="single" w:color="auto" w:sz="2" w:space="0"/>
            </w:tcBorders>
            <w:vAlign w:val="center"/>
          </w:tcPr>
          <w:p w14:paraId="33530734">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387,749,767.90</w:t>
            </w:r>
          </w:p>
        </w:tc>
        <w:tc>
          <w:tcPr>
            <w:tcW w:w="1833" w:type="dxa"/>
            <w:tcBorders>
              <w:top w:val="single" w:color="auto" w:sz="2" w:space="0"/>
              <w:left w:val="single" w:color="auto" w:sz="2" w:space="0"/>
              <w:bottom w:val="single" w:color="auto" w:sz="2" w:space="0"/>
              <w:right w:val="single" w:color="auto" w:sz="2" w:space="0"/>
            </w:tcBorders>
            <w:vAlign w:val="center"/>
          </w:tcPr>
          <w:p w14:paraId="134827F1">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377,483,103.80</w:t>
            </w:r>
          </w:p>
        </w:tc>
        <w:tc>
          <w:tcPr>
            <w:tcW w:w="1876" w:type="dxa"/>
            <w:tcBorders>
              <w:top w:val="single" w:color="auto" w:sz="2" w:space="0"/>
              <w:left w:val="single" w:color="auto" w:sz="2" w:space="0"/>
              <w:bottom w:val="single" w:color="auto" w:sz="2" w:space="0"/>
              <w:right w:val="single" w:color="auto" w:sz="2" w:space="0"/>
            </w:tcBorders>
            <w:vAlign w:val="center"/>
          </w:tcPr>
          <w:p w14:paraId="5230F80E">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2.72%</w:t>
            </w:r>
          </w:p>
        </w:tc>
        <w:tc>
          <w:tcPr>
            <w:tcW w:w="1928" w:type="dxa"/>
            <w:tcBorders>
              <w:top w:val="single" w:color="auto" w:sz="2" w:space="0"/>
              <w:left w:val="single" w:color="auto" w:sz="2" w:space="0"/>
              <w:bottom w:val="single" w:color="auto" w:sz="2" w:space="0"/>
              <w:right w:val="single" w:color="auto" w:sz="2" w:space="0"/>
            </w:tcBorders>
            <w:vAlign w:val="center"/>
          </w:tcPr>
          <w:p w14:paraId="3BA91112">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404,178,697.25</w:t>
            </w:r>
          </w:p>
        </w:tc>
      </w:tr>
      <w:tr w14:paraId="5FB29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91" w:type="dxa"/>
            <w:tcBorders>
              <w:top w:val="single" w:color="auto" w:sz="2" w:space="0"/>
              <w:left w:val="single" w:color="auto" w:sz="2" w:space="0"/>
              <w:bottom w:val="single" w:color="auto" w:sz="2" w:space="0"/>
              <w:right w:val="single" w:color="auto" w:sz="2" w:space="0"/>
            </w:tcBorders>
            <w:shd w:val="clear" w:color="auto" w:fill="D3D3D3"/>
            <w:vAlign w:val="center"/>
          </w:tcPr>
          <w:p w14:paraId="150004FE">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归属于上市公司股东的净利润</w:t>
            </w:r>
          </w:p>
        </w:tc>
        <w:tc>
          <w:tcPr>
            <w:tcW w:w="1811" w:type="dxa"/>
            <w:tcBorders>
              <w:top w:val="single" w:color="auto" w:sz="2" w:space="0"/>
              <w:left w:val="single" w:color="auto" w:sz="2" w:space="0"/>
              <w:bottom w:val="single" w:color="auto" w:sz="2" w:space="0"/>
              <w:right w:val="single" w:color="auto" w:sz="2" w:space="0"/>
            </w:tcBorders>
            <w:vAlign w:val="center"/>
          </w:tcPr>
          <w:p w14:paraId="3CCC4ADB">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24,346,028.28</w:t>
            </w:r>
          </w:p>
        </w:tc>
        <w:tc>
          <w:tcPr>
            <w:tcW w:w="1833" w:type="dxa"/>
            <w:tcBorders>
              <w:top w:val="single" w:color="auto" w:sz="2" w:space="0"/>
              <w:left w:val="single" w:color="auto" w:sz="2" w:space="0"/>
              <w:bottom w:val="single" w:color="auto" w:sz="2" w:space="0"/>
              <w:right w:val="single" w:color="auto" w:sz="2" w:space="0"/>
            </w:tcBorders>
            <w:vAlign w:val="center"/>
          </w:tcPr>
          <w:p w14:paraId="04609173">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27,416,909.65</w:t>
            </w:r>
          </w:p>
        </w:tc>
        <w:tc>
          <w:tcPr>
            <w:tcW w:w="1876" w:type="dxa"/>
            <w:tcBorders>
              <w:top w:val="single" w:color="auto" w:sz="2" w:space="0"/>
              <w:left w:val="single" w:color="auto" w:sz="2" w:space="0"/>
              <w:bottom w:val="single" w:color="auto" w:sz="2" w:space="0"/>
              <w:right w:val="single" w:color="auto" w:sz="2" w:space="0"/>
            </w:tcBorders>
            <w:vAlign w:val="center"/>
          </w:tcPr>
          <w:p w14:paraId="07B88CBF">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-11.20%</w:t>
            </w:r>
          </w:p>
        </w:tc>
        <w:tc>
          <w:tcPr>
            <w:tcW w:w="1928" w:type="dxa"/>
            <w:tcBorders>
              <w:top w:val="single" w:color="auto" w:sz="2" w:space="0"/>
              <w:left w:val="single" w:color="auto" w:sz="2" w:space="0"/>
              <w:bottom w:val="single" w:color="auto" w:sz="2" w:space="0"/>
              <w:right w:val="single" w:color="auto" w:sz="2" w:space="0"/>
            </w:tcBorders>
            <w:vAlign w:val="center"/>
          </w:tcPr>
          <w:p w14:paraId="4DFC360E">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31,005,798.58</w:t>
            </w:r>
          </w:p>
        </w:tc>
      </w:tr>
      <w:tr w14:paraId="0B771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91" w:type="dxa"/>
            <w:tcBorders>
              <w:top w:val="single" w:color="auto" w:sz="2" w:space="0"/>
              <w:left w:val="single" w:color="auto" w:sz="2" w:space="0"/>
              <w:bottom w:val="single" w:color="auto" w:sz="2" w:space="0"/>
              <w:right w:val="single" w:color="auto" w:sz="2" w:space="0"/>
            </w:tcBorders>
            <w:shd w:val="clear" w:color="auto" w:fill="D3D3D3"/>
            <w:vAlign w:val="center"/>
          </w:tcPr>
          <w:p w14:paraId="61B936E5">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归属于上市公司股东的扣除非经常性损益的净利润</w:t>
            </w:r>
          </w:p>
        </w:tc>
        <w:tc>
          <w:tcPr>
            <w:tcW w:w="1811" w:type="dxa"/>
            <w:tcBorders>
              <w:top w:val="single" w:color="auto" w:sz="2" w:space="0"/>
              <w:left w:val="single" w:color="auto" w:sz="2" w:space="0"/>
              <w:bottom w:val="single" w:color="auto" w:sz="2" w:space="0"/>
              <w:right w:val="single" w:color="auto" w:sz="2" w:space="0"/>
            </w:tcBorders>
            <w:vAlign w:val="center"/>
          </w:tcPr>
          <w:p w14:paraId="197BE163">
            <w:pPr>
              <w:spacing w:after="0" w:line="24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26,311,919.29</w:t>
            </w:r>
          </w:p>
        </w:tc>
        <w:tc>
          <w:tcPr>
            <w:tcW w:w="1833" w:type="dxa"/>
            <w:tcBorders>
              <w:top w:val="single" w:color="auto" w:sz="2" w:space="0"/>
              <w:left w:val="single" w:color="auto" w:sz="2" w:space="0"/>
              <w:bottom w:val="single" w:color="auto" w:sz="2" w:space="0"/>
              <w:right w:val="single" w:color="auto" w:sz="2" w:space="0"/>
            </w:tcBorders>
            <w:vAlign w:val="center"/>
          </w:tcPr>
          <w:p w14:paraId="40823F8C">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19,714,325.01</w:t>
            </w:r>
          </w:p>
        </w:tc>
        <w:tc>
          <w:tcPr>
            <w:tcW w:w="1876" w:type="dxa"/>
            <w:tcBorders>
              <w:top w:val="single" w:color="auto" w:sz="2" w:space="0"/>
              <w:left w:val="single" w:color="auto" w:sz="2" w:space="0"/>
              <w:bottom w:val="single" w:color="auto" w:sz="2" w:space="0"/>
              <w:right w:val="single" w:color="auto" w:sz="2" w:space="0"/>
            </w:tcBorders>
            <w:vAlign w:val="center"/>
          </w:tcPr>
          <w:p w14:paraId="5FCCBA9E">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w:t>
            </w:r>
            <w:r>
              <w:rPr>
                <w:rFonts w:hint="eastAsia" w:ascii="Times New Roman" w:hAnsi="Times New Roman" w:eastAsia="宋体" w:cs="Times New Roman"/>
                <w:sz w:val="18"/>
                <w:szCs w:val="18"/>
                <w:lang w:val="en-US" w:eastAsia="zh-CN"/>
              </w:rPr>
              <w:t>47</w:t>
            </w:r>
            <w:r>
              <w:rPr>
                <w:rFonts w:ascii="Times New Roman" w:hAnsi="Times New Roman" w:eastAsia="宋体" w:cs="Times New Roman"/>
                <w:sz w:val="18"/>
                <w:szCs w:val="18"/>
              </w:rPr>
              <w:t>%</w:t>
            </w:r>
          </w:p>
        </w:tc>
        <w:tc>
          <w:tcPr>
            <w:tcW w:w="1928" w:type="dxa"/>
            <w:tcBorders>
              <w:top w:val="single" w:color="auto" w:sz="2" w:space="0"/>
              <w:left w:val="single" w:color="auto" w:sz="2" w:space="0"/>
              <w:bottom w:val="single" w:color="auto" w:sz="2" w:space="0"/>
              <w:right w:val="single" w:color="auto" w:sz="2" w:space="0"/>
            </w:tcBorders>
            <w:vAlign w:val="center"/>
          </w:tcPr>
          <w:p w14:paraId="4C203AA8">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30,555,396.54</w:t>
            </w:r>
          </w:p>
        </w:tc>
      </w:tr>
      <w:tr w14:paraId="2FC3F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91" w:type="dxa"/>
            <w:tcBorders>
              <w:top w:val="single" w:color="auto" w:sz="2" w:space="0"/>
              <w:left w:val="single" w:color="auto" w:sz="2" w:space="0"/>
              <w:bottom w:val="single" w:color="auto" w:sz="2" w:space="0"/>
              <w:right w:val="single" w:color="auto" w:sz="2" w:space="0"/>
            </w:tcBorders>
            <w:shd w:val="clear" w:color="auto" w:fill="D3D3D3"/>
            <w:vAlign w:val="center"/>
          </w:tcPr>
          <w:p w14:paraId="71D9E200">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经营活动产生的现金流量净额</w:t>
            </w:r>
          </w:p>
        </w:tc>
        <w:tc>
          <w:tcPr>
            <w:tcW w:w="1811" w:type="dxa"/>
            <w:tcBorders>
              <w:top w:val="single" w:color="auto" w:sz="2" w:space="0"/>
              <w:left w:val="single" w:color="auto" w:sz="2" w:space="0"/>
              <w:bottom w:val="single" w:color="auto" w:sz="2" w:space="0"/>
              <w:right w:val="single" w:color="auto" w:sz="2" w:space="0"/>
            </w:tcBorders>
            <w:vAlign w:val="center"/>
          </w:tcPr>
          <w:p w14:paraId="4EC01C3A">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71,473,795.76</w:t>
            </w:r>
          </w:p>
        </w:tc>
        <w:tc>
          <w:tcPr>
            <w:tcW w:w="1833" w:type="dxa"/>
            <w:tcBorders>
              <w:top w:val="single" w:color="auto" w:sz="2" w:space="0"/>
              <w:left w:val="single" w:color="auto" w:sz="2" w:space="0"/>
              <w:bottom w:val="single" w:color="auto" w:sz="2" w:space="0"/>
              <w:right w:val="single" w:color="auto" w:sz="2" w:space="0"/>
            </w:tcBorders>
            <w:vAlign w:val="center"/>
          </w:tcPr>
          <w:p w14:paraId="3B07AB39">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49,554,796.99</w:t>
            </w:r>
          </w:p>
        </w:tc>
        <w:tc>
          <w:tcPr>
            <w:tcW w:w="1876" w:type="dxa"/>
            <w:tcBorders>
              <w:top w:val="single" w:color="auto" w:sz="2" w:space="0"/>
              <w:left w:val="single" w:color="auto" w:sz="2" w:space="0"/>
              <w:bottom w:val="single" w:color="auto" w:sz="2" w:space="0"/>
              <w:right w:val="single" w:color="auto" w:sz="2" w:space="0"/>
            </w:tcBorders>
            <w:vAlign w:val="center"/>
          </w:tcPr>
          <w:p w14:paraId="30406E7E">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44.23%</w:t>
            </w:r>
          </w:p>
        </w:tc>
        <w:tc>
          <w:tcPr>
            <w:tcW w:w="1928" w:type="dxa"/>
            <w:tcBorders>
              <w:top w:val="single" w:color="auto" w:sz="2" w:space="0"/>
              <w:left w:val="single" w:color="auto" w:sz="2" w:space="0"/>
              <w:bottom w:val="single" w:color="auto" w:sz="2" w:space="0"/>
              <w:right w:val="single" w:color="auto" w:sz="2" w:space="0"/>
            </w:tcBorders>
            <w:vAlign w:val="center"/>
          </w:tcPr>
          <w:p w14:paraId="32DBA7DF">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54,149,827.93</w:t>
            </w:r>
          </w:p>
        </w:tc>
      </w:tr>
      <w:tr w14:paraId="274F6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91" w:type="dxa"/>
            <w:tcBorders>
              <w:top w:val="single" w:color="auto" w:sz="2" w:space="0"/>
              <w:left w:val="single" w:color="auto" w:sz="2" w:space="0"/>
              <w:bottom w:val="single" w:color="auto" w:sz="2" w:space="0"/>
              <w:right w:val="single" w:color="auto" w:sz="2" w:space="0"/>
            </w:tcBorders>
            <w:shd w:val="clear" w:color="auto" w:fill="D3D3D3"/>
            <w:vAlign w:val="center"/>
          </w:tcPr>
          <w:p w14:paraId="0BD5245C">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基本每股收益（元/股）</w:t>
            </w:r>
          </w:p>
        </w:tc>
        <w:tc>
          <w:tcPr>
            <w:tcW w:w="1811" w:type="dxa"/>
            <w:tcBorders>
              <w:top w:val="single" w:color="auto" w:sz="2" w:space="0"/>
              <w:left w:val="single" w:color="auto" w:sz="2" w:space="0"/>
              <w:bottom w:val="single" w:color="auto" w:sz="2" w:space="0"/>
              <w:right w:val="single" w:color="auto" w:sz="2" w:space="0"/>
            </w:tcBorders>
            <w:vAlign w:val="center"/>
          </w:tcPr>
          <w:p w14:paraId="0AE0A14F">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0.09</w:t>
            </w:r>
          </w:p>
        </w:tc>
        <w:tc>
          <w:tcPr>
            <w:tcW w:w="1833" w:type="dxa"/>
            <w:tcBorders>
              <w:top w:val="single" w:color="auto" w:sz="2" w:space="0"/>
              <w:left w:val="single" w:color="auto" w:sz="2" w:space="0"/>
              <w:bottom w:val="single" w:color="auto" w:sz="2" w:space="0"/>
              <w:right w:val="single" w:color="auto" w:sz="2" w:space="0"/>
            </w:tcBorders>
            <w:vAlign w:val="center"/>
          </w:tcPr>
          <w:p w14:paraId="66991CE7">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0.10</w:t>
            </w:r>
          </w:p>
        </w:tc>
        <w:tc>
          <w:tcPr>
            <w:tcW w:w="1876" w:type="dxa"/>
            <w:tcBorders>
              <w:top w:val="single" w:color="auto" w:sz="2" w:space="0"/>
              <w:left w:val="single" w:color="auto" w:sz="2" w:space="0"/>
              <w:bottom w:val="single" w:color="auto" w:sz="2" w:space="0"/>
              <w:right w:val="single" w:color="auto" w:sz="2" w:space="0"/>
            </w:tcBorders>
            <w:vAlign w:val="center"/>
          </w:tcPr>
          <w:p w14:paraId="1AF6B585">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w:t>
            </w:r>
          </w:p>
        </w:tc>
        <w:tc>
          <w:tcPr>
            <w:tcW w:w="1928" w:type="dxa"/>
            <w:tcBorders>
              <w:top w:val="single" w:color="auto" w:sz="2" w:space="0"/>
              <w:left w:val="single" w:color="auto" w:sz="2" w:space="0"/>
              <w:bottom w:val="single" w:color="auto" w:sz="2" w:space="0"/>
              <w:right w:val="single" w:color="auto" w:sz="2" w:space="0"/>
            </w:tcBorders>
            <w:vAlign w:val="center"/>
          </w:tcPr>
          <w:p w14:paraId="059E5C81">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0.12</w:t>
            </w:r>
          </w:p>
        </w:tc>
      </w:tr>
      <w:tr w14:paraId="77C62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91" w:type="dxa"/>
            <w:tcBorders>
              <w:top w:val="single" w:color="auto" w:sz="2" w:space="0"/>
              <w:left w:val="single" w:color="auto" w:sz="2" w:space="0"/>
              <w:bottom w:val="single" w:color="auto" w:sz="2" w:space="0"/>
              <w:right w:val="single" w:color="auto" w:sz="2" w:space="0"/>
            </w:tcBorders>
            <w:shd w:val="clear" w:color="auto" w:fill="D3D3D3"/>
            <w:vAlign w:val="center"/>
          </w:tcPr>
          <w:p w14:paraId="2B7A3E72">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稀释每股收益（元/股）</w:t>
            </w:r>
          </w:p>
        </w:tc>
        <w:tc>
          <w:tcPr>
            <w:tcW w:w="1811" w:type="dxa"/>
            <w:tcBorders>
              <w:top w:val="single" w:color="auto" w:sz="2" w:space="0"/>
              <w:left w:val="single" w:color="auto" w:sz="2" w:space="0"/>
              <w:bottom w:val="single" w:color="auto" w:sz="2" w:space="0"/>
              <w:right w:val="single" w:color="auto" w:sz="2" w:space="0"/>
            </w:tcBorders>
            <w:vAlign w:val="center"/>
          </w:tcPr>
          <w:p w14:paraId="0BBA7089">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0.09</w:t>
            </w:r>
          </w:p>
        </w:tc>
        <w:tc>
          <w:tcPr>
            <w:tcW w:w="1833" w:type="dxa"/>
            <w:tcBorders>
              <w:top w:val="single" w:color="auto" w:sz="2" w:space="0"/>
              <w:left w:val="single" w:color="auto" w:sz="2" w:space="0"/>
              <w:bottom w:val="single" w:color="auto" w:sz="2" w:space="0"/>
              <w:right w:val="single" w:color="auto" w:sz="2" w:space="0"/>
            </w:tcBorders>
            <w:vAlign w:val="center"/>
          </w:tcPr>
          <w:p w14:paraId="0A7BF870">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0.10</w:t>
            </w:r>
          </w:p>
        </w:tc>
        <w:tc>
          <w:tcPr>
            <w:tcW w:w="1876" w:type="dxa"/>
            <w:tcBorders>
              <w:top w:val="single" w:color="auto" w:sz="2" w:space="0"/>
              <w:left w:val="single" w:color="auto" w:sz="2" w:space="0"/>
              <w:bottom w:val="single" w:color="auto" w:sz="2" w:space="0"/>
              <w:right w:val="single" w:color="auto" w:sz="2" w:space="0"/>
            </w:tcBorders>
            <w:vAlign w:val="center"/>
          </w:tcPr>
          <w:p w14:paraId="50F68ACC">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w:t>
            </w:r>
          </w:p>
        </w:tc>
        <w:tc>
          <w:tcPr>
            <w:tcW w:w="1928" w:type="dxa"/>
            <w:tcBorders>
              <w:top w:val="single" w:color="auto" w:sz="2" w:space="0"/>
              <w:left w:val="single" w:color="auto" w:sz="2" w:space="0"/>
              <w:bottom w:val="single" w:color="auto" w:sz="2" w:space="0"/>
              <w:right w:val="single" w:color="auto" w:sz="2" w:space="0"/>
            </w:tcBorders>
            <w:vAlign w:val="center"/>
          </w:tcPr>
          <w:p w14:paraId="1D379119">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0.12</w:t>
            </w:r>
          </w:p>
        </w:tc>
      </w:tr>
      <w:tr w14:paraId="2002E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91" w:type="dxa"/>
            <w:tcBorders>
              <w:top w:val="single" w:color="auto" w:sz="2" w:space="0"/>
              <w:left w:val="single" w:color="auto" w:sz="2" w:space="0"/>
              <w:bottom w:val="single" w:color="auto" w:sz="2" w:space="0"/>
              <w:right w:val="single" w:color="auto" w:sz="2" w:space="0"/>
            </w:tcBorders>
            <w:shd w:val="clear" w:color="auto" w:fill="D3D3D3"/>
            <w:vAlign w:val="center"/>
          </w:tcPr>
          <w:p w14:paraId="0919C714">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加权平均净资产收益率</w:t>
            </w:r>
          </w:p>
        </w:tc>
        <w:tc>
          <w:tcPr>
            <w:tcW w:w="1811" w:type="dxa"/>
            <w:tcBorders>
              <w:top w:val="single" w:color="auto" w:sz="2" w:space="0"/>
              <w:left w:val="single" w:color="auto" w:sz="2" w:space="0"/>
              <w:bottom w:val="single" w:color="auto" w:sz="2" w:space="0"/>
              <w:right w:val="single" w:color="auto" w:sz="2" w:space="0"/>
            </w:tcBorders>
            <w:vAlign w:val="center"/>
          </w:tcPr>
          <w:p w14:paraId="3CF701F0">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4.38%</w:t>
            </w:r>
          </w:p>
        </w:tc>
        <w:tc>
          <w:tcPr>
            <w:tcW w:w="1833" w:type="dxa"/>
            <w:tcBorders>
              <w:top w:val="single" w:color="auto" w:sz="2" w:space="0"/>
              <w:left w:val="single" w:color="auto" w:sz="2" w:space="0"/>
              <w:bottom w:val="single" w:color="auto" w:sz="2" w:space="0"/>
              <w:right w:val="single" w:color="auto" w:sz="2" w:space="0"/>
            </w:tcBorders>
            <w:vAlign w:val="center"/>
          </w:tcPr>
          <w:p w14:paraId="6B122C73">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5.16%</w:t>
            </w:r>
          </w:p>
        </w:tc>
        <w:tc>
          <w:tcPr>
            <w:tcW w:w="1876" w:type="dxa"/>
            <w:tcBorders>
              <w:top w:val="single" w:color="auto" w:sz="2" w:space="0"/>
              <w:left w:val="single" w:color="auto" w:sz="2" w:space="0"/>
              <w:bottom w:val="single" w:color="auto" w:sz="2" w:space="0"/>
              <w:right w:val="single" w:color="auto" w:sz="2" w:space="0"/>
            </w:tcBorders>
            <w:vAlign w:val="center"/>
          </w:tcPr>
          <w:p w14:paraId="334036EF">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-0.78%</w:t>
            </w:r>
          </w:p>
        </w:tc>
        <w:tc>
          <w:tcPr>
            <w:tcW w:w="1928" w:type="dxa"/>
            <w:tcBorders>
              <w:top w:val="single" w:color="auto" w:sz="2" w:space="0"/>
              <w:left w:val="single" w:color="auto" w:sz="2" w:space="0"/>
              <w:bottom w:val="single" w:color="auto" w:sz="2" w:space="0"/>
              <w:right w:val="single" w:color="auto" w:sz="2" w:space="0"/>
            </w:tcBorders>
            <w:vAlign w:val="center"/>
          </w:tcPr>
          <w:p w14:paraId="41882BBE">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6.16%</w:t>
            </w:r>
          </w:p>
        </w:tc>
      </w:tr>
    </w:tbl>
    <w:p w14:paraId="2A25728E">
      <w:pPr>
        <w:keepNext/>
        <w:keepLines/>
        <w:spacing w:before="300" w:after="300" w:line="280" w:lineRule="exact"/>
        <w:outlineLvl w:val="3"/>
        <w:rPr>
          <w:rFonts w:hint="eastAsia" w:ascii="宋体" w:hAnsi="宋体" w:eastAsia="宋体" w:cs="宋体"/>
          <w:b/>
          <w:bCs/>
          <w:sz w:val="18"/>
          <w:szCs w:val="18"/>
        </w:rPr>
      </w:pPr>
      <w:bookmarkStart w:id="6" w:name="_Toc988895"/>
      <w:r>
        <w:rPr>
          <w:rFonts w:ascii="宋体" w:hAnsi="宋体" w:eastAsia="宋体" w:cs="宋体"/>
          <w:b/>
          <w:bCs/>
          <w:sz w:val="18"/>
          <w:szCs w:val="18"/>
        </w:rPr>
        <w:t>（</w:t>
      </w:r>
      <w:r>
        <w:rPr>
          <w:rFonts w:ascii="Times New Roman" w:hAnsi="Times New Roman" w:eastAsia="宋体" w:cs="Times New Roman"/>
          <w:b/>
          <w:bCs/>
          <w:sz w:val="18"/>
          <w:szCs w:val="18"/>
        </w:rPr>
        <w:t>2</w:t>
      </w:r>
      <w:r>
        <w:rPr>
          <w:rFonts w:ascii="宋体" w:hAnsi="宋体" w:eastAsia="宋体" w:cs="宋体"/>
          <w:b/>
          <w:bCs/>
          <w:sz w:val="18"/>
          <w:szCs w:val="18"/>
        </w:rPr>
        <w:t>） 分季度主要会计数据</w:t>
      </w:r>
      <w:bookmarkEnd w:id="6"/>
    </w:p>
    <w:p w14:paraId="79A888A6">
      <w:pPr>
        <w:spacing w:before="120" w:after="120" w:line="240" w:lineRule="exact"/>
        <w:jc w:val="right"/>
        <w:rPr>
          <w:rFonts w:hint="eastAsia" w:ascii="宋体" w:hAnsi="宋体" w:eastAsia="宋体" w:cs="宋体"/>
          <w:sz w:val="18"/>
          <w:szCs w:val="18"/>
        </w:rPr>
      </w:pPr>
      <w:r>
        <w:rPr>
          <w:rFonts w:ascii="宋体" w:hAnsi="宋体" w:eastAsia="宋体" w:cs="宋体"/>
          <w:sz w:val="18"/>
          <w:szCs w:val="18"/>
        </w:rPr>
        <w:t>单位：元</w:t>
      </w:r>
    </w:p>
    <w:tbl>
      <w:tblPr>
        <w:tblStyle w:val="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0890D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18F4B0E">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13F3095">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第一季度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0376518">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第二季度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82E46EE">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第三季度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263C531">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第四季度</w:t>
            </w:r>
          </w:p>
        </w:tc>
      </w:tr>
      <w:tr w14:paraId="1C8C2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70EA227">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14:paraId="476F850A">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94,797,135.39</w:t>
            </w:r>
          </w:p>
        </w:tc>
        <w:tc>
          <w:tcPr>
            <w:tcW w:w="1928" w:type="dxa"/>
            <w:tcBorders>
              <w:top w:val="single" w:color="auto" w:sz="2" w:space="0"/>
              <w:left w:val="single" w:color="auto" w:sz="2" w:space="0"/>
              <w:bottom w:val="single" w:color="auto" w:sz="2" w:space="0"/>
              <w:right w:val="single" w:color="auto" w:sz="2" w:space="0"/>
            </w:tcBorders>
            <w:vAlign w:val="center"/>
          </w:tcPr>
          <w:p w14:paraId="1C4FA66E">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106,072,512.59</w:t>
            </w:r>
          </w:p>
        </w:tc>
        <w:tc>
          <w:tcPr>
            <w:tcW w:w="1928" w:type="dxa"/>
            <w:tcBorders>
              <w:top w:val="single" w:color="auto" w:sz="2" w:space="0"/>
              <w:left w:val="single" w:color="auto" w:sz="2" w:space="0"/>
              <w:bottom w:val="single" w:color="auto" w:sz="2" w:space="0"/>
              <w:right w:val="single" w:color="auto" w:sz="2" w:space="0"/>
            </w:tcBorders>
            <w:vAlign w:val="center"/>
          </w:tcPr>
          <w:p w14:paraId="36B07C9D">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92,610,785.08</w:t>
            </w:r>
          </w:p>
        </w:tc>
        <w:tc>
          <w:tcPr>
            <w:tcW w:w="1928" w:type="dxa"/>
            <w:tcBorders>
              <w:top w:val="single" w:color="auto" w:sz="2" w:space="0"/>
              <w:left w:val="single" w:color="auto" w:sz="2" w:space="0"/>
              <w:bottom w:val="single" w:color="auto" w:sz="2" w:space="0"/>
              <w:right w:val="single" w:color="auto" w:sz="2" w:space="0"/>
            </w:tcBorders>
            <w:vAlign w:val="center"/>
          </w:tcPr>
          <w:p w14:paraId="2BA964C9">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94,269,334.84</w:t>
            </w:r>
          </w:p>
        </w:tc>
      </w:tr>
      <w:tr w14:paraId="5CD24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8A7BC8F">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归属于上市公司股东的净利润</w:t>
            </w:r>
          </w:p>
        </w:tc>
        <w:tc>
          <w:tcPr>
            <w:tcW w:w="1928" w:type="dxa"/>
            <w:tcBorders>
              <w:top w:val="single" w:color="auto" w:sz="2" w:space="0"/>
              <w:left w:val="single" w:color="auto" w:sz="2" w:space="0"/>
              <w:bottom w:val="single" w:color="auto" w:sz="2" w:space="0"/>
              <w:right w:val="single" w:color="auto" w:sz="2" w:space="0"/>
            </w:tcBorders>
            <w:vAlign w:val="center"/>
          </w:tcPr>
          <w:p w14:paraId="65F98613">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14,866,096.67</w:t>
            </w:r>
          </w:p>
        </w:tc>
        <w:tc>
          <w:tcPr>
            <w:tcW w:w="1928" w:type="dxa"/>
            <w:tcBorders>
              <w:top w:val="single" w:color="auto" w:sz="2" w:space="0"/>
              <w:left w:val="single" w:color="auto" w:sz="2" w:space="0"/>
              <w:bottom w:val="single" w:color="auto" w:sz="2" w:space="0"/>
              <w:right w:val="single" w:color="auto" w:sz="2" w:space="0"/>
            </w:tcBorders>
            <w:vAlign w:val="center"/>
          </w:tcPr>
          <w:p w14:paraId="309975B9">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5,537,994.77</w:t>
            </w:r>
          </w:p>
        </w:tc>
        <w:tc>
          <w:tcPr>
            <w:tcW w:w="1928" w:type="dxa"/>
            <w:tcBorders>
              <w:top w:val="single" w:color="auto" w:sz="2" w:space="0"/>
              <w:left w:val="single" w:color="auto" w:sz="2" w:space="0"/>
              <w:bottom w:val="single" w:color="auto" w:sz="2" w:space="0"/>
              <w:right w:val="single" w:color="auto" w:sz="2" w:space="0"/>
            </w:tcBorders>
            <w:vAlign w:val="center"/>
          </w:tcPr>
          <w:p w14:paraId="0A46067D">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6,314,402.45</w:t>
            </w:r>
          </w:p>
        </w:tc>
        <w:tc>
          <w:tcPr>
            <w:tcW w:w="1928" w:type="dxa"/>
            <w:tcBorders>
              <w:top w:val="single" w:color="auto" w:sz="2" w:space="0"/>
              <w:left w:val="single" w:color="auto" w:sz="2" w:space="0"/>
              <w:bottom w:val="single" w:color="auto" w:sz="2" w:space="0"/>
              <w:right w:val="single" w:color="auto" w:sz="2" w:space="0"/>
            </w:tcBorders>
            <w:vAlign w:val="center"/>
          </w:tcPr>
          <w:p w14:paraId="3B739971">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-2,372,465.61</w:t>
            </w:r>
          </w:p>
        </w:tc>
      </w:tr>
      <w:tr w14:paraId="37850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A244B23">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归属于上市公司股东的扣除非经常性损益的净利润</w:t>
            </w:r>
          </w:p>
        </w:tc>
        <w:tc>
          <w:tcPr>
            <w:tcW w:w="1928" w:type="dxa"/>
            <w:tcBorders>
              <w:top w:val="single" w:color="auto" w:sz="2" w:space="0"/>
              <w:left w:val="single" w:color="auto" w:sz="2" w:space="0"/>
              <w:bottom w:val="single" w:color="auto" w:sz="2" w:space="0"/>
              <w:right w:val="single" w:color="auto" w:sz="2" w:space="0"/>
            </w:tcBorders>
            <w:vAlign w:val="center"/>
          </w:tcPr>
          <w:p w14:paraId="2D633AB5">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13,865,743.31</w:t>
            </w:r>
          </w:p>
        </w:tc>
        <w:tc>
          <w:tcPr>
            <w:tcW w:w="1928" w:type="dxa"/>
            <w:tcBorders>
              <w:top w:val="single" w:color="auto" w:sz="2" w:space="0"/>
              <w:left w:val="single" w:color="auto" w:sz="2" w:space="0"/>
              <w:bottom w:val="single" w:color="auto" w:sz="2" w:space="0"/>
              <w:right w:val="single" w:color="auto" w:sz="2" w:space="0"/>
            </w:tcBorders>
            <w:vAlign w:val="center"/>
          </w:tcPr>
          <w:p w14:paraId="52D0060C">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5,938,146.85</w:t>
            </w:r>
          </w:p>
        </w:tc>
        <w:tc>
          <w:tcPr>
            <w:tcW w:w="1928" w:type="dxa"/>
            <w:tcBorders>
              <w:top w:val="single" w:color="auto" w:sz="2" w:space="0"/>
              <w:left w:val="single" w:color="auto" w:sz="2" w:space="0"/>
              <w:bottom w:val="single" w:color="auto" w:sz="2" w:space="0"/>
              <w:right w:val="single" w:color="auto" w:sz="2" w:space="0"/>
            </w:tcBorders>
            <w:vAlign w:val="center"/>
          </w:tcPr>
          <w:p w14:paraId="1184E177">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6,016,683.90</w:t>
            </w:r>
          </w:p>
        </w:tc>
        <w:tc>
          <w:tcPr>
            <w:tcW w:w="1928" w:type="dxa"/>
            <w:tcBorders>
              <w:top w:val="single" w:color="auto" w:sz="2" w:space="0"/>
              <w:left w:val="single" w:color="auto" w:sz="2" w:space="0"/>
              <w:bottom w:val="single" w:color="auto" w:sz="2" w:space="0"/>
              <w:right w:val="single" w:color="auto" w:sz="2" w:space="0"/>
            </w:tcBorders>
            <w:vAlign w:val="center"/>
          </w:tcPr>
          <w:p w14:paraId="31CA434F">
            <w:pPr>
              <w:spacing w:after="0" w:line="240" w:lineRule="exact"/>
              <w:jc w:val="right"/>
              <w:rPr>
                <w:rFonts w:ascii="Times New Roman" w:hAnsi="Times New Roman" w:eastAsia="宋体" w:cs="Times New Roman"/>
                <w:sz w:val="18"/>
                <w:szCs w:val="18"/>
              </w:rPr>
            </w:pPr>
            <w:r>
              <w:rPr>
                <w:rFonts w:hint="default" w:ascii="Times New Roman" w:hAnsi="Times New Roman" w:eastAsia="宋体" w:cs="Times New Roman"/>
                <w:sz w:val="18"/>
                <w:szCs w:val="18"/>
              </w:rPr>
              <w:t>491,345.23</w:t>
            </w:r>
          </w:p>
        </w:tc>
      </w:tr>
      <w:tr w14:paraId="50952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559AC7D">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14:paraId="5C3AF9A5">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15,070,757.80</w:t>
            </w:r>
          </w:p>
        </w:tc>
        <w:tc>
          <w:tcPr>
            <w:tcW w:w="1928" w:type="dxa"/>
            <w:tcBorders>
              <w:top w:val="single" w:color="auto" w:sz="2" w:space="0"/>
              <w:left w:val="single" w:color="auto" w:sz="2" w:space="0"/>
              <w:bottom w:val="single" w:color="auto" w:sz="2" w:space="0"/>
              <w:right w:val="single" w:color="auto" w:sz="2" w:space="0"/>
            </w:tcBorders>
            <w:vAlign w:val="center"/>
          </w:tcPr>
          <w:p w14:paraId="5D881EA8">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24,208,370.45</w:t>
            </w:r>
          </w:p>
        </w:tc>
        <w:tc>
          <w:tcPr>
            <w:tcW w:w="1928" w:type="dxa"/>
            <w:tcBorders>
              <w:top w:val="single" w:color="auto" w:sz="2" w:space="0"/>
              <w:left w:val="single" w:color="auto" w:sz="2" w:space="0"/>
              <w:bottom w:val="single" w:color="auto" w:sz="2" w:space="0"/>
              <w:right w:val="single" w:color="auto" w:sz="2" w:space="0"/>
            </w:tcBorders>
            <w:vAlign w:val="center"/>
          </w:tcPr>
          <w:p w14:paraId="4A0D0C91">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13,356,711.92</w:t>
            </w:r>
          </w:p>
        </w:tc>
        <w:tc>
          <w:tcPr>
            <w:tcW w:w="1928" w:type="dxa"/>
            <w:tcBorders>
              <w:top w:val="single" w:color="auto" w:sz="2" w:space="0"/>
              <w:left w:val="single" w:color="auto" w:sz="2" w:space="0"/>
              <w:bottom w:val="single" w:color="auto" w:sz="2" w:space="0"/>
              <w:right w:val="single" w:color="auto" w:sz="2" w:space="0"/>
            </w:tcBorders>
            <w:vAlign w:val="center"/>
          </w:tcPr>
          <w:p w14:paraId="71A7E1FA">
            <w:pPr>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18,837,955.59</w:t>
            </w:r>
          </w:p>
        </w:tc>
      </w:tr>
    </w:tbl>
    <w:p w14:paraId="046199BB">
      <w:pPr>
        <w:spacing w:before="100" w:after="100" w:line="240" w:lineRule="exact"/>
        <w:rPr>
          <w:rFonts w:hint="eastAsia" w:ascii="宋体" w:hAnsi="宋体" w:eastAsia="宋体" w:cs="宋体"/>
          <w:sz w:val="18"/>
          <w:szCs w:val="18"/>
        </w:rPr>
      </w:pPr>
      <w:r>
        <w:rPr>
          <w:rFonts w:ascii="宋体" w:hAnsi="宋体" w:eastAsia="宋体" w:cs="宋体"/>
          <w:sz w:val="18"/>
          <w:szCs w:val="18"/>
        </w:rPr>
        <w:t>上述财务指标或其加总数是否与公司已披露季度报告、半年度报告相关财务指标存在重大差异</w:t>
      </w:r>
    </w:p>
    <w:p w14:paraId="2F5346D8">
      <w:pPr>
        <w:spacing w:before="100" w:after="100" w:line="240" w:lineRule="exact"/>
        <w:rPr>
          <w:rFonts w:hint="eastAsia"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28D190E1">
      <w:pPr>
        <w:pStyle w:val="3"/>
        <w:spacing w:line="280" w:lineRule="exact"/>
        <w:jc w:val="left"/>
        <w:rPr>
          <w:rFonts w:hint="eastAsia" w:ascii="宋体" w:hAnsi="宋体" w:cs="宋体"/>
          <w:b/>
          <w:bCs/>
        </w:rPr>
      </w:pPr>
      <w:bookmarkStart w:id="7" w:name="_Toc988896"/>
      <w:r>
        <w:rPr>
          <w:rFonts w:ascii="Times New Roman" w:hAnsi="Times New Roman" w:cs="Times New Roman"/>
          <w:b/>
          <w:bCs/>
        </w:rPr>
        <w:t>4</w:t>
      </w:r>
      <w:r>
        <w:rPr>
          <w:rFonts w:ascii="宋体" w:hAnsi="宋体" w:cs="宋体"/>
          <w:b/>
          <w:bCs/>
        </w:rPr>
        <w:t>、股本及股东情况</w:t>
      </w:r>
      <w:bookmarkEnd w:id="7"/>
    </w:p>
    <w:p w14:paraId="0AAFDB5D">
      <w:pPr>
        <w:keepNext/>
        <w:keepLines/>
        <w:spacing w:before="300" w:after="300" w:line="280" w:lineRule="exact"/>
        <w:outlineLvl w:val="3"/>
        <w:rPr>
          <w:rFonts w:hint="eastAsia" w:ascii="宋体" w:hAnsi="宋体" w:eastAsia="宋体" w:cs="宋体"/>
          <w:b/>
          <w:bCs/>
          <w:sz w:val="18"/>
          <w:szCs w:val="18"/>
        </w:rPr>
      </w:pPr>
      <w:bookmarkStart w:id="8" w:name="_Toc988897"/>
      <w:r>
        <w:rPr>
          <w:rFonts w:ascii="宋体" w:hAnsi="宋体" w:eastAsia="宋体" w:cs="宋体"/>
          <w:b/>
          <w:bCs/>
          <w:sz w:val="18"/>
          <w:szCs w:val="18"/>
        </w:rPr>
        <w:t>（</w:t>
      </w:r>
      <w:r>
        <w:rPr>
          <w:rFonts w:ascii="Times New Roman" w:hAnsi="Times New Roman" w:eastAsia="宋体" w:cs="Times New Roman"/>
          <w:b/>
          <w:bCs/>
          <w:sz w:val="18"/>
          <w:szCs w:val="18"/>
        </w:rPr>
        <w:t>1</w:t>
      </w:r>
      <w:r>
        <w:rPr>
          <w:rFonts w:ascii="宋体" w:hAnsi="宋体" w:eastAsia="宋体" w:cs="宋体"/>
          <w:b/>
          <w:bCs/>
          <w:sz w:val="18"/>
          <w:szCs w:val="18"/>
        </w:rPr>
        <w:t>） 普通股股东和表决权恢复的优先股股东数量及前</w:t>
      </w:r>
      <w:r>
        <w:rPr>
          <w:rFonts w:ascii="Times New Roman" w:hAnsi="Times New Roman" w:eastAsia="宋体" w:cs="Times New Roman"/>
          <w:b/>
          <w:bCs/>
          <w:sz w:val="18"/>
          <w:szCs w:val="18"/>
        </w:rPr>
        <w:t>10</w:t>
      </w:r>
      <w:r>
        <w:rPr>
          <w:rFonts w:ascii="宋体" w:hAnsi="宋体" w:eastAsia="宋体" w:cs="宋体"/>
          <w:b/>
          <w:bCs/>
          <w:sz w:val="18"/>
          <w:szCs w:val="18"/>
        </w:rPr>
        <w:t>名股东持股情况表</w:t>
      </w:r>
      <w:bookmarkEnd w:id="8"/>
    </w:p>
    <w:p w14:paraId="177F272D">
      <w:pPr>
        <w:spacing w:before="40" w:after="40" w:line="240" w:lineRule="exact"/>
        <w:jc w:val="right"/>
        <w:rPr>
          <w:rFonts w:hint="eastAsia" w:ascii="宋体" w:hAnsi="宋体" w:eastAsia="宋体" w:cs="宋体"/>
          <w:sz w:val="18"/>
          <w:szCs w:val="18"/>
        </w:rPr>
      </w:pPr>
      <w:r>
        <w:rPr>
          <w:rFonts w:ascii="宋体" w:hAnsi="宋体" w:eastAsia="宋体" w:cs="宋体"/>
          <w:sz w:val="18"/>
          <w:szCs w:val="18"/>
        </w:rPr>
        <w:t>单位：股</w:t>
      </w:r>
    </w:p>
    <w:tbl>
      <w:tblPr>
        <w:tblStyle w:val="7"/>
        <w:tblW w:w="984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83"/>
        <w:gridCol w:w="298"/>
        <w:gridCol w:w="413"/>
        <w:gridCol w:w="765"/>
        <w:gridCol w:w="746"/>
        <w:gridCol w:w="399"/>
        <w:gridCol w:w="379"/>
        <w:gridCol w:w="1332"/>
        <w:gridCol w:w="55"/>
        <w:gridCol w:w="379"/>
        <w:gridCol w:w="888"/>
        <w:gridCol w:w="601"/>
        <w:gridCol w:w="343"/>
        <w:gridCol w:w="368"/>
        <w:gridCol w:w="923"/>
        <w:gridCol w:w="371"/>
      </w:tblGrid>
      <w:tr w14:paraId="45384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83" w:type="dxa"/>
            <w:tcBorders>
              <w:top w:val="single" w:color="auto" w:sz="2" w:space="0"/>
              <w:left w:val="single" w:color="auto" w:sz="2" w:space="0"/>
              <w:bottom w:val="single" w:color="auto" w:sz="2" w:space="0"/>
              <w:right w:val="single" w:color="auto" w:sz="2" w:space="0"/>
            </w:tcBorders>
            <w:shd w:val="clear" w:color="auto" w:fill="D3D3D3"/>
            <w:vAlign w:val="center"/>
          </w:tcPr>
          <w:p w14:paraId="040E9928">
            <w:pPr>
              <w:snapToGrid w:val="0"/>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报告期末普通股股东总数</w:t>
            </w:r>
          </w:p>
        </w:tc>
        <w:tc>
          <w:tcPr>
            <w:tcW w:w="711" w:type="dxa"/>
            <w:gridSpan w:val="2"/>
            <w:tcBorders>
              <w:top w:val="single" w:color="auto" w:sz="2" w:space="0"/>
              <w:left w:val="single" w:color="auto" w:sz="2" w:space="0"/>
              <w:bottom w:val="single" w:color="auto" w:sz="2" w:space="0"/>
              <w:right w:val="single" w:color="auto" w:sz="2" w:space="0"/>
            </w:tcBorders>
            <w:vAlign w:val="center"/>
          </w:tcPr>
          <w:p w14:paraId="3F1642A9">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27,775</w:t>
            </w:r>
          </w:p>
        </w:tc>
        <w:tc>
          <w:tcPr>
            <w:tcW w:w="151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40830E6">
            <w:pPr>
              <w:snapToGrid w:val="0"/>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年度报告披露日前一个月末普通股股东总数</w:t>
            </w:r>
          </w:p>
        </w:tc>
        <w:tc>
          <w:tcPr>
            <w:tcW w:w="778" w:type="dxa"/>
            <w:gridSpan w:val="2"/>
            <w:tcBorders>
              <w:top w:val="single" w:color="auto" w:sz="2" w:space="0"/>
              <w:left w:val="single" w:color="auto" w:sz="2" w:space="0"/>
              <w:bottom w:val="single" w:color="auto" w:sz="2" w:space="0"/>
              <w:right w:val="single" w:color="auto" w:sz="2" w:space="0"/>
            </w:tcBorders>
            <w:vAlign w:val="center"/>
          </w:tcPr>
          <w:p w14:paraId="5948C9C9">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29,506</w:t>
            </w:r>
          </w:p>
        </w:tc>
        <w:tc>
          <w:tcPr>
            <w:tcW w:w="138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87202E1">
            <w:pPr>
              <w:snapToGrid w:val="0"/>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报告期末表决权恢复的优先股股东总数</w:t>
            </w:r>
          </w:p>
        </w:tc>
        <w:tc>
          <w:tcPr>
            <w:tcW w:w="379" w:type="dxa"/>
            <w:tcBorders>
              <w:top w:val="single" w:color="auto" w:sz="2" w:space="0"/>
              <w:left w:val="single" w:color="auto" w:sz="2" w:space="0"/>
              <w:bottom w:val="single" w:color="auto" w:sz="2" w:space="0"/>
              <w:right w:val="single" w:color="auto" w:sz="2" w:space="0"/>
            </w:tcBorders>
            <w:vAlign w:val="center"/>
          </w:tcPr>
          <w:p w14:paraId="28E549EE">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48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F520147">
            <w:pPr>
              <w:snapToGrid w:val="0"/>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年度报告披露日前一个月末表决权恢复的优先股股东总数</w:t>
            </w:r>
          </w:p>
        </w:tc>
        <w:tc>
          <w:tcPr>
            <w:tcW w:w="343" w:type="dxa"/>
            <w:tcBorders>
              <w:top w:val="single" w:color="auto" w:sz="2" w:space="0"/>
              <w:left w:val="single" w:color="auto" w:sz="2" w:space="0"/>
              <w:bottom w:val="single" w:color="auto" w:sz="2" w:space="0"/>
              <w:right w:val="single" w:color="auto" w:sz="2" w:space="0"/>
            </w:tcBorders>
            <w:vAlign w:val="center"/>
          </w:tcPr>
          <w:p w14:paraId="08080E7C">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9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820711B">
            <w:pPr>
              <w:snapToGrid w:val="0"/>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持有特别表决权股份的股东总数（如有）</w:t>
            </w:r>
          </w:p>
        </w:tc>
        <w:tc>
          <w:tcPr>
            <w:tcW w:w="371" w:type="dxa"/>
            <w:tcBorders>
              <w:top w:val="single" w:color="auto" w:sz="2" w:space="0"/>
              <w:left w:val="single" w:color="auto" w:sz="2" w:space="0"/>
              <w:bottom w:val="single" w:color="auto" w:sz="2" w:space="0"/>
              <w:right w:val="single" w:color="auto" w:sz="2" w:space="0"/>
            </w:tcBorders>
            <w:vAlign w:val="center"/>
          </w:tcPr>
          <w:p w14:paraId="4F9FEC47">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14:paraId="085A0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843" w:type="dxa"/>
            <w:gridSpan w:val="16"/>
            <w:tcBorders>
              <w:top w:val="single" w:color="auto" w:sz="2" w:space="0"/>
              <w:left w:val="single" w:color="auto" w:sz="2" w:space="0"/>
              <w:bottom w:val="single" w:color="auto" w:sz="2" w:space="0"/>
              <w:right w:val="single" w:color="auto" w:sz="2" w:space="0"/>
            </w:tcBorders>
            <w:shd w:val="clear" w:color="auto" w:fill="D3D3D3"/>
            <w:vAlign w:val="center"/>
          </w:tcPr>
          <w:p w14:paraId="1B077682">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前10名股东持股情况（不含通过转融通出借股份）</w:t>
            </w:r>
          </w:p>
        </w:tc>
      </w:tr>
      <w:tr w14:paraId="027A2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81"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0E2AFDC">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股东名称</w:t>
            </w:r>
          </w:p>
        </w:tc>
        <w:tc>
          <w:tcPr>
            <w:tcW w:w="1178"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38149A4">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股东性质</w:t>
            </w:r>
          </w:p>
        </w:tc>
        <w:tc>
          <w:tcPr>
            <w:tcW w:w="1145"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1F2CD54">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持股比例</w:t>
            </w:r>
          </w:p>
        </w:tc>
        <w:tc>
          <w:tcPr>
            <w:tcW w:w="1711"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ABBF010">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持股数量</w:t>
            </w:r>
          </w:p>
        </w:tc>
        <w:tc>
          <w:tcPr>
            <w:tcW w:w="1322"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6F55E31">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持有有限售条件的股份数量</w:t>
            </w:r>
          </w:p>
        </w:tc>
        <w:tc>
          <w:tcPr>
            <w:tcW w:w="2606"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1E2B697A">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质押、标记或冻结情况</w:t>
            </w:r>
          </w:p>
        </w:tc>
      </w:tr>
      <w:tr w14:paraId="0FC8D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81"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262E29F">
            <w:pPr>
              <w:snapToGrid w:val="0"/>
              <w:rPr>
                <w:rFonts w:ascii="Times New Roman" w:hAnsi="Times New Roman" w:cs="Times New Roman"/>
              </w:rPr>
            </w:pPr>
          </w:p>
        </w:tc>
        <w:tc>
          <w:tcPr>
            <w:tcW w:w="1178"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69CA210">
            <w:pPr>
              <w:snapToGrid w:val="0"/>
              <w:rPr>
                <w:rFonts w:ascii="Times New Roman" w:hAnsi="Times New Roman" w:cs="Times New Roman"/>
              </w:rPr>
            </w:pPr>
          </w:p>
        </w:tc>
        <w:tc>
          <w:tcPr>
            <w:tcW w:w="1145"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202286B">
            <w:pPr>
              <w:snapToGrid w:val="0"/>
              <w:rPr>
                <w:rFonts w:ascii="Times New Roman" w:hAnsi="Times New Roman" w:cs="Times New Roman"/>
              </w:rPr>
            </w:pPr>
          </w:p>
        </w:tc>
        <w:tc>
          <w:tcPr>
            <w:tcW w:w="1711"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7D533DD">
            <w:pPr>
              <w:snapToGrid w:val="0"/>
              <w:rPr>
                <w:rFonts w:ascii="Times New Roman" w:hAnsi="Times New Roman" w:cs="Times New Roman"/>
              </w:rPr>
            </w:pPr>
          </w:p>
        </w:tc>
        <w:tc>
          <w:tcPr>
            <w:tcW w:w="1322"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9337875">
            <w:pPr>
              <w:snapToGrid w:val="0"/>
              <w:rPr>
                <w:rFonts w:ascii="Times New Roman" w:hAnsi="Times New Roman" w:cs="Times New Roman"/>
              </w:rPr>
            </w:pPr>
          </w:p>
        </w:tc>
        <w:tc>
          <w:tcPr>
            <w:tcW w:w="1312"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06A102D0">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股份状态</w:t>
            </w:r>
          </w:p>
        </w:tc>
        <w:tc>
          <w:tcPr>
            <w:tcW w:w="129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9F5A506">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r>
      <w:tr w14:paraId="42D98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81" w:type="dxa"/>
            <w:gridSpan w:val="2"/>
            <w:tcBorders>
              <w:top w:val="single" w:color="auto" w:sz="2" w:space="0"/>
              <w:left w:val="single" w:color="auto" w:sz="2" w:space="0"/>
              <w:bottom w:val="single" w:color="auto" w:sz="2" w:space="0"/>
              <w:right w:val="single" w:color="auto" w:sz="2" w:space="0"/>
            </w:tcBorders>
            <w:vAlign w:val="center"/>
          </w:tcPr>
          <w:p w14:paraId="261E463C">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北京世纪天富创业投资中心（有限合伙）</w:t>
            </w:r>
          </w:p>
        </w:tc>
        <w:tc>
          <w:tcPr>
            <w:tcW w:w="1178" w:type="dxa"/>
            <w:gridSpan w:val="2"/>
            <w:tcBorders>
              <w:top w:val="single" w:color="auto" w:sz="2" w:space="0"/>
              <w:left w:val="single" w:color="auto" w:sz="2" w:space="0"/>
              <w:bottom w:val="single" w:color="auto" w:sz="2" w:space="0"/>
              <w:right w:val="single" w:color="auto" w:sz="2" w:space="0"/>
            </w:tcBorders>
            <w:vAlign w:val="center"/>
          </w:tcPr>
          <w:p w14:paraId="7279293C">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145" w:type="dxa"/>
            <w:gridSpan w:val="2"/>
            <w:tcBorders>
              <w:top w:val="single" w:color="auto" w:sz="2" w:space="0"/>
              <w:left w:val="single" w:color="auto" w:sz="2" w:space="0"/>
              <w:bottom w:val="single" w:color="auto" w:sz="2" w:space="0"/>
              <w:right w:val="single" w:color="auto" w:sz="2" w:space="0"/>
            </w:tcBorders>
            <w:vAlign w:val="center"/>
          </w:tcPr>
          <w:p w14:paraId="2D2FE0E7">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13.58%</w:t>
            </w:r>
          </w:p>
        </w:tc>
        <w:tc>
          <w:tcPr>
            <w:tcW w:w="1711" w:type="dxa"/>
            <w:gridSpan w:val="2"/>
            <w:tcBorders>
              <w:top w:val="single" w:color="auto" w:sz="2" w:space="0"/>
              <w:left w:val="single" w:color="auto" w:sz="2" w:space="0"/>
              <w:bottom w:val="single" w:color="auto" w:sz="2" w:space="0"/>
              <w:right w:val="single" w:color="auto" w:sz="2" w:space="0"/>
            </w:tcBorders>
            <w:vAlign w:val="center"/>
          </w:tcPr>
          <w:p w14:paraId="20D3CC5F">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36,016,266</w:t>
            </w:r>
          </w:p>
        </w:tc>
        <w:tc>
          <w:tcPr>
            <w:tcW w:w="1322" w:type="dxa"/>
            <w:gridSpan w:val="3"/>
            <w:tcBorders>
              <w:top w:val="single" w:color="auto" w:sz="2" w:space="0"/>
              <w:left w:val="single" w:color="auto" w:sz="2" w:space="0"/>
              <w:bottom w:val="single" w:color="auto" w:sz="2" w:space="0"/>
              <w:right w:val="single" w:color="auto" w:sz="2" w:space="0"/>
            </w:tcBorders>
            <w:vAlign w:val="center"/>
          </w:tcPr>
          <w:p w14:paraId="785412CE">
            <w:pPr>
              <w:snapToGrid w:val="0"/>
              <w:spacing w:after="0" w:line="24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w:t>
            </w:r>
          </w:p>
        </w:tc>
        <w:tc>
          <w:tcPr>
            <w:tcW w:w="1312" w:type="dxa"/>
            <w:gridSpan w:val="3"/>
            <w:tcBorders>
              <w:top w:val="single" w:color="auto" w:sz="2" w:space="0"/>
              <w:left w:val="single" w:color="auto" w:sz="2" w:space="0"/>
              <w:bottom w:val="single" w:color="auto" w:sz="2" w:space="0"/>
              <w:right w:val="single" w:color="auto" w:sz="2" w:space="0"/>
            </w:tcBorders>
            <w:vAlign w:val="center"/>
          </w:tcPr>
          <w:p w14:paraId="4C624ED0">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1294" w:type="dxa"/>
            <w:gridSpan w:val="2"/>
            <w:tcBorders>
              <w:top w:val="single" w:color="auto" w:sz="2" w:space="0"/>
              <w:left w:val="single" w:color="auto" w:sz="2" w:space="0"/>
              <w:bottom w:val="single" w:color="auto" w:sz="2" w:space="0"/>
              <w:right w:val="single" w:color="auto" w:sz="2" w:space="0"/>
            </w:tcBorders>
            <w:vAlign w:val="center"/>
          </w:tcPr>
          <w:p w14:paraId="727663A4">
            <w:pPr>
              <w:snapToGrid w:val="0"/>
              <w:spacing w:after="0" w:line="240" w:lineRule="exact"/>
              <w:jc w:val="righ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0</w:t>
            </w:r>
          </w:p>
        </w:tc>
      </w:tr>
      <w:tr w14:paraId="2A52B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81" w:type="dxa"/>
            <w:gridSpan w:val="2"/>
            <w:tcBorders>
              <w:top w:val="single" w:color="auto" w:sz="2" w:space="0"/>
              <w:left w:val="single" w:color="auto" w:sz="2" w:space="0"/>
              <w:bottom w:val="single" w:color="auto" w:sz="2" w:space="0"/>
              <w:right w:val="single" w:color="auto" w:sz="2" w:space="0"/>
            </w:tcBorders>
            <w:vAlign w:val="center"/>
          </w:tcPr>
          <w:p w14:paraId="2D57DBB8">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北京天佑瑞元医药科技有限公司</w:t>
            </w:r>
          </w:p>
        </w:tc>
        <w:tc>
          <w:tcPr>
            <w:tcW w:w="1178" w:type="dxa"/>
            <w:gridSpan w:val="2"/>
            <w:tcBorders>
              <w:top w:val="single" w:color="auto" w:sz="2" w:space="0"/>
              <w:left w:val="single" w:color="auto" w:sz="2" w:space="0"/>
              <w:bottom w:val="single" w:color="auto" w:sz="2" w:space="0"/>
              <w:right w:val="single" w:color="auto" w:sz="2" w:space="0"/>
            </w:tcBorders>
            <w:vAlign w:val="center"/>
          </w:tcPr>
          <w:p w14:paraId="1E94F2EB">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145" w:type="dxa"/>
            <w:gridSpan w:val="2"/>
            <w:tcBorders>
              <w:top w:val="single" w:color="auto" w:sz="2" w:space="0"/>
              <w:left w:val="single" w:color="auto" w:sz="2" w:space="0"/>
              <w:bottom w:val="single" w:color="auto" w:sz="2" w:space="0"/>
              <w:right w:val="single" w:color="auto" w:sz="2" w:space="0"/>
            </w:tcBorders>
            <w:vAlign w:val="center"/>
          </w:tcPr>
          <w:p w14:paraId="5337E960">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6.44%</w:t>
            </w:r>
          </w:p>
        </w:tc>
        <w:tc>
          <w:tcPr>
            <w:tcW w:w="1711" w:type="dxa"/>
            <w:gridSpan w:val="2"/>
            <w:tcBorders>
              <w:top w:val="single" w:color="auto" w:sz="2" w:space="0"/>
              <w:left w:val="single" w:color="auto" w:sz="2" w:space="0"/>
              <w:bottom w:val="single" w:color="auto" w:sz="2" w:space="0"/>
              <w:right w:val="single" w:color="auto" w:sz="2" w:space="0"/>
            </w:tcBorders>
            <w:vAlign w:val="center"/>
          </w:tcPr>
          <w:p w14:paraId="2300F712">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17,084,822</w:t>
            </w:r>
          </w:p>
        </w:tc>
        <w:tc>
          <w:tcPr>
            <w:tcW w:w="1322" w:type="dxa"/>
            <w:gridSpan w:val="3"/>
            <w:tcBorders>
              <w:top w:val="single" w:color="auto" w:sz="2" w:space="0"/>
              <w:left w:val="single" w:color="auto" w:sz="2" w:space="0"/>
              <w:bottom w:val="single" w:color="auto" w:sz="2" w:space="0"/>
              <w:right w:val="single" w:color="auto" w:sz="2" w:space="0"/>
            </w:tcBorders>
            <w:vAlign w:val="center"/>
          </w:tcPr>
          <w:p w14:paraId="7713364B">
            <w:pPr>
              <w:snapToGrid w:val="0"/>
              <w:spacing w:after="0" w:line="240" w:lineRule="exact"/>
              <w:jc w:val="righ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0</w:t>
            </w:r>
          </w:p>
        </w:tc>
        <w:tc>
          <w:tcPr>
            <w:tcW w:w="1312" w:type="dxa"/>
            <w:gridSpan w:val="3"/>
            <w:tcBorders>
              <w:top w:val="single" w:color="auto" w:sz="2" w:space="0"/>
              <w:left w:val="single" w:color="auto" w:sz="2" w:space="0"/>
              <w:bottom w:val="single" w:color="auto" w:sz="2" w:space="0"/>
              <w:right w:val="single" w:color="auto" w:sz="2" w:space="0"/>
            </w:tcBorders>
            <w:vAlign w:val="center"/>
          </w:tcPr>
          <w:p w14:paraId="3716C366">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质押</w:t>
            </w:r>
          </w:p>
        </w:tc>
        <w:tc>
          <w:tcPr>
            <w:tcW w:w="1294" w:type="dxa"/>
            <w:gridSpan w:val="2"/>
            <w:tcBorders>
              <w:top w:val="single" w:color="auto" w:sz="2" w:space="0"/>
              <w:left w:val="single" w:color="auto" w:sz="2" w:space="0"/>
              <w:bottom w:val="single" w:color="auto" w:sz="2" w:space="0"/>
              <w:right w:val="single" w:color="auto" w:sz="2" w:space="0"/>
            </w:tcBorders>
            <w:vAlign w:val="center"/>
          </w:tcPr>
          <w:p w14:paraId="7F52E61C">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17,084,822</w:t>
            </w:r>
          </w:p>
        </w:tc>
      </w:tr>
      <w:tr w14:paraId="65B18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81" w:type="dxa"/>
            <w:gridSpan w:val="2"/>
            <w:tcBorders>
              <w:top w:val="single" w:color="auto" w:sz="2" w:space="0"/>
              <w:left w:val="single" w:color="auto" w:sz="2" w:space="0"/>
              <w:bottom w:val="single" w:color="auto" w:sz="2" w:space="0"/>
              <w:right w:val="single" w:color="auto" w:sz="2" w:space="0"/>
            </w:tcBorders>
            <w:vAlign w:val="center"/>
          </w:tcPr>
          <w:p w14:paraId="42B69FB1">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西藏金淦企业管理咨询有限公司</w:t>
            </w:r>
          </w:p>
        </w:tc>
        <w:tc>
          <w:tcPr>
            <w:tcW w:w="1178" w:type="dxa"/>
            <w:gridSpan w:val="2"/>
            <w:tcBorders>
              <w:top w:val="single" w:color="auto" w:sz="2" w:space="0"/>
              <w:left w:val="single" w:color="auto" w:sz="2" w:space="0"/>
              <w:bottom w:val="single" w:color="auto" w:sz="2" w:space="0"/>
              <w:right w:val="single" w:color="auto" w:sz="2" w:space="0"/>
            </w:tcBorders>
            <w:vAlign w:val="center"/>
          </w:tcPr>
          <w:p w14:paraId="73190F48">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145" w:type="dxa"/>
            <w:gridSpan w:val="2"/>
            <w:tcBorders>
              <w:top w:val="single" w:color="auto" w:sz="2" w:space="0"/>
              <w:left w:val="single" w:color="auto" w:sz="2" w:space="0"/>
              <w:bottom w:val="single" w:color="auto" w:sz="2" w:space="0"/>
              <w:right w:val="single" w:color="auto" w:sz="2" w:space="0"/>
            </w:tcBorders>
            <w:vAlign w:val="center"/>
          </w:tcPr>
          <w:p w14:paraId="236C3006">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3.77%</w:t>
            </w:r>
          </w:p>
        </w:tc>
        <w:tc>
          <w:tcPr>
            <w:tcW w:w="1711" w:type="dxa"/>
            <w:gridSpan w:val="2"/>
            <w:tcBorders>
              <w:top w:val="single" w:color="auto" w:sz="2" w:space="0"/>
              <w:left w:val="single" w:color="auto" w:sz="2" w:space="0"/>
              <w:bottom w:val="single" w:color="auto" w:sz="2" w:space="0"/>
              <w:right w:val="single" w:color="auto" w:sz="2" w:space="0"/>
            </w:tcBorders>
            <w:vAlign w:val="center"/>
          </w:tcPr>
          <w:p w14:paraId="087B1B31">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w:t>
            </w:r>
          </w:p>
        </w:tc>
        <w:tc>
          <w:tcPr>
            <w:tcW w:w="1322" w:type="dxa"/>
            <w:gridSpan w:val="3"/>
            <w:tcBorders>
              <w:top w:val="single" w:color="auto" w:sz="2" w:space="0"/>
              <w:left w:val="single" w:color="auto" w:sz="2" w:space="0"/>
              <w:bottom w:val="single" w:color="auto" w:sz="2" w:space="0"/>
              <w:right w:val="single" w:color="auto" w:sz="2" w:space="0"/>
            </w:tcBorders>
            <w:vAlign w:val="center"/>
          </w:tcPr>
          <w:p w14:paraId="75CEE570">
            <w:pPr>
              <w:snapToGrid w:val="0"/>
              <w:spacing w:after="0" w:line="240" w:lineRule="exact"/>
              <w:jc w:val="righ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0</w:t>
            </w:r>
          </w:p>
        </w:tc>
        <w:tc>
          <w:tcPr>
            <w:tcW w:w="1312" w:type="dxa"/>
            <w:gridSpan w:val="3"/>
            <w:tcBorders>
              <w:top w:val="single" w:color="auto" w:sz="2" w:space="0"/>
              <w:left w:val="single" w:color="auto" w:sz="2" w:space="0"/>
              <w:bottom w:val="single" w:color="auto" w:sz="2" w:space="0"/>
              <w:right w:val="single" w:color="auto" w:sz="2" w:space="0"/>
            </w:tcBorders>
            <w:vAlign w:val="center"/>
          </w:tcPr>
          <w:p w14:paraId="1D44F433">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1294" w:type="dxa"/>
            <w:gridSpan w:val="2"/>
            <w:tcBorders>
              <w:top w:val="single" w:color="auto" w:sz="2" w:space="0"/>
              <w:left w:val="single" w:color="auto" w:sz="2" w:space="0"/>
              <w:bottom w:val="single" w:color="auto" w:sz="2" w:space="0"/>
              <w:right w:val="single" w:color="auto" w:sz="2" w:space="0"/>
            </w:tcBorders>
            <w:vAlign w:val="center"/>
          </w:tcPr>
          <w:p w14:paraId="7958FB67">
            <w:pPr>
              <w:snapToGrid w:val="0"/>
              <w:spacing w:after="0" w:line="240" w:lineRule="exact"/>
              <w:jc w:val="righ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0</w:t>
            </w:r>
          </w:p>
        </w:tc>
      </w:tr>
      <w:tr w14:paraId="493DE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81" w:type="dxa"/>
            <w:gridSpan w:val="2"/>
            <w:vMerge w:val="restart"/>
            <w:tcBorders>
              <w:top w:val="single" w:color="auto" w:sz="2" w:space="0"/>
              <w:left w:val="single" w:color="auto" w:sz="2" w:space="0"/>
              <w:right w:val="single" w:color="auto" w:sz="2" w:space="0"/>
            </w:tcBorders>
            <w:vAlign w:val="center"/>
          </w:tcPr>
          <w:p w14:paraId="664AD7AE">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广东知光生物科技有限公司</w:t>
            </w:r>
          </w:p>
        </w:tc>
        <w:tc>
          <w:tcPr>
            <w:tcW w:w="1178" w:type="dxa"/>
            <w:gridSpan w:val="2"/>
            <w:vMerge w:val="restart"/>
            <w:tcBorders>
              <w:top w:val="single" w:color="auto" w:sz="2" w:space="0"/>
              <w:left w:val="single" w:color="auto" w:sz="2" w:space="0"/>
              <w:right w:val="single" w:color="auto" w:sz="2" w:space="0"/>
            </w:tcBorders>
            <w:vAlign w:val="center"/>
          </w:tcPr>
          <w:p w14:paraId="60412DBD">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145" w:type="dxa"/>
            <w:gridSpan w:val="2"/>
            <w:vMerge w:val="restart"/>
            <w:tcBorders>
              <w:top w:val="single" w:color="auto" w:sz="2" w:space="0"/>
              <w:left w:val="single" w:color="auto" w:sz="2" w:space="0"/>
              <w:right w:val="single" w:color="auto" w:sz="2" w:space="0"/>
            </w:tcBorders>
            <w:vAlign w:val="center"/>
          </w:tcPr>
          <w:p w14:paraId="3F848B58">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2.76%</w:t>
            </w:r>
          </w:p>
        </w:tc>
        <w:tc>
          <w:tcPr>
            <w:tcW w:w="1711" w:type="dxa"/>
            <w:gridSpan w:val="2"/>
            <w:vMerge w:val="restart"/>
            <w:tcBorders>
              <w:top w:val="single" w:color="auto" w:sz="2" w:space="0"/>
              <w:left w:val="single" w:color="auto" w:sz="2" w:space="0"/>
              <w:right w:val="single" w:color="auto" w:sz="2" w:space="0"/>
            </w:tcBorders>
            <w:vAlign w:val="center"/>
          </w:tcPr>
          <w:p w14:paraId="5AE28715">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7,310,000</w:t>
            </w:r>
          </w:p>
        </w:tc>
        <w:tc>
          <w:tcPr>
            <w:tcW w:w="1322" w:type="dxa"/>
            <w:gridSpan w:val="3"/>
            <w:vMerge w:val="restart"/>
            <w:tcBorders>
              <w:top w:val="single" w:color="auto" w:sz="2" w:space="0"/>
              <w:left w:val="single" w:color="auto" w:sz="2" w:space="0"/>
              <w:right w:val="single" w:color="auto" w:sz="2" w:space="0"/>
            </w:tcBorders>
            <w:vAlign w:val="center"/>
          </w:tcPr>
          <w:p w14:paraId="3F6521D9">
            <w:pPr>
              <w:snapToGrid w:val="0"/>
              <w:spacing w:after="0" w:line="240" w:lineRule="exact"/>
              <w:jc w:val="righ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0</w:t>
            </w:r>
          </w:p>
        </w:tc>
        <w:tc>
          <w:tcPr>
            <w:tcW w:w="1312" w:type="dxa"/>
            <w:gridSpan w:val="3"/>
            <w:tcBorders>
              <w:top w:val="single" w:color="auto" w:sz="2" w:space="0"/>
              <w:left w:val="single" w:color="auto" w:sz="2" w:space="0"/>
              <w:bottom w:val="single" w:color="auto" w:sz="2" w:space="0"/>
              <w:right w:val="single" w:color="auto" w:sz="2" w:space="0"/>
            </w:tcBorders>
            <w:vAlign w:val="center"/>
          </w:tcPr>
          <w:p w14:paraId="25D046EB">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质押</w:t>
            </w:r>
          </w:p>
        </w:tc>
        <w:tc>
          <w:tcPr>
            <w:tcW w:w="1294" w:type="dxa"/>
            <w:gridSpan w:val="2"/>
            <w:vMerge w:val="restart"/>
            <w:tcBorders>
              <w:top w:val="single" w:color="auto" w:sz="2" w:space="0"/>
              <w:left w:val="single" w:color="auto" w:sz="2" w:space="0"/>
              <w:right w:val="single" w:color="auto" w:sz="2" w:space="0"/>
            </w:tcBorders>
            <w:vAlign w:val="center"/>
          </w:tcPr>
          <w:p w14:paraId="423D6AFB">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7,310,000</w:t>
            </w:r>
          </w:p>
        </w:tc>
      </w:tr>
      <w:tr w14:paraId="1DADD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81" w:type="dxa"/>
            <w:gridSpan w:val="2"/>
            <w:vMerge w:val="continue"/>
            <w:tcBorders>
              <w:left w:val="single" w:color="auto" w:sz="2" w:space="0"/>
              <w:bottom w:val="single" w:color="auto" w:sz="2" w:space="0"/>
              <w:right w:val="single" w:color="auto" w:sz="2" w:space="0"/>
            </w:tcBorders>
            <w:vAlign w:val="center"/>
          </w:tcPr>
          <w:p w14:paraId="680E9DCB">
            <w:pPr>
              <w:snapToGrid w:val="0"/>
              <w:spacing w:after="0" w:line="240" w:lineRule="exact"/>
              <w:rPr>
                <w:rFonts w:ascii="Times New Roman" w:hAnsi="Times New Roman" w:eastAsia="宋体" w:cs="Times New Roman"/>
                <w:sz w:val="18"/>
                <w:szCs w:val="18"/>
              </w:rPr>
            </w:pPr>
          </w:p>
        </w:tc>
        <w:tc>
          <w:tcPr>
            <w:tcW w:w="1178" w:type="dxa"/>
            <w:gridSpan w:val="2"/>
            <w:vMerge w:val="continue"/>
            <w:tcBorders>
              <w:left w:val="single" w:color="auto" w:sz="2" w:space="0"/>
              <w:bottom w:val="single" w:color="auto" w:sz="2" w:space="0"/>
              <w:right w:val="single" w:color="auto" w:sz="2" w:space="0"/>
            </w:tcBorders>
            <w:vAlign w:val="center"/>
          </w:tcPr>
          <w:p w14:paraId="13C850E9">
            <w:pPr>
              <w:snapToGrid w:val="0"/>
              <w:spacing w:after="0" w:line="240" w:lineRule="exact"/>
              <w:rPr>
                <w:rFonts w:ascii="Times New Roman" w:hAnsi="Times New Roman" w:eastAsia="宋体" w:cs="Times New Roman"/>
                <w:sz w:val="18"/>
                <w:szCs w:val="18"/>
              </w:rPr>
            </w:pPr>
          </w:p>
        </w:tc>
        <w:tc>
          <w:tcPr>
            <w:tcW w:w="1145" w:type="dxa"/>
            <w:gridSpan w:val="2"/>
            <w:vMerge w:val="continue"/>
            <w:tcBorders>
              <w:left w:val="single" w:color="auto" w:sz="2" w:space="0"/>
              <w:bottom w:val="single" w:color="auto" w:sz="2" w:space="0"/>
              <w:right w:val="single" w:color="auto" w:sz="2" w:space="0"/>
            </w:tcBorders>
            <w:vAlign w:val="center"/>
          </w:tcPr>
          <w:p w14:paraId="06D4BE29">
            <w:pPr>
              <w:snapToGrid w:val="0"/>
              <w:spacing w:after="0" w:line="240" w:lineRule="exact"/>
              <w:jc w:val="right"/>
              <w:rPr>
                <w:rFonts w:ascii="Times New Roman" w:hAnsi="Times New Roman" w:eastAsia="宋体" w:cs="Times New Roman"/>
                <w:sz w:val="18"/>
                <w:szCs w:val="18"/>
              </w:rPr>
            </w:pPr>
          </w:p>
        </w:tc>
        <w:tc>
          <w:tcPr>
            <w:tcW w:w="1711" w:type="dxa"/>
            <w:gridSpan w:val="2"/>
            <w:vMerge w:val="continue"/>
            <w:tcBorders>
              <w:left w:val="single" w:color="auto" w:sz="2" w:space="0"/>
              <w:bottom w:val="single" w:color="auto" w:sz="2" w:space="0"/>
              <w:right w:val="single" w:color="auto" w:sz="2" w:space="0"/>
            </w:tcBorders>
            <w:vAlign w:val="center"/>
          </w:tcPr>
          <w:p w14:paraId="2A8FD142">
            <w:pPr>
              <w:snapToGrid w:val="0"/>
              <w:spacing w:after="0" w:line="240" w:lineRule="exact"/>
              <w:jc w:val="right"/>
              <w:rPr>
                <w:rFonts w:ascii="Times New Roman" w:hAnsi="Times New Roman" w:eastAsia="宋体" w:cs="Times New Roman"/>
                <w:sz w:val="18"/>
                <w:szCs w:val="18"/>
              </w:rPr>
            </w:pPr>
          </w:p>
        </w:tc>
        <w:tc>
          <w:tcPr>
            <w:tcW w:w="1322" w:type="dxa"/>
            <w:gridSpan w:val="3"/>
            <w:vMerge w:val="continue"/>
            <w:tcBorders>
              <w:left w:val="single" w:color="auto" w:sz="2" w:space="0"/>
              <w:bottom w:val="single" w:color="auto" w:sz="2" w:space="0"/>
              <w:right w:val="single" w:color="auto" w:sz="2" w:space="0"/>
            </w:tcBorders>
            <w:vAlign w:val="center"/>
          </w:tcPr>
          <w:p w14:paraId="6A5BAAD0">
            <w:pPr>
              <w:snapToGrid w:val="0"/>
              <w:spacing w:after="0" w:line="240" w:lineRule="exact"/>
              <w:jc w:val="right"/>
              <w:rPr>
                <w:rFonts w:hint="eastAsia" w:ascii="Times New Roman" w:hAnsi="Times New Roman" w:eastAsia="宋体" w:cs="Times New Roman"/>
                <w:sz w:val="18"/>
                <w:szCs w:val="18"/>
                <w:lang w:eastAsia="zh-CN"/>
              </w:rPr>
            </w:pPr>
          </w:p>
        </w:tc>
        <w:tc>
          <w:tcPr>
            <w:tcW w:w="1312" w:type="dxa"/>
            <w:gridSpan w:val="3"/>
            <w:tcBorders>
              <w:top w:val="single" w:color="auto" w:sz="2" w:space="0"/>
              <w:left w:val="single" w:color="auto" w:sz="2" w:space="0"/>
              <w:bottom w:val="single" w:color="auto" w:sz="2" w:space="0"/>
              <w:right w:val="single" w:color="auto" w:sz="2" w:space="0"/>
            </w:tcBorders>
            <w:vAlign w:val="center"/>
          </w:tcPr>
          <w:p w14:paraId="59B4E599">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冻结</w:t>
            </w:r>
          </w:p>
        </w:tc>
        <w:tc>
          <w:tcPr>
            <w:tcW w:w="1294" w:type="dxa"/>
            <w:gridSpan w:val="2"/>
            <w:vMerge w:val="continue"/>
            <w:tcBorders>
              <w:left w:val="single" w:color="auto" w:sz="2" w:space="0"/>
              <w:bottom w:val="single" w:color="auto" w:sz="2" w:space="0"/>
              <w:right w:val="single" w:color="auto" w:sz="2" w:space="0"/>
            </w:tcBorders>
            <w:vAlign w:val="center"/>
          </w:tcPr>
          <w:p w14:paraId="0BD8F7FA">
            <w:pPr>
              <w:snapToGrid w:val="0"/>
              <w:spacing w:after="0" w:line="240" w:lineRule="exact"/>
              <w:jc w:val="right"/>
              <w:rPr>
                <w:rFonts w:ascii="Times New Roman" w:hAnsi="Times New Roman" w:eastAsia="宋体" w:cs="Times New Roman"/>
                <w:sz w:val="18"/>
                <w:szCs w:val="18"/>
              </w:rPr>
            </w:pPr>
          </w:p>
        </w:tc>
      </w:tr>
      <w:tr w14:paraId="7D0CF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81" w:type="dxa"/>
            <w:gridSpan w:val="2"/>
            <w:tcBorders>
              <w:top w:val="single" w:color="auto" w:sz="2" w:space="0"/>
              <w:left w:val="single" w:color="auto" w:sz="2" w:space="0"/>
              <w:bottom w:val="single" w:color="auto" w:sz="2" w:space="0"/>
              <w:right w:val="single" w:color="auto" w:sz="2" w:space="0"/>
            </w:tcBorders>
            <w:vAlign w:val="center"/>
          </w:tcPr>
          <w:p w14:paraId="3184DA54">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蒋仕波</w:t>
            </w:r>
          </w:p>
        </w:tc>
        <w:tc>
          <w:tcPr>
            <w:tcW w:w="1178" w:type="dxa"/>
            <w:gridSpan w:val="2"/>
            <w:tcBorders>
              <w:top w:val="single" w:color="auto" w:sz="2" w:space="0"/>
              <w:left w:val="single" w:color="auto" w:sz="2" w:space="0"/>
              <w:bottom w:val="single" w:color="auto" w:sz="2" w:space="0"/>
              <w:right w:val="single" w:color="auto" w:sz="2" w:space="0"/>
            </w:tcBorders>
            <w:vAlign w:val="center"/>
          </w:tcPr>
          <w:p w14:paraId="50B8947E">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境内自然人</w:t>
            </w:r>
          </w:p>
        </w:tc>
        <w:tc>
          <w:tcPr>
            <w:tcW w:w="1145" w:type="dxa"/>
            <w:gridSpan w:val="2"/>
            <w:tcBorders>
              <w:top w:val="single" w:color="auto" w:sz="2" w:space="0"/>
              <w:left w:val="single" w:color="auto" w:sz="2" w:space="0"/>
              <w:bottom w:val="single" w:color="auto" w:sz="2" w:space="0"/>
              <w:right w:val="single" w:color="auto" w:sz="2" w:space="0"/>
            </w:tcBorders>
            <w:vAlign w:val="center"/>
          </w:tcPr>
          <w:p w14:paraId="542586A8">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1.87%</w:t>
            </w:r>
          </w:p>
        </w:tc>
        <w:tc>
          <w:tcPr>
            <w:tcW w:w="1711" w:type="dxa"/>
            <w:gridSpan w:val="2"/>
            <w:tcBorders>
              <w:top w:val="single" w:color="auto" w:sz="2" w:space="0"/>
              <w:left w:val="single" w:color="auto" w:sz="2" w:space="0"/>
              <w:bottom w:val="single" w:color="auto" w:sz="2" w:space="0"/>
              <w:right w:val="single" w:color="auto" w:sz="2" w:space="0"/>
            </w:tcBorders>
            <w:vAlign w:val="center"/>
          </w:tcPr>
          <w:p w14:paraId="3EABAF8D">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4,958,440</w:t>
            </w:r>
          </w:p>
        </w:tc>
        <w:tc>
          <w:tcPr>
            <w:tcW w:w="1322" w:type="dxa"/>
            <w:gridSpan w:val="3"/>
            <w:tcBorders>
              <w:top w:val="single" w:color="auto" w:sz="2" w:space="0"/>
              <w:left w:val="single" w:color="auto" w:sz="2" w:space="0"/>
              <w:bottom w:val="single" w:color="auto" w:sz="2" w:space="0"/>
              <w:right w:val="single" w:color="auto" w:sz="2" w:space="0"/>
            </w:tcBorders>
            <w:vAlign w:val="center"/>
          </w:tcPr>
          <w:p w14:paraId="5B7A89DD">
            <w:pPr>
              <w:snapToGrid w:val="0"/>
              <w:spacing w:after="0" w:line="240" w:lineRule="exact"/>
              <w:jc w:val="righ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0</w:t>
            </w:r>
          </w:p>
        </w:tc>
        <w:tc>
          <w:tcPr>
            <w:tcW w:w="1312" w:type="dxa"/>
            <w:gridSpan w:val="3"/>
            <w:tcBorders>
              <w:top w:val="single" w:color="auto" w:sz="2" w:space="0"/>
              <w:left w:val="single" w:color="auto" w:sz="2" w:space="0"/>
              <w:bottom w:val="single" w:color="auto" w:sz="2" w:space="0"/>
              <w:right w:val="single" w:color="auto" w:sz="2" w:space="0"/>
            </w:tcBorders>
            <w:vAlign w:val="center"/>
          </w:tcPr>
          <w:p w14:paraId="0707D4BB">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1294" w:type="dxa"/>
            <w:gridSpan w:val="2"/>
            <w:tcBorders>
              <w:top w:val="single" w:color="auto" w:sz="2" w:space="0"/>
              <w:left w:val="single" w:color="auto" w:sz="2" w:space="0"/>
              <w:bottom w:val="single" w:color="auto" w:sz="2" w:space="0"/>
              <w:right w:val="single" w:color="auto" w:sz="2" w:space="0"/>
            </w:tcBorders>
            <w:vAlign w:val="center"/>
          </w:tcPr>
          <w:p w14:paraId="5278BD8F">
            <w:pPr>
              <w:snapToGrid w:val="0"/>
              <w:spacing w:after="0" w:line="240" w:lineRule="exact"/>
              <w:jc w:val="righ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0</w:t>
            </w:r>
          </w:p>
        </w:tc>
      </w:tr>
      <w:tr w14:paraId="41FEC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81" w:type="dxa"/>
            <w:gridSpan w:val="2"/>
            <w:tcBorders>
              <w:top w:val="single" w:color="auto" w:sz="2" w:space="0"/>
              <w:left w:val="single" w:color="auto" w:sz="2" w:space="0"/>
              <w:bottom w:val="single" w:color="auto" w:sz="2" w:space="0"/>
              <w:right w:val="single" w:color="auto" w:sz="2" w:space="0"/>
            </w:tcBorders>
            <w:vAlign w:val="center"/>
          </w:tcPr>
          <w:p w14:paraId="755B9D18">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兴宝国际信托有限责任公司－华融·汇盈32号证券投资单一资金信托</w:t>
            </w:r>
          </w:p>
        </w:tc>
        <w:tc>
          <w:tcPr>
            <w:tcW w:w="1178" w:type="dxa"/>
            <w:gridSpan w:val="2"/>
            <w:tcBorders>
              <w:top w:val="single" w:color="auto" w:sz="2" w:space="0"/>
              <w:left w:val="single" w:color="auto" w:sz="2" w:space="0"/>
              <w:bottom w:val="single" w:color="auto" w:sz="2" w:space="0"/>
              <w:right w:val="single" w:color="auto" w:sz="2" w:space="0"/>
            </w:tcBorders>
            <w:vAlign w:val="center"/>
          </w:tcPr>
          <w:p w14:paraId="56A69721">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145" w:type="dxa"/>
            <w:gridSpan w:val="2"/>
            <w:tcBorders>
              <w:top w:val="single" w:color="auto" w:sz="2" w:space="0"/>
              <w:left w:val="single" w:color="auto" w:sz="2" w:space="0"/>
              <w:bottom w:val="single" w:color="auto" w:sz="2" w:space="0"/>
              <w:right w:val="single" w:color="auto" w:sz="2" w:space="0"/>
            </w:tcBorders>
            <w:vAlign w:val="center"/>
          </w:tcPr>
          <w:p w14:paraId="5000BF1A">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1.54%</w:t>
            </w:r>
          </w:p>
        </w:tc>
        <w:tc>
          <w:tcPr>
            <w:tcW w:w="1711" w:type="dxa"/>
            <w:gridSpan w:val="2"/>
            <w:tcBorders>
              <w:top w:val="single" w:color="auto" w:sz="2" w:space="0"/>
              <w:left w:val="single" w:color="auto" w:sz="2" w:space="0"/>
              <w:bottom w:val="single" w:color="auto" w:sz="2" w:space="0"/>
              <w:right w:val="single" w:color="auto" w:sz="2" w:space="0"/>
            </w:tcBorders>
            <w:vAlign w:val="center"/>
          </w:tcPr>
          <w:p w14:paraId="47B03AC9">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4,080,000</w:t>
            </w:r>
          </w:p>
        </w:tc>
        <w:tc>
          <w:tcPr>
            <w:tcW w:w="1322" w:type="dxa"/>
            <w:gridSpan w:val="3"/>
            <w:tcBorders>
              <w:top w:val="single" w:color="auto" w:sz="2" w:space="0"/>
              <w:left w:val="single" w:color="auto" w:sz="2" w:space="0"/>
              <w:bottom w:val="single" w:color="auto" w:sz="2" w:space="0"/>
              <w:right w:val="single" w:color="auto" w:sz="2" w:space="0"/>
            </w:tcBorders>
            <w:vAlign w:val="center"/>
          </w:tcPr>
          <w:p w14:paraId="4ECC11E7">
            <w:pPr>
              <w:snapToGrid w:val="0"/>
              <w:spacing w:after="0" w:line="240" w:lineRule="exact"/>
              <w:jc w:val="righ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0</w:t>
            </w:r>
          </w:p>
        </w:tc>
        <w:tc>
          <w:tcPr>
            <w:tcW w:w="1312" w:type="dxa"/>
            <w:gridSpan w:val="3"/>
            <w:tcBorders>
              <w:top w:val="single" w:color="auto" w:sz="2" w:space="0"/>
              <w:left w:val="single" w:color="auto" w:sz="2" w:space="0"/>
              <w:bottom w:val="single" w:color="auto" w:sz="2" w:space="0"/>
              <w:right w:val="single" w:color="auto" w:sz="2" w:space="0"/>
            </w:tcBorders>
            <w:vAlign w:val="center"/>
          </w:tcPr>
          <w:p w14:paraId="05D79F71">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1294" w:type="dxa"/>
            <w:gridSpan w:val="2"/>
            <w:tcBorders>
              <w:top w:val="single" w:color="auto" w:sz="2" w:space="0"/>
              <w:left w:val="single" w:color="auto" w:sz="2" w:space="0"/>
              <w:bottom w:val="single" w:color="auto" w:sz="2" w:space="0"/>
              <w:right w:val="single" w:color="auto" w:sz="2" w:space="0"/>
            </w:tcBorders>
            <w:vAlign w:val="center"/>
          </w:tcPr>
          <w:p w14:paraId="3C0C6155">
            <w:pPr>
              <w:snapToGrid w:val="0"/>
              <w:spacing w:after="0" w:line="240" w:lineRule="exact"/>
              <w:jc w:val="righ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0</w:t>
            </w:r>
          </w:p>
        </w:tc>
      </w:tr>
      <w:tr w14:paraId="1F7F7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81" w:type="dxa"/>
            <w:gridSpan w:val="2"/>
            <w:tcBorders>
              <w:top w:val="single" w:color="auto" w:sz="2" w:space="0"/>
              <w:left w:val="single" w:color="auto" w:sz="2" w:space="0"/>
              <w:bottom w:val="single" w:color="auto" w:sz="2" w:space="0"/>
              <w:right w:val="single" w:color="auto" w:sz="2" w:space="0"/>
            </w:tcBorders>
            <w:vAlign w:val="center"/>
          </w:tcPr>
          <w:p w14:paraId="65D6C4FE">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万美琴</w:t>
            </w:r>
          </w:p>
        </w:tc>
        <w:tc>
          <w:tcPr>
            <w:tcW w:w="1178" w:type="dxa"/>
            <w:gridSpan w:val="2"/>
            <w:tcBorders>
              <w:top w:val="single" w:color="auto" w:sz="2" w:space="0"/>
              <w:left w:val="single" w:color="auto" w:sz="2" w:space="0"/>
              <w:bottom w:val="single" w:color="auto" w:sz="2" w:space="0"/>
              <w:right w:val="single" w:color="auto" w:sz="2" w:space="0"/>
            </w:tcBorders>
            <w:vAlign w:val="center"/>
          </w:tcPr>
          <w:p w14:paraId="7B5023E1">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境内自然人</w:t>
            </w:r>
          </w:p>
        </w:tc>
        <w:tc>
          <w:tcPr>
            <w:tcW w:w="1145" w:type="dxa"/>
            <w:gridSpan w:val="2"/>
            <w:tcBorders>
              <w:top w:val="single" w:color="auto" w:sz="2" w:space="0"/>
              <w:left w:val="single" w:color="auto" w:sz="2" w:space="0"/>
              <w:bottom w:val="single" w:color="auto" w:sz="2" w:space="0"/>
              <w:right w:val="single" w:color="auto" w:sz="2" w:space="0"/>
            </w:tcBorders>
            <w:vAlign w:val="center"/>
          </w:tcPr>
          <w:p w14:paraId="4C7D6640">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w:t>
            </w:r>
          </w:p>
        </w:tc>
        <w:tc>
          <w:tcPr>
            <w:tcW w:w="1711" w:type="dxa"/>
            <w:gridSpan w:val="2"/>
            <w:tcBorders>
              <w:top w:val="single" w:color="auto" w:sz="2" w:space="0"/>
              <w:left w:val="single" w:color="auto" w:sz="2" w:space="0"/>
              <w:bottom w:val="single" w:color="auto" w:sz="2" w:space="0"/>
              <w:right w:val="single" w:color="auto" w:sz="2" w:space="0"/>
            </w:tcBorders>
            <w:vAlign w:val="center"/>
          </w:tcPr>
          <w:p w14:paraId="01C8744E">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2,702,000</w:t>
            </w:r>
          </w:p>
        </w:tc>
        <w:tc>
          <w:tcPr>
            <w:tcW w:w="1322" w:type="dxa"/>
            <w:gridSpan w:val="3"/>
            <w:tcBorders>
              <w:top w:val="single" w:color="auto" w:sz="2" w:space="0"/>
              <w:left w:val="single" w:color="auto" w:sz="2" w:space="0"/>
              <w:bottom w:val="single" w:color="auto" w:sz="2" w:space="0"/>
              <w:right w:val="single" w:color="auto" w:sz="2" w:space="0"/>
            </w:tcBorders>
            <w:vAlign w:val="center"/>
          </w:tcPr>
          <w:p w14:paraId="022279A8">
            <w:pPr>
              <w:snapToGrid w:val="0"/>
              <w:spacing w:after="0" w:line="240" w:lineRule="exact"/>
              <w:jc w:val="righ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0</w:t>
            </w:r>
          </w:p>
        </w:tc>
        <w:tc>
          <w:tcPr>
            <w:tcW w:w="1312" w:type="dxa"/>
            <w:gridSpan w:val="3"/>
            <w:tcBorders>
              <w:top w:val="single" w:color="auto" w:sz="2" w:space="0"/>
              <w:left w:val="single" w:color="auto" w:sz="2" w:space="0"/>
              <w:bottom w:val="single" w:color="auto" w:sz="2" w:space="0"/>
              <w:right w:val="single" w:color="auto" w:sz="2" w:space="0"/>
            </w:tcBorders>
            <w:vAlign w:val="center"/>
          </w:tcPr>
          <w:p w14:paraId="7FA1C0AD">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1294" w:type="dxa"/>
            <w:gridSpan w:val="2"/>
            <w:tcBorders>
              <w:top w:val="single" w:color="auto" w:sz="2" w:space="0"/>
              <w:left w:val="single" w:color="auto" w:sz="2" w:space="0"/>
              <w:bottom w:val="single" w:color="auto" w:sz="2" w:space="0"/>
              <w:right w:val="single" w:color="auto" w:sz="2" w:space="0"/>
            </w:tcBorders>
            <w:vAlign w:val="center"/>
          </w:tcPr>
          <w:p w14:paraId="7B69A8D9">
            <w:pPr>
              <w:snapToGrid w:val="0"/>
              <w:spacing w:after="0" w:line="240" w:lineRule="exact"/>
              <w:jc w:val="righ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0</w:t>
            </w:r>
          </w:p>
        </w:tc>
      </w:tr>
      <w:tr w14:paraId="5895A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81" w:type="dxa"/>
            <w:gridSpan w:val="2"/>
            <w:tcBorders>
              <w:top w:val="single" w:color="auto" w:sz="2" w:space="0"/>
              <w:left w:val="single" w:color="auto" w:sz="2" w:space="0"/>
              <w:bottom w:val="single" w:color="auto" w:sz="2" w:space="0"/>
              <w:right w:val="single" w:color="auto" w:sz="2" w:space="0"/>
            </w:tcBorders>
            <w:vAlign w:val="center"/>
          </w:tcPr>
          <w:p w14:paraId="77F9CA8D">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王若亭</w:t>
            </w:r>
          </w:p>
        </w:tc>
        <w:tc>
          <w:tcPr>
            <w:tcW w:w="1178" w:type="dxa"/>
            <w:gridSpan w:val="2"/>
            <w:tcBorders>
              <w:top w:val="single" w:color="auto" w:sz="2" w:space="0"/>
              <w:left w:val="single" w:color="auto" w:sz="2" w:space="0"/>
              <w:bottom w:val="single" w:color="auto" w:sz="2" w:space="0"/>
              <w:right w:val="single" w:color="auto" w:sz="2" w:space="0"/>
            </w:tcBorders>
            <w:vAlign w:val="center"/>
          </w:tcPr>
          <w:p w14:paraId="44DC8A65">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境外自然人</w:t>
            </w:r>
          </w:p>
        </w:tc>
        <w:tc>
          <w:tcPr>
            <w:tcW w:w="1145" w:type="dxa"/>
            <w:gridSpan w:val="2"/>
            <w:tcBorders>
              <w:top w:val="single" w:color="auto" w:sz="2" w:space="0"/>
              <w:left w:val="single" w:color="auto" w:sz="2" w:space="0"/>
              <w:bottom w:val="single" w:color="auto" w:sz="2" w:space="0"/>
              <w:right w:val="single" w:color="auto" w:sz="2" w:space="0"/>
            </w:tcBorders>
            <w:vAlign w:val="center"/>
          </w:tcPr>
          <w:p w14:paraId="5BB6123E">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0.58%</w:t>
            </w:r>
          </w:p>
        </w:tc>
        <w:tc>
          <w:tcPr>
            <w:tcW w:w="1711" w:type="dxa"/>
            <w:gridSpan w:val="2"/>
            <w:tcBorders>
              <w:top w:val="single" w:color="auto" w:sz="2" w:space="0"/>
              <w:left w:val="single" w:color="auto" w:sz="2" w:space="0"/>
              <w:bottom w:val="single" w:color="auto" w:sz="2" w:space="0"/>
              <w:right w:val="single" w:color="auto" w:sz="2" w:space="0"/>
            </w:tcBorders>
            <w:vAlign w:val="center"/>
          </w:tcPr>
          <w:p w14:paraId="72E6AE49">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1,537,500</w:t>
            </w:r>
          </w:p>
        </w:tc>
        <w:tc>
          <w:tcPr>
            <w:tcW w:w="1322" w:type="dxa"/>
            <w:gridSpan w:val="3"/>
            <w:tcBorders>
              <w:top w:val="single" w:color="auto" w:sz="2" w:space="0"/>
              <w:left w:val="single" w:color="auto" w:sz="2" w:space="0"/>
              <w:bottom w:val="single" w:color="auto" w:sz="2" w:space="0"/>
              <w:right w:val="single" w:color="auto" w:sz="2" w:space="0"/>
            </w:tcBorders>
            <w:vAlign w:val="center"/>
          </w:tcPr>
          <w:p w14:paraId="16B91797">
            <w:pPr>
              <w:snapToGrid w:val="0"/>
              <w:spacing w:after="0" w:line="240" w:lineRule="exact"/>
              <w:jc w:val="righ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0</w:t>
            </w:r>
          </w:p>
        </w:tc>
        <w:tc>
          <w:tcPr>
            <w:tcW w:w="1312" w:type="dxa"/>
            <w:gridSpan w:val="3"/>
            <w:tcBorders>
              <w:top w:val="single" w:color="auto" w:sz="2" w:space="0"/>
              <w:left w:val="single" w:color="auto" w:sz="2" w:space="0"/>
              <w:bottom w:val="single" w:color="auto" w:sz="2" w:space="0"/>
              <w:right w:val="single" w:color="auto" w:sz="2" w:space="0"/>
            </w:tcBorders>
            <w:vAlign w:val="center"/>
          </w:tcPr>
          <w:p w14:paraId="55CAB314">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1294" w:type="dxa"/>
            <w:gridSpan w:val="2"/>
            <w:tcBorders>
              <w:top w:val="single" w:color="auto" w:sz="2" w:space="0"/>
              <w:left w:val="single" w:color="auto" w:sz="2" w:space="0"/>
              <w:bottom w:val="single" w:color="auto" w:sz="2" w:space="0"/>
              <w:right w:val="single" w:color="auto" w:sz="2" w:space="0"/>
            </w:tcBorders>
            <w:vAlign w:val="center"/>
          </w:tcPr>
          <w:p w14:paraId="5C44DB15">
            <w:pPr>
              <w:snapToGrid w:val="0"/>
              <w:spacing w:after="0" w:line="240" w:lineRule="exact"/>
              <w:jc w:val="righ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0</w:t>
            </w:r>
          </w:p>
        </w:tc>
      </w:tr>
      <w:tr w14:paraId="6EB2E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81" w:type="dxa"/>
            <w:gridSpan w:val="2"/>
            <w:tcBorders>
              <w:top w:val="single" w:color="auto" w:sz="2" w:space="0"/>
              <w:left w:val="single" w:color="auto" w:sz="2" w:space="0"/>
              <w:bottom w:val="single" w:color="auto" w:sz="2" w:space="0"/>
              <w:right w:val="single" w:color="auto" w:sz="2" w:space="0"/>
            </w:tcBorders>
            <w:vAlign w:val="center"/>
          </w:tcPr>
          <w:p w14:paraId="0013BA67">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吉洋洋</w:t>
            </w:r>
          </w:p>
        </w:tc>
        <w:tc>
          <w:tcPr>
            <w:tcW w:w="1178" w:type="dxa"/>
            <w:gridSpan w:val="2"/>
            <w:tcBorders>
              <w:top w:val="single" w:color="auto" w:sz="2" w:space="0"/>
              <w:left w:val="single" w:color="auto" w:sz="2" w:space="0"/>
              <w:bottom w:val="single" w:color="auto" w:sz="2" w:space="0"/>
              <w:right w:val="single" w:color="auto" w:sz="2" w:space="0"/>
            </w:tcBorders>
            <w:vAlign w:val="center"/>
          </w:tcPr>
          <w:p w14:paraId="0FE2B68C">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境内自然人</w:t>
            </w:r>
          </w:p>
        </w:tc>
        <w:tc>
          <w:tcPr>
            <w:tcW w:w="1145" w:type="dxa"/>
            <w:gridSpan w:val="2"/>
            <w:tcBorders>
              <w:top w:val="single" w:color="auto" w:sz="2" w:space="0"/>
              <w:left w:val="single" w:color="auto" w:sz="2" w:space="0"/>
              <w:bottom w:val="single" w:color="auto" w:sz="2" w:space="0"/>
              <w:right w:val="single" w:color="auto" w:sz="2" w:space="0"/>
            </w:tcBorders>
            <w:vAlign w:val="center"/>
          </w:tcPr>
          <w:p w14:paraId="0781C406">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0.53%</w:t>
            </w:r>
          </w:p>
        </w:tc>
        <w:tc>
          <w:tcPr>
            <w:tcW w:w="1711" w:type="dxa"/>
            <w:gridSpan w:val="2"/>
            <w:tcBorders>
              <w:top w:val="single" w:color="auto" w:sz="2" w:space="0"/>
              <w:left w:val="single" w:color="auto" w:sz="2" w:space="0"/>
              <w:bottom w:val="single" w:color="auto" w:sz="2" w:space="0"/>
              <w:right w:val="single" w:color="auto" w:sz="2" w:space="0"/>
            </w:tcBorders>
            <w:vAlign w:val="center"/>
          </w:tcPr>
          <w:p w14:paraId="1849CCED">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1,413,400</w:t>
            </w:r>
          </w:p>
        </w:tc>
        <w:tc>
          <w:tcPr>
            <w:tcW w:w="1322" w:type="dxa"/>
            <w:gridSpan w:val="3"/>
            <w:tcBorders>
              <w:top w:val="single" w:color="auto" w:sz="2" w:space="0"/>
              <w:left w:val="single" w:color="auto" w:sz="2" w:space="0"/>
              <w:bottom w:val="single" w:color="auto" w:sz="2" w:space="0"/>
              <w:right w:val="single" w:color="auto" w:sz="2" w:space="0"/>
            </w:tcBorders>
            <w:vAlign w:val="center"/>
          </w:tcPr>
          <w:p w14:paraId="624770F6">
            <w:pPr>
              <w:snapToGrid w:val="0"/>
              <w:spacing w:after="0" w:line="240" w:lineRule="exact"/>
              <w:jc w:val="righ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0</w:t>
            </w:r>
          </w:p>
        </w:tc>
        <w:tc>
          <w:tcPr>
            <w:tcW w:w="1312" w:type="dxa"/>
            <w:gridSpan w:val="3"/>
            <w:tcBorders>
              <w:top w:val="single" w:color="auto" w:sz="2" w:space="0"/>
              <w:left w:val="single" w:color="auto" w:sz="2" w:space="0"/>
              <w:bottom w:val="single" w:color="auto" w:sz="2" w:space="0"/>
              <w:right w:val="single" w:color="auto" w:sz="2" w:space="0"/>
            </w:tcBorders>
            <w:vAlign w:val="center"/>
          </w:tcPr>
          <w:p w14:paraId="69C58558">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1294" w:type="dxa"/>
            <w:gridSpan w:val="2"/>
            <w:tcBorders>
              <w:top w:val="single" w:color="auto" w:sz="2" w:space="0"/>
              <w:left w:val="single" w:color="auto" w:sz="2" w:space="0"/>
              <w:bottom w:val="single" w:color="auto" w:sz="2" w:space="0"/>
              <w:right w:val="single" w:color="auto" w:sz="2" w:space="0"/>
            </w:tcBorders>
            <w:vAlign w:val="center"/>
          </w:tcPr>
          <w:p w14:paraId="599971E2">
            <w:pPr>
              <w:snapToGrid w:val="0"/>
              <w:spacing w:after="0" w:line="240" w:lineRule="exact"/>
              <w:jc w:val="righ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0</w:t>
            </w:r>
          </w:p>
        </w:tc>
      </w:tr>
      <w:tr w14:paraId="34965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81" w:type="dxa"/>
            <w:gridSpan w:val="2"/>
            <w:tcBorders>
              <w:top w:val="single" w:color="auto" w:sz="2" w:space="0"/>
              <w:left w:val="single" w:color="auto" w:sz="2" w:space="0"/>
              <w:bottom w:val="single" w:color="auto" w:sz="2" w:space="0"/>
              <w:right w:val="single" w:color="auto" w:sz="2" w:space="0"/>
            </w:tcBorders>
            <w:vAlign w:val="center"/>
          </w:tcPr>
          <w:p w14:paraId="5F7012B9">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苗文成</w:t>
            </w:r>
          </w:p>
        </w:tc>
        <w:tc>
          <w:tcPr>
            <w:tcW w:w="1178" w:type="dxa"/>
            <w:gridSpan w:val="2"/>
            <w:tcBorders>
              <w:top w:val="single" w:color="auto" w:sz="2" w:space="0"/>
              <w:left w:val="single" w:color="auto" w:sz="2" w:space="0"/>
              <w:bottom w:val="single" w:color="auto" w:sz="2" w:space="0"/>
              <w:right w:val="single" w:color="auto" w:sz="2" w:space="0"/>
            </w:tcBorders>
            <w:vAlign w:val="center"/>
          </w:tcPr>
          <w:p w14:paraId="698B382B">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境内自然人</w:t>
            </w:r>
          </w:p>
        </w:tc>
        <w:tc>
          <w:tcPr>
            <w:tcW w:w="1145" w:type="dxa"/>
            <w:gridSpan w:val="2"/>
            <w:tcBorders>
              <w:top w:val="single" w:color="auto" w:sz="2" w:space="0"/>
              <w:left w:val="single" w:color="auto" w:sz="2" w:space="0"/>
              <w:bottom w:val="single" w:color="auto" w:sz="2" w:space="0"/>
              <w:right w:val="single" w:color="auto" w:sz="2" w:space="0"/>
            </w:tcBorders>
            <w:vAlign w:val="center"/>
          </w:tcPr>
          <w:p w14:paraId="1CF6B838">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0.51%</w:t>
            </w:r>
          </w:p>
        </w:tc>
        <w:tc>
          <w:tcPr>
            <w:tcW w:w="1711" w:type="dxa"/>
            <w:gridSpan w:val="2"/>
            <w:tcBorders>
              <w:top w:val="single" w:color="auto" w:sz="2" w:space="0"/>
              <w:left w:val="single" w:color="auto" w:sz="2" w:space="0"/>
              <w:bottom w:val="single" w:color="auto" w:sz="2" w:space="0"/>
              <w:right w:val="single" w:color="auto" w:sz="2" w:space="0"/>
            </w:tcBorders>
            <w:vAlign w:val="center"/>
          </w:tcPr>
          <w:p w14:paraId="4005F3B7">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1,346,600</w:t>
            </w:r>
          </w:p>
        </w:tc>
        <w:tc>
          <w:tcPr>
            <w:tcW w:w="1322" w:type="dxa"/>
            <w:gridSpan w:val="3"/>
            <w:tcBorders>
              <w:top w:val="single" w:color="auto" w:sz="2" w:space="0"/>
              <w:left w:val="single" w:color="auto" w:sz="2" w:space="0"/>
              <w:bottom w:val="single" w:color="auto" w:sz="2" w:space="0"/>
              <w:right w:val="single" w:color="auto" w:sz="2" w:space="0"/>
            </w:tcBorders>
            <w:vAlign w:val="center"/>
          </w:tcPr>
          <w:p w14:paraId="3F63963C">
            <w:pPr>
              <w:snapToGrid w:val="0"/>
              <w:spacing w:after="0" w:line="240" w:lineRule="exact"/>
              <w:jc w:val="righ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0</w:t>
            </w:r>
          </w:p>
        </w:tc>
        <w:tc>
          <w:tcPr>
            <w:tcW w:w="1312" w:type="dxa"/>
            <w:gridSpan w:val="3"/>
            <w:tcBorders>
              <w:top w:val="single" w:color="auto" w:sz="2" w:space="0"/>
              <w:left w:val="single" w:color="auto" w:sz="2" w:space="0"/>
              <w:bottom w:val="single" w:color="auto" w:sz="2" w:space="0"/>
              <w:right w:val="single" w:color="auto" w:sz="2" w:space="0"/>
            </w:tcBorders>
            <w:vAlign w:val="center"/>
          </w:tcPr>
          <w:p w14:paraId="6A876512">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1294" w:type="dxa"/>
            <w:gridSpan w:val="2"/>
            <w:tcBorders>
              <w:top w:val="single" w:color="auto" w:sz="2" w:space="0"/>
              <w:left w:val="single" w:color="auto" w:sz="2" w:space="0"/>
              <w:bottom w:val="single" w:color="auto" w:sz="2" w:space="0"/>
              <w:right w:val="single" w:color="auto" w:sz="2" w:space="0"/>
            </w:tcBorders>
            <w:vAlign w:val="center"/>
          </w:tcPr>
          <w:p w14:paraId="673D453E">
            <w:pPr>
              <w:snapToGrid w:val="0"/>
              <w:spacing w:after="0" w:line="240" w:lineRule="exact"/>
              <w:jc w:val="righ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0</w:t>
            </w:r>
          </w:p>
        </w:tc>
      </w:tr>
      <w:tr w14:paraId="399DC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05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067AC98F">
            <w:pPr>
              <w:snapToGrid w:val="0"/>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上述股东关联关系或一致行动的说明</w:t>
            </w:r>
          </w:p>
        </w:tc>
        <w:tc>
          <w:tcPr>
            <w:tcW w:w="6784" w:type="dxa"/>
            <w:gridSpan w:val="12"/>
            <w:tcBorders>
              <w:top w:val="single" w:color="auto" w:sz="2" w:space="0"/>
              <w:left w:val="single" w:color="auto" w:sz="2" w:space="0"/>
              <w:bottom w:val="single" w:color="auto" w:sz="2" w:space="0"/>
              <w:right w:val="single" w:color="auto" w:sz="2" w:space="0"/>
            </w:tcBorders>
            <w:vAlign w:val="center"/>
          </w:tcPr>
          <w:p w14:paraId="2F931BC9">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张永明、林玲夫妇是公司的实际控制人，其通过北京世纪天富创业投资中心（有限合伙）、北京天佑瑞元医药科技有限公司、西藏金淦企业管理咨询有限公司、广东知光生物科技有限公司间接持有公司股份；除此之外公司未知其他股东间是否存在关联关系，也未知其他股东是否属于上市公司持股变动信息披露管理办法中规定的一致行动人。</w:t>
            </w:r>
          </w:p>
        </w:tc>
      </w:tr>
    </w:tbl>
    <w:p w14:paraId="750074FB">
      <w:pPr>
        <w:spacing w:after="0" w:line="240" w:lineRule="auto"/>
        <w:ind w:firstLine="360" w:firstLineChars="200"/>
        <w:rPr>
          <w:rFonts w:hint="eastAsia" w:ascii="宋体" w:hAnsi="宋体" w:eastAsia="宋体" w:cs="宋体"/>
          <w:sz w:val="18"/>
          <w:szCs w:val="18"/>
        </w:rPr>
      </w:pPr>
      <w:r>
        <w:rPr>
          <w:rFonts w:ascii="宋体" w:hAnsi="宋体" w:eastAsia="宋体" w:cs="宋体"/>
          <w:sz w:val="18"/>
          <w:szCs w:val="18"/>
        </w:rPr>
        <w:t>持股</w:t>
      </w:r>
      <w:r>
        <w:rPr>
          <w:rFonts w:ascii="Times New Roman" w:hAnsi="Times New Roman" w:eastAsia="宋体" w:cs="Times New Roman"/>
          <w:sz w:val="18"/>
          <w:szCs w:val="18"/>
        </w:rPr>
        <w:t>5</w:t>
      </w:r>
      <w:r>
        <w:rPr>
          <w:rFonts w:ascii="宋体" w:hAnsi="宋体" w:eastAsia="宋体" w:cs="宋体"/>
          <w:sz w:val="18"/>
          <w:szCs w:val="18"/>
        </w:rPr>
        <w:t>%以上股东、前</w:t>
      </w:r>
      <w:r>
        <w:rPr>
          <w:rFonts w:ascii="Times New Roman" w:hAnsi="Times New Roman" w:eastAsia="宋体" w:cs="Times New Roman"/>
          <w:sz w:val="18"/>
          <w:szCs w:val="18"/>
        </w:rPr>
        <w:t>10</w:t>
      </w:r>
      <w:r>
        <w:rPr>
          <w:rFonts w:ascii="宋体" w:hAnsi="宋体" w:eastAsia="宋体" w:cs="宋体"/>
          <w:sz w:val="18"/>
          <w:szCs w:val="18"/>
        </w:rPr>
        <w:t>名股东及前</w:t>
      </w:r>
      <w:r>
        <w:rPr>
          <w:rFonts w:ascii="Times New Roman" w:hAnsi="Times New Roman" w:eastAsia="宋体" w:cs="Times New Roman"/>
          <w:sz w:val="18"/>
          <w:szCs w:val="18"/>
        </w:rPr>
        <w:t>10</w:t>
      </w:r>
      <w:r>
        <w:rPr>
          <w:rFonts w:ascii="宋体" w:hAnsi="宋体" w:eastAsia="宋体" w:cs="宋体"/>
          <w:sz w:val="18"/>
          <w:szCs w:val="18"/>
        </w:rPr>
        <w:t>名无限售流通股股东参与转融通业务出借股份情况</w:t>
      </w:r>
    </w:p>
    <w:p w14:paraId="2D94A6F0">
      <w:pPr>
        <w:spacing w:after="0" w:line="240" w:lineRule="auto"/>
        <w:ind w:firstLine="360" w:firstLineChars="200"/>
        <w:rPr>
          <w:rFonts w:hint="eastAsia"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AD51270">
      <w:pPr>
        <w:spacing w:after="0" w:line="240" w:lineRule="auto"/>
        <w:ind w:firstLine="360" w:firstLineChars="200"/>
        <w:rPr>
          <w:rFonts w:hint="eastAsia" w:ascii="宋体" w:hAnsi="宋体" w:eastAsia="宋体" w:cs="宋体"/>
          <w:sz w:val="18"/>
          <w:szCs w:val="18"/>
        </w:rPr>
      </w:pPr>
      <w:r>
        <w:rPr>
          <w:rFonts w:ascii="宋体" w:hAnsi="宋体" w:eastAsia="宋体" w:cs="宋体"/>
          <w:sz w:val="18"/>
          <w:szCs w:val="18"/>
        </w:rPr>
        <w:t>前</w:t>
      </w:r>
      <w:r>
        <w:rPr>
          <w:rFonts w:ascii="Times New Roman" w:hAnsi="Times New Roman" w:eastAsia="宋体" w:cs="Times New Roman"/>
          <w:sz w:val="18"/>
          <w:szCs w:val="18"/>
        </w:rPr>
        <w:t>10</w:t>
      </w:r>
      <w:r>
        <w:rPr>
          <w:rFonts w:ascii="宋体" w:hAnsi="宋体" w:eastAsia="宋体" w:cs="宋体"/>
          <w:sz w:val="18"/>
          <w:szCs w:val="18"/>
        </w:rPr>
        <w:t>名股东及前</w:t>
      </w:r>
      <w:r>
        <w:rPr>
          <w:rFonts w:ascii="Times New Roman" w:hAnsi="Times New Roman" w:eastAsia="宋体" w:cs="Times New Roman"/>
          <w:sz w:val="18"/>
          <w:szCs w:val="18"/>
        </w:rPr>
        <w:t>10</w:t>
      </w:r>
      <w:r>
        <w:rPr>
          <w:rFonts w:ascii="宋体" w:hAnsi="宋体" w:eastAsia="宋体" w:cs="宋体"/>
          <w:sz w:val="18"/>
          <w:szCs w:val="18"/>
        </w:rPr>
        <w:t>名无限售流通股股东因转融通出借/归还原因导致较上期发生变化</w:t>
      </w:r>
    </w:p>
    <w:p w14:paraId="1B3136F2">
      <w:pPr>
        <w:spacing w:after="0" w:line="240" w:lineRule="auto"/>
        <w:ind w:firstLine="360" w:firstLineChars="200"/>
        <w:rPr>
          <w:rFonts w:hint="eastAsia"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A1596BD">
      <w:pPr>
        <w:spacing w:after="0" w:line="240" w:lineRule="auto"/>
        <w:ind w:firstLine="360" w:firstLineChars="200"/>
        <w:rPr>
          <w:rFonts w:hint="eastAsia" w:ascii="宋体" w:hAnsi="宋体" w:eastAsia="宋体" w:cs="宋体"/>
          <w:sz w:val="18"/>
          <w:szCs w:val="18"/>
        </w:rPr>
      </w:pPr>
      <w:r>
        <w:rPr>
          <w:rFonts w:ascii="宋体" w:hAnsi="宋体" w:eastAsia="宋体" w:cs="宋体"/>
          <w:sz w:val="18"/>
          <w:szCs w:val="18"/>
        </w:rPr>
        <w:t>公司是否具有表决权差异安排</w:t>
      </w:r>
    </w:p>
    <w:p w14:paraId="3944ACAC">
      <w:pPr>
        <w:spacing w:after="0" w:line="240" w:lineRule="auto"/>
        <w:ind w:firstLine="360" w:firstLineChars="200"/>
        <w:rPr>
          <w:rFonts w:hint="eastAsia"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AA11E6D">
      <w:pPr>
        <w:keepNext/>
        <w:keepLines/>
        <w:spacing w:before="300" w:after="300" w:line="280" w:lineRule="exact"/>
        <w:outlineLvl w:val="3"/>
        <w:rPr>
          <w:rFonts w:hint="eastAsia" w:ascii="宋体" w:hAnsi="宋体" w:eastAsia="宋体" w:cs="宋体"/>
          <w:b/>
          <w:bCs/>
          <w:sz w:val="18"/>
          <w:szCs w:val="18"/>
        </w:rPr>
      </w:pPr>
      <w:bookmarkStart w:id="9" w:name="_Toc988898"/>
      <w:r>
        <w:rPr>
          <w:rFonts w:ascii="宋体" w:hAnsi="宋体" w:eastAsia="宋体" w:cs="宋体"/>
          <w:b/>
          <w:bCs/>
          <w:sz w:val="18"/>
          <w:szCs w:val="18"/>
        </w:rPr>
        <w:t>（</w:t>
      </w:r>
      <w:r>
        <w:rPr>
          <w:rFonts w:ascii="Times New Roman" w:hAnsi="Times New Roman" w:eastAsia="宋体" w:cs="Times New Roman"/>
          <w:b/>
          <w:bCs/>
          <w:sz w:val="18"/>
          <w:szCs w:val="18"/>
        </w:rPr>
        <w:t>2</w:t>
      </w:r>
      <w:r>
        <w:rPr>
          <w:rFonts w:ascii="宋体" w:hAnsi="宋体" w:eastAsia="宋体" w:cs="宋体"/>
          <w:b/>
          <w:bCs/>
          <w:sz w:val="18"/>
          <w:szCs w:val="18"/>
        </w:rPr>
        <w:t>） 公司优先股股东总数及前</w:t>
      </w:r>
      <w:r>
        <w:rPr>
          <w:rFonts w:ascii="Times New Roman" w:hAnsi="Times New Roman" w:eastAsia="宋体" w:cs="Times New Roman"/>
          <w:b/>
          <w:bCs/>
          <w:sz w:val="18"/>
          <w:szCs w:val="18"/>
        </w:rPr>
        <w:t>10</w:t>
      </w:r>
      <w:r>
        <w:rPr>
          <w:rFonts w:ascii="宋体" w:hAnsi="宋体" w:eastAsia="宋体" w:cs="宋体"/>
          <w:b/>
          <w:bCs/>
          <w:sz w:val="18"/>
          <w:szCs w:val="18"/>
        </w:rPr>
        <w:t>名优先股股东持股情况表</w:t>
      </w:r>
      <w:bookmarkEnd w:id="9"/>
    </w:p>
    <w:p w14:paraId="3218EA34">
      <w:pPr>
        <w:spacing w:before="40" w:after="40" w:line="0" w:lineRule="atLeast"/>
        <w:rPr>
          <w:rFonts w:hint="eastAsia"/>
        </w:rPr>
      </w:pPr>
    </w:p>
    <w:p w14:paraId="00DDA5FC">
      <w:pPr>
        <w:spacing w:after="0" w:line="240" w:lineRule="exact"/>
        <w:rPr>
          <w:rFonts w:hint="eastAsia" w:ascii="宋体" w:hAnsi="宋体" w:eastAsia="宋体" w:cs="宋体"/>
          <w:sz w:val="18"/>
          <w:szCs w:val="18"/>
        </w:rPr>
      </w:pPr>
      <w:r>
        <w:rPr>
          <w:rFonts w:ascii="宋体" w:hAnsi="宋体" w:eastAsia="宋体" w:cs="宋体"/>
          <w:sz w:val="18"/>
          <w:szCs w:val="18"/>
        </w:rPr>
        <w:t>公司报告期无优先股股东持股情况。</w:t>
      </w:r>
    </w:p>
    <w:p w14:paraId="523566E6">
      <w:pPr>
        <w:keepNext/>
        <w:keepLines/>
        <w:spacing w:before="300" w:after="300" w:line="280" w:lineRule="exact"/>
        <w:outlineLvl w:val="3"/>
        <w:rPr>
          <w:rFonts w:hint="eastAsia" w:ascii="宋体" w:hAnsi="宋体" w:eastAsia="宋体" w:cs="宋体"/>
          <w:b/>
          <w:bCs/>
          <w:sz w:val="18"/>
          <w:szCs w:val="18"/>
        </w:rPr>
      </w:pPr>
      <w:bookmarkStart w:id="10" w:name="_Toc988899"/>
      <w:r>
        <w:rPr>
          <w:rFonts w:ascii="宋体" w:hAnsi="宋体" w:eastAsia="宋体" w:cs="宋体"/>
          <w:b/>
          <w:bCs/>
          <w:sz w:val="18"/>
          <w:szCs w:val="18"/>
        </w:rPr>
        <w:t>（</w:t>
      </w:r>
      <w:r>
        <w:rPr>
          <w:rFonts w:ascii="Times New Roman" w:hAnsi="Times New Roman" w:eastAsia="宋体" w:cs="Times New Roman"/>
          <w:b/>
          <w:bCs/>
          <w:sz w:val="18"/>
          <w:szCs w:val="18"/>
        </w:rPr>
        <w:t>3</w:t>
      </w:r>
      <w:r>
        <w:rPr>
          <w:rFonts w:ascii="宋体" w:hAnsi="宋体" w:eastAsia="宋体" w:cs="宋体"/>
          <w:b/>
          <w:bCs/>
          <w:sz w:val="18"/>
          <w:szCs w:val="18"/>
        </w:rPr>
        <w:t>） 以方框图形式披露公司与实际控制人之间的产权及控制关系</w:t>
      </w:r>
      <w:bookmarkEnd w:id="10"/>
    </w:p>
    <w:p w14:paraId="65B961CA">
      <w:pPr>
        <w:spacing w:before="40" w:after="40" w:line="0" w:lineRule="atLeast"/>
        <w:rPr>
          <w:rFonts w:ascii="Times New Roman" w:hAnsi="Times New Roman" w:eastAsia="宋体" w:cs="Times New Roman"/>
        </w:rPr>
      </w:pPr>
      <w:r>
        <w:rPr>
          <w:rFonts w:ascii="Times New Roman" w:hAnsi="Times New Roman" w:eastAsia="宋体" w:cs="Times New Roman"/>
        </w:rPr>
        <w:drawing>
          <wp:inline distT="0" distB="0" distL="0" distR="0">
            <wp:extent cx="4280535" cy="2542540"/>
            <wp:effectExtent l="0" t="0" r="1206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stretch>
                      <a:fillRect/>
                    </a:stretch>
                  </pic:blipFill>
                  <pic:spPr>
                    <a:xfrm>
                      <a:off x="0" y="0"/>
                      <a:ext cx="4280535" cy="2542540"/>
                    </a:xfrm>
                    <a:prstGeom prst="rect">
                      <a:avLst/>
                    </a:prstGeom>
                  </pic:spPr>
                </pic:pic>
              </a:graphicData>
            </a:graphic>
          </wp:inline>
        </w:drawing>
      </w:r>
    </w:p>
    <w:p w14:paraId="13E97EB1">
      <w:pPr>
        <w:pStyle w:val="3"/>
        <w:spacing w:line="280" w:lineRule="exact"/>
        <w:jc w:val="left"/>
        <w:rPr>
          <w:rFonts w:hint="eastAsia" w:ascii="宋体" w:hAnsi="宋体" w:cs="宋体"/>
          <w:b/>
          <w:bCs/>
        </w:rPr>
      </w:pPr>
      <w:bookmarkStart w:id="11" w:name="_Toc988900"/>
      <w:r>
        <w:rPr>
          <w:rFonts w:ascii="Times New Roman" w:hAnsi="Times New Roman" w:cs="Times New Roman"/>
          <w:b/>
          <w:bCs/>
        </w:rPr>
        <w:t>5</w:t>
      </w:r>
      <w:r>
        <w:rPr>
          <w:rFonts w:ascii="宋体" w:hAnsi="宋体" w:cs="宋体"/>
          <w:b/>
          <w:bCs/>
        </w:rPr>
        <w:t>、在年度报告批准报出日存续的债券情况</w:t>
      </w:r>
      <w:bookmarkEnd w:id="11"/>
    </w:p>
    <w:p w14:paraId="7FAE0CE3">
      <w:pPr>
        <w:spacing w:before="40" w:after="40" w:line="240" w:lineRule="exact"/>
        <w:rPr>
          <w:rFonts w:hint="eastAsia"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3315055">
      <w:pPr>
        <w:pStyle w:val="2"/>
        <w:spacing w:before="300" w:after="300" w:line="320" w:lineRule="exact"/>
        <w:rPr>
          <w:rFonts w:hint="eastAsia" w:ascii="宋体" w:hAnsi="宋体" w:eastAsia="宋体" w:cs="宋体"/>
          <w:b/>
          <w:bCs/>
          <w:sz w:val="24"/>
          <w:szCs w:val="24"/>
        </w:rPr>
      </w:pPr>
      <w:bookmarkStart w:id="12" w:name="_Toc988901"/>
      <w:r>
        <w:rPr>
          <w:rFonts w:ascii="宋体" w:hAnsi="宋体" w:eastAsia="宋体" w:cs="宋体"/>
          <w:b/>
          <w:bCs/>
          <w:sz w:val="24"/>
          <w:szCs w:val="24"/>
        </w:rPr>
        <w:t>三、重要事项</w:t>
      </w:r>
      <w:bookmarkEnd w:id="12"/>
    </w:p>
    <w:p w14:paraId="25E3AE10">
      <w:pPr>
        <w:pStyle w:val="6"/>
        <w:spacing w:before="0" w:beforeAutospacing="0" w:after="0" w:afterAutospacing="0"/>
        <w:ind w:firstLine="360" w:firstLineChars="200"/>
        <w:rPr>
          <w:rFonts w:hint="eastAsia"/>
        </w:rPr>
      </w:pPr>
      <w:r>
        <w:rPr>
          <w:rFonts w:ascii="Times New Roman" w:hAnsi="Times New Roman" w:cs="Times New Roman"/>
          <w:sz w:val="18"/>
          <w:szCs w:val="18"/>
        </w:rPr>
        <w:t>1</w:t>
      </w:r>
      <w:r>
        <w:rPr>
          <w:rFonts w:hint="eastAsia"/>
          <w:sz w:val="18"/>
          <w:szCs w:val="18"/>
        </w:rPr>
        <w:t>、公司原控股股东所持股份被司法拍卖情况</w:t>
      </w:r>
    </w:p>
    <w:p w14:paraId="2A9965D8">
      <w:pPr>
        <w:pStyle w:val="6"/>
        <w:spacing w:before="0" w:beforeAutospacing="0" w:after="0" w:afterAutospacing="0"/>
        <w:ind w:firstLine="360" w:firstLineChars="200"/>
        <w:rPr>
          <w:rFonts w:hint="eastAsia"/>
        </w:rPr>
      </w:pPr>
      <w:r>
        <w:rPr>
          <w:rFonts w:hint="eastAsia"/>
          <w:sz w:val="18"/>
          <w:szCs w:val="18"/>
        </w:rPr>
        <w:t>珠海市香洲区人民法院通过网络拍卖平台分别拍卖广东知光所持有的公司股份</w:t>
      </w:r>
      <w:r>
        <w:rPr>
          <w:rFonts w:ascii="Times New Roman" w:hAnsi="Times New Roman" w:cs="Times New Roman"/>
          <w:sz w:val="18"/>
          <w:szCs w:val="18"/>
        </w:rPr>
        <w:t>104,822</w:t>
      </w:r>
      <w:r>
        <w:rPr>
          <w:rFonts w:hint="eastAsia"/>
          <w:sz w:val="18"/>
          <w:szCs w:val="18"/>
        </w:rPr>
        <w:t>股和</w:t>
      </w:r>
      <w:r>
        <w:rPr>
          <w:rFonts w:ascii="Times New Roman" w:hAnsi="Times New Roman" w:cs="Times New Roman"/>
          <w:sz w:val="18"/>
          <w:szCs w:val="18"/>
        </w:rPr>
        <w:t>16,980,000</w:t>
      </w:r>
      <w:r>
        <w:rPr>
          <w:rFonts w:hint="eastAsia"/>
          <w:sz w:val="18"/>
          <w:szCs w:val="18"/>
        </w:rPr>
        <w:t>股，合计</w:t>
      </w:r>
      <w:r>
        <w:rPr>
          <w:rFonts w:ascii="Times New Roman" w:hAnsi="Times New Roman" w:cs="Times New Roman"/>
          <w:sz w:val="18"/>
          <w:szCs w:val="18"/>
        </w:rPr>
        <w:t>17,084,822</w:t>
      </w:r>
      <w:r>
        <w:rPr>
          <w:rFonts w:hint="eastAsia"/>
          <w:sz w:val="18"/>
          <w:szCs w:val="18"/>
        </w:rPr>
        <w:t>股，并全部由北京天佑瑞元医药科技有限公司竞得，以上股份于</w:t>
      </w:r>
      <w:r>
        <w:rPr>
          <w:rFonts w:ascii="Times New Roman" w:hAnsi="Times New Roman" w:cs="Times New Roman"/>
          <w:sz w:val="18"/>
          <w:szCs w:val="18"/>
        </w:rPr>
        <w:t>2025</w:t>
      </w:r>
      <w:r>
        <w:rPr>
          <w:rFonts w:hint="eastAsia"/>
          <w:sz w:val="18"/>
          <w:szCs w:val="18"/>
        </w:rPr>
        <w:t>年</w:t>
      </w:r>
      <w:r>
        <w:rPr>
          <w:rFonts w:ascii="Times New Roman" w:hAnsi="Times New Roman" w:cs="Times New Roman"/>
          <w:sz w:val="18"/>
          <w:szCs w:val="18"/>
        </w:rPr>
        <w:t>1</w:t>
      </w:r>
      <w:r>
        <w:rPr>
          <w:rFonts w:hint="eastAsia"/>
          <w:sz w:val="18"/>
          <w:szCs w:val="18"/>
        </w:rPr>
        <w:t>月</w:t>
      </w:r>
      <w:r>
        <w:rPr>
          <w:rFonts w:ascii="Times New Roman" w:hAnsi="Times New Roman" w:cs="Times New Roman"/>
          <w:sz w:val="18"/>
          <w:szCs w:val="18"/>
        </w:rPr>
        <w:t>23</w:t>
      </w:r>
      <w:r>
        <w:rPr>
          <w:rFonts w:hint="eastAsia"/>
          <w:sz w:val="18"/>
          <w:szCs w:val="18"/>
        </w:rPr>
        <w:t>日完成相关过户登记手续。具体内容详见公司于</w:t>
      </w:r>
      <w:r>
        <w:rPr>
          <w:rFonts w:ascii="Times New Roman" w:hAnsi="Times New Roman" w:cs="Times New Roman"/>
          <w:sz w:val="18"/>
          <w:szCs w:val="18"/>
        </w:rPr>
        <w:t>2024</w:t>
      </w:r>
      <w:r>
        <w:rPr>
          <w:rFonts w:hint="eastAsia"/>
          <w:sz w:val="18"/>
          <w:szCs w:val="18"/>
        </w:rPr>
        <w:t>年</w:t>
      </w:r>
      <w:r>
        <w:rPr>
          <w:rFonts w:ascii="Times New Roman" w:hAnsi="Times New Roman" w:cs="Times New Roman"/>
          <w:sz w:val="18"/>
          <w:szCs w:val="18"/>
        </w:rPr>
        <w:t>11</w:t>
      </w:r>
      <w:r>
        <w:rPr>
          <w:rFonts w:hint="eastAsia"/>
          <w:sz w:val="18"/>
          <w:szCs w:val="18"/>
        </w:rPr>
        <w:t>月</w:t>
      </w:r>
      <w:r>
        <w:rPr>
          <w:rFonts w:ascii="Times New Roman" w:hAnsi="Times New Roman" w:cs="Times New Roman"/>
          <w:sz w:val="18"/>
          <w:szCs w:val="18"/>
        </w:rPr>
        <w:t>30</w:t>
      </w:r>
      <w:r>
        <w:rPr>
          <w:rFonts w:hint="eastAsia"/>
          <w:sz w:val="18"/>
          <w:szCs w:val="18"/>
        </w:rPr>
        <w:t>日、</w:t>
      </w:r>
      <w:r>
        <w:rPr>
          <w:rFonts w:ascii="Times New Roman" w:hAnsi="Times New Roman" w:cs="Times New Roman"/>
          <w:sz w:val="18"/>
          <w:szCs w:val="18"/>
        </w:rPr>
        <w:t>2025</w:t>
      </w:r>
      <w:r>
        <w:rPr>
          <w:rFonts w:hint="eastAsia"/>
          <w:sz w:val="18"/>
          <w:szCs w:val="18"/>
        </w:rPr>
        <w:t>年</w:t>
      </w:r>
      <w:r>
        <w:rPr>
          <w:rFonts w:ascii="Times New Roman" w:hAnsi="Times New Roman" w:cs="Times New Roman"/>
          <w:sz w:val="18"/>
          <w:szCs w:val="18"/>
        </w:rPr>
        <w:t>1</w:t>
      </w:r>
      <w:r>
        <w:rPr>
          <w:rFonts w:hint="eastAsia"/>
          <w:sz w:val="18"/>
          <w:szCs w:val="18"/>
        </w:rPr>
        <w:t>月</w:t>
      </w:r>
      <w:r>
        <w:rPr>
          <w:rFonts w:ascii="Times New Roman" w:hAnsi="Times New Roman" w:cs="Times New Roman"/>
          <w:sz w:val="18"/>
          <w:szCs w:val="18"/>
        </w:rPr>
        <w:t>2</w:t>
      </w:r>
      <w:r>
        <w:rPr>
          <w:rFonts w:hint="eastAsia"/>
          <w:sz w:val="18"/>
          <w:szCs w:val="18"/>
        </w:rPr>
        <w:t>日、</w:t>
      </w:r>
      <w:r>
        <w:rPr>
          <w:rFonts w:ascii="Times New Roman" w:hAnsi="Times New Roman" w:cs="Times New Roman"/>
          <w:sz w:val="18"/>
          <w:szCs w:val="18"/>
        </w:rPr>
        <w:t>2025</w:t>
      </w:r>
      <w:r>
        <w:rPr>
          <w:rFonts w:hint="eastAsia"/>
          <w:sz w:val="18"/>
          <w:szCs w:val="18"/>
        </w:rPr>
        <w:t>年</w:t>
      </w:r>
      <w:r>
        <w:rPr>
          <w:rFonts w:ascii="Times New Roman" w:hAnsi="Times New Roman" w:cs="Times New Roman"/>
          <w:sz w:val="18"/>
          <w:szCs w:val="18"/>
        </w:rPr>
        <w:t>1</w:t>
      </w:r>
      <w:r>
        <w:rPr>
          <w:rFonts w:hint="eastAsia"/>
          <w:sz w:val="18"/>
          <w:szCs w:val="18"/>
        </w:rPr>
        <w:t>月</w:t>
      </w:r>
      <w:r>
        <w:rPr>
          <w:rFonts w:ascii="Times New Roman" w:hAnsi="Times New Roman" w:cs="Times New Roman"/>
          <w:sz w:val="18"/>
          <w:szCs w:val="18"/>
        </w:rPr>
        <w:t>24</w:t>
      </w:r>
      <w:r>
        <w:rPr>
          <w:rFonts w:hint="eastAsia"/>
          <w:sz w:val="18"/>
          <w:szCs w:val="18"/>
        </w:rPr>
        <w:t>日在巨潮资讯网上披露的《关于控股股东所持公司部分股份将被司法拍卖的提示性公告》（公告编号：</w:t>
      </w:r>
      <w:r>
        <w:rPr>
          <w:rFonts w:ascii="Times New Roman" w:hAnsi="Times New Roman" w:cs="Times New Roman"/>
          <w:sz w:val="18"/>
          <w:szCs w:val="18"/>
        </w:rPr>
        <w:t>2024</w:t>
      </w:r>
      <w:r>
        <w:rPr>
          <w:rFonts w:hint="eastAsia"/>
          <w:sz w:val="18"/>
          <w:szCs w:val="18"/>
        </w:rPr>
        <w:t>-</w:t>
      </w:r>
      <w:r>
        <w:rPr>
          <w:rFonts w:ascii="Times New Roman" w:hAnsi="Times New Roman" w:cs="Times New Roman"/>
          <w:sz w:val="18"/>
          <w:szCs w:val="18"/>
        </w:rPr>
        <w:t>045</w:t>
      </w:r>
      <w:r>
        <w:rPr>
          <w:rFonts w:hint="eastAsia"/>
          <w:sz w:val="18"/>
          <w:szCs w:val="18"/>
        </w:rPr>
        <w:t>）、《关于原控股股东所持公司部分股份被司法拍卖的进展公告》（公告编号：</w:t>
      </w:r>
      <w:r>
        <w:rPr>
          <w:rFonts w:ascii="Times New Roman" w:hAnsi="Times New Roman" w:cs="Times New Roman"/>
          <w:sz w:val="18"/>
          <w:szCs w:val="18"/>
        </w:rPr>
        <w:t>2025</w:t>
      </w:r>
      <w:r>
        <w:rPr>
          <w:rFonts w:hint="eastAsia"/>
          <w:sz w:val="18"/>
          <w:szCs w:val="18"/>
        </w:rPr>
        <w:t>-</w:t>
      </w:r>
      <w:r>
        <w:rPr>
          <w:rFonts w:ascii="Times New Roman" w:hAnsi="Times New Roman" w:cs="Times New Roman"/>
          <w:sz w:val="18"/>
          <w:szCs w:val="18"/>
        </w:rPr>
        <w:t>001</w:t>
      </w:r>
      <w:r>
        <w:rPr>
          <w:rFonts w:hint="eastAsia"/>
          <w:sz w:val="18"/>
          <w:szCs w:val="18"/>
        </w:rPr>
        <w:t>）、《关于原控股股东被司法拍卖部分股份完成过户登记的公告》（公告编号：</w:t>
      </w:r>
      <w:r>
        <w:rPr>
          <w:rFonts w:ascii="Times New Roman" w:hAnsi="Times New Roman" w:cs="Times New Roman"/>
          <w:sz w:val="18"/>
          <w:szCs w:val="18"/>
        </w:rPr>
        <w:t>2025</w:t>
      </w:r>
      <w:r>
        <w:rPr>
          <w:rFonts w:hint="eastAsia"/>
          <w:sz w:val="18"/>
          <w:szCs w:val="18"/>
        </w:rPr>
        <w:t>-</w:t>
      </w:r>
      <w:r>
        <w:rPr>
          <w:rFonts w:ascii="Times New Roman" w:hAnsi="Times New Roman" w:cs="Times New Roman"/>
          <w:sz w:val="18"/>
          <w:szCs w:val="18"/>
        </w:rPr>
        <w:t>006</w:t>
      </w:r>
      <w:r>
        <w:rPr>
          <w:rFonts w:hint="eastAsia"/>
          <w:sz w:val="18"/>
          <w:szCs w:val="18"/>
        </w:rPr>
        <w:t>）等相关公告。</w:t>
      </w:r>
    </w:p>
    <w:p w14:paraId="1A0A0DFA">
      <w:pPr>
        <w:pStyle w:val="6"/>
        <w:numPr>
          <w:ilvl w:val="0"/>
          <w:numId w:val="1"/>
        </w:numPr>
        <w:spacing w:before="0" w:beforeAutospacing="0" w:after="0" w:afterAutospacing="0"/>
        <w:ind w:left="356" w:leftChars="162" w:firstLine="0" w:firstLineChars="0"/>
        <w:rPr>
          <w:rFonts w:hint="eastAsia"/>
          <w:sz w:val="18"/>
          <w:szCs w:val="18"/>
        </w:rPr>
      </w:pPr>
      <w:r>
        <w:rPr>
          <w:rFonts w:hint="eastAsia"/>
          <w:sz w:val="18"/>
          <w:szCs w:val="18"/>
        </w:rPr>
        <w:t>关于公司向特定对象发行股票情况</w:t>
      </w:r>
    </w:p>
    <w:p w14:paraId="59E4D4A0">
      <w:pPr>
        <w:pStyle w:val="6"/>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ind w:firstLine="360" w:firstLineChars="200"/>
        <w:textAlignment w:val="auto"/>
        <w:rPr>
          <w:rFonts w:hint="eastAsia"/>
        </w:rPr>
      </w:pPr>
      <w:bookmarkStart w:id="13" w:name="_GoBack"/>
      <w:r>
        <w:rPr>
          <w:rFonts w:hint="eastAsia"/>
          <w:sz w:val="18"/>
          <w:szCs w:val="18"/>
        </w:rPr>
        <w:t>公司于</w:t>
      </w:r>
      <w:r>
        <w:rPr>
          <w:rFonts w:ascii="Times New Roman" w:hAnsi="Times New Roman" w:cs="Times New Roman"/>
          <w:sz w:val="18"/>
          <w:szCs w:val="18"/>
        </w:rPr>
        <w:t>2025</w:t>
      </w:r>
      <w:r>
        <w:rPr>
          <w:rFonts w:hint="eastAsia"/>
          <w:sz w:val="18"/>
          <w:szCs w:val="18"/>
        </w:rPr>
        <w:t>年</w:t>
      </w:r>
      <w:r>
        <w:rPr>
          <w:rFonts w:ascii="Times New Roman" w:hAnsi="Times New Roman" w:cs="Times New Roman"/>
          <w:sz w:val="18"/>
          <w:szCs w:val="18"/>
        </w:rPr>
        <w:t>2</w:t>
      </w:r>
      <w:r>
        <w:rPr>
          <w:rFonts w:hint="eastAsia"/>
          <w:sz w:val="18"/>
          <w:szCs w:val="18"/>
        </w:rPr>
        <w:t>月</w:t>
      </w:r>
      <w:r>
        <w:rPr>
          <w:rFonts w:ascii="Times New Roman" w:hAnsi="Times New Roman" w:cs="Times New Roman"/>
          <w:sz w:val="18"/>
          <w:szCs w:val="18"/>
        </w:rPr>
        <w:t>21</w:t>
      </w:r>
      <w:r>
        <w:rPr>
          <w:rFonts w:hint="eastAsia"/>
          <w:sz w:val="18"/>
          <w:szCs w:val="18"/>
        </w:rPr>
        <w:t>日收到深圳证券交易所出具的《关于受理冠昊生物科技股份有限公司向特定对象发行股票申请文件的通知》（深证上审〔</w:t>
      </w:r>
      <w:r>
        <w:rPr>
          <w:rFonts w:ascii="Times New Roman" w:hAnsi="Times New Roman" w:cs="Times New Roman"/>
          <w:sz w:val="18"/>
          <w:szCs w:val="18"/>
        </w:rPr>
        <w:t>2025</w:t>
      </w:r>
      <w:r>
        <w:rPr>
          <w:rFonts w:hint="eastAsia"/>
          <w:sz w:val="18"/>
          <w:szCs w:val="18"/>
        </w:rPr>
        <w:t>〕</w:t>
      </w:r>
      <w:r>
        <w:rPr>
          <w:rFonts w:ascii="Times New Roman" w:hAnsi="Times New Roman" w:cs="Times New Roman"/>
          <w:sz w:val="18"/>
          <w:szCs w:val="18"/>
        </w:rPr>
        <w:t>30</w:t>
      </w:r>
      <w:r>
        <w:rPr>
          <w:rFonts w:hint="eastAsia"/>
          <w:sz w:val="18"/>
          <w:szCs w:val="18"/>
        </w:rPr>
        <w:t>号），深圳证券交易所对公司报送的向特定对象发行股票的申请文件进行了核对，认为申请文件齐备，决定予以受理；并于</w:t>
      </w:r>
      <w:r>
        <w:rPr>
          <w:rFonts w:ascii="Times New Roman" w:hAnsi="Times New Roman" w:cs="Times New Roman"/>
          <w:sz w:val="18"/>
          <w:szCs w:val="18"/>
        </w:rPr>
        <w:t>2025</w:t>
      </w:r>
      <w:r>
        <w:rPr>
          <w:rFonts w:hint="eastAsia"/>
          <w:sz w:val="18"/>
          <w:szCs w:val="18"/>
        </w:rPr>
        <w:t>年</w:t>
      </w:r>
      <w:r>
        <w:rPr>
          <w:rFonts w:ascii="Times New Roman" w:hAnsi="Times New Roman" w:cs="Times New Roman"/>
          <w:sz w:val="18"/>
          <w:szCs w:val="18"/>
        </w:rPr>
        <w:t>3</w:t>
      </w:r>
      <w:r>
        <w:rPr>
          <w:rFonts w:hint="eastAsia"/>
          <w:sz w:val="18"/>
          <w:szCs w:val="18"/>
        </w:rPr>
        <w:t>月</w:t>
      </w:r>
      <w:r>
        <w:rPr>
          <w:rFonts w:ascii="Times New Roman" w:hAnsi="Times New Roman" w:cs="Times New Roman"/>
          <w:sz w:val="18"/>
          <w:szCs w:val="18"/>
        </w:rPr>
        <w:t>13</w:t>
      </w:r>
      <w:r>
        <w:rPr>
          <w:rFonts w:hint="eastAsia"/>
          <w:sz w:val="18"/>
          <w:szCs w:val="18"/>
        </w:rPr>
        <w:t>日出具了《关于冠昊生物科技股份有限公司申请向特定对象发行股票的审核问询函》（审核函〔</w:t>
      </w:r>
      <w:r>
        <w:rPr>
          <w:rFonts w:ascii="Times New Roman" w:hAnsi="Times New Roman" w:cs="Times New Roman"/>
          <w:sz w:val="18"/>
          <w:szCs w:val="18"/>
        </w:rPr>
        <w:t>2025</w:t>
      </w:r>
      <w:r>
        <w:rPr>
          <w:rFonts w:hint="eastAsia"/>
          <w:sz w:val="18"/>
          <w:szCs w:val="18"/>
        </w:rPr>
        <w:t>〕</w:t>
      </w:r>
      <w:r>
        <w:rPr>
          <w:rFonts w:ascii="Times New Roman" w:hAnsi="Times New Roman" w:cs="Times New Roman"/>
          <w:sz w:val="18"/>
          <w:szCs w:val="18"/>
        </w:rPr>
        <w:t>020009</w:t>
      </w:r>
      <w:r>
        <w:rPr>
          <w:rFonts w:hint="eastAsia"/>
          <w:sz w:val="18"/>
          <w:szCs w:val="18"/>
        </w:rPr>
        <w:t>号），公司按照审核问询函的要求，对审核问询函进行了回复和说明，同时对募集说明书等申请文件进行了补充和更新；</w:t>
      </w:r>
      <w:r>
        <w:rPr>
          <w:rFonts w:ascii="Times New Roman" w:hAnsi="Times New Roman" w:cs="Times New Roman"/>
          <w:sz w:val="18"/>
          <w:szCs w:val="18"/>
        </w:rPr>
        <w:t>2025</w:t>
      </w:r>
      <w:r>
        <w:rPr>
          <w:rFonts w:hint="eastAsia"/>
          <w:sz w:val="18"/>
          <w:szCs w:val="18"/>
        </w:rPr>
        <w:t>年</w:t>
      </w:r>
      <w:r>
        <w:rPr>
          <w:rFonts w:ascii="Times New Roman" w:hAnsi="Times New Roman" w:cs="Times New Roman"/>
          <w:sz w:val="18"/>
          <w:szCs w:val="18"/>
        </w:rPr>
        <w:t>6</w:t>
      </w:r>
      <w:r>
        <w:rPr>
          <w:rFonts w:hint="eastAsia"/>
          <w:sz w:val="18"/>
          <w:szCs w:val="18"/>
        </w:rPr>
        <w:t>月</w:t>
      </w:r>
      <w:r>
        <w:rPr>
          <w:rFonts w:ascii="Times New Roman" w:hAnsi="Times New Roman" w:cs="Times New Roman"/>
          <w:sz w:val="18"/>
          <w:szCs w:val="18"/>
        </w:rPr>
        <w:t>23</w:t>
      </w:r>
      <w:r>
        <w:rPr>
          <w:rFonts w:hint="eastAsia"/>
          <w:sz w:val="18"/>
          <w:szCs w:val="18"/>
        </w:rPr>
        <w:t>日，公司召开第六届董事会第十五次会议和第六届监事会第十二次会议，审议通过了《关于公司终止向特定对象发行股票事项并撤回申请文件的议案》，同意公司终止本次向特定对象发行股票事项并撤回申请文件并于</w:t>
      </w:r>
      <w:r>
        <w:rPr>
          <w:rFonts w:ascii="Times New Roman" w:hAnsi="Times New Roman" w:cs="Times New Roman"/>
          <w:sz w:val="18"/>
          <w:szCs w:val="18"/>
        </w:rPr>
        <w:t>2025</w:t>
      </w:r>
      <w:r>
        <w:rPr>
          <w:rFonts w:hint="eastAsia"/>
          <w:sz w:val="18"/>
          <w:szCs w:val="18"/>
        </w:rPr>
        <w:t>年</w:t>
      </w:r>
      <w:r>
        <w:rPr>
          <w:rFonts w:ascii="Times New Roman" w:hAnsi="Times New Roman" w:cs="Times New Roman"/>
          <w:sz w:val="18"/>
          <w:szCs w:val="18"/>
        </w:rPr>
        <w:t>6</w:t>
      </w:r>
      <w:r>
        <w:rPr>
          <w:rFonts w:hint="eastAsia"/>
          <w:sz w:val="18"/>
          <w:szCs w:val="18"/>
        </w:rPr>
        <w:t>月</w:t>
      </w:r>
      <w:r>
        <w:rPr>
          <w:rFonts w:ascii="Times New Roman" w:hAnsi="Times New Roman" w:cs="Times New Roman"/>
          <w:sz w:val="18"/>
          <w:szCs w:val="18"/>
        </w:rPr>
        <w:t>30</w:t>
      </w:r>
      <w:r>
        <w:rPr>
          <w:rFonts w:hint="eastAsia"/>
          <w:sz w:val="18"/>
          <w:szCs w:val="18"/>
        </w:rPr>
        <w:t>日收到深交所出具的《关于终止对冠昊生物科技股份有限公司申请向特定对象发行股票审核的决定》（深证上审〔</w:t>
      </w:r>
      <w:r>
        <w:rPr>
          <w:rFonts w:ascii="Times New Roman" w:hAnsi="Times New Roman" w:cs="Times New Roman"/>
          <w:sz w:val="18"/>
          <w:szCs w:val="18"/>
        </w:rPr>
        <w:t>2025</w:t>
      </w:r>
      <w:r>
        <w:rPr>
          <w:rFonts w:hint="eastAsia"/>
          <w:sz w:val="18"/>
          <w:szCs w:val="18"/>
        </w:rPr>
        <w:t>〕</w:t>
      </w:r>
      <w:r>
        <w:rPr>
          <w:rFonts w:ascii="Times New Roman" w:hAnsi="Times New Roman" w:cs="Times New Roman"/>
          <w:sz w:val="18"/>
          <w:szCs w:val="18"/>
        </w:rPr>
        <w:t>119</w:t>
      </w:r>
      <w:r>
        <w:rPr>
          <w:rFonts w:hint="eastAsia"/>
          <w:sz w:val="18"/>
          <w:szCs w:val="18"/>
        </w:rPr>
        <w:t>号）。具体内容详见公司分别于</w:t>
      </w:r>
      <w:r>
        <w:rPr>
          <w:rFonts w:ascii="Times New Roman" w:hAnsi="Times New Roman" w:cs="Times New Roman"/>
          <w:sz w:val="18"/>
          <w:szCs w:val="18"/>
        </w:rPr>
        <w:t>2025</w:t>
      </w:r>
      <w:r>
        <w:rPr>
          <w:rFonts w:hint="eastAsia"/>
          <w:sz w:val="18"/>
          <w:szCs w:val="18"/>
        </w:rPr>
        <w:t>年</w:t>
      </w:r>
      <w:r>
        <w:rPr>
          <w:rFonts w:ascii="Times New Roman" w:hAnsi="Times New Roman" w:cs="Times New Roman"/>
          <w:sz w:val="18"/>
          <w:szCs w:val="18"/>
        </w:rPr>
        <w:t>2</w:t>
      </w:r>
      <w:r>
        <w:rPr>
          <w:rFonts w:hint="eastAsia"/>
          <w:sz w:val="18"/>
          <w:szCs w:val="18"/>
        </w:rPr>
        <w:t>月</w:t>
      </w:r>
      <w:r>
        <w:rPr>
          <w:rFonts w:ascii="Times New Roman" w:hAnsi="Times New Roman" w:cs="Times New Roman"/>
          <w:sz w:val="18"/>
          <w:szCs w:val="18"/>
        </w:rPr>
        <w:t>24</w:t>
      </w:r>
      <w:r>
        <w:rPr>
          <w:rFonts w:hint="eastAsia"/>
          <w:sz w:val="18"/>
          <w:szCs w:val="18"/>
        </w:rPr>
        <w:t>日、</w:t>
      </w:r>
      <w:r>
        <w:rPr>
          <w:rFonts w:ascii="Times New Roman" w:hAnsi="Times New Roman" w:cs="Times New Roman"/>
          <w:sz w:val="18"/>
          <w:szCs w:val="18"/>
        </w:rPr>
        <w:t>2025</w:t>
      </w:r>
      <w:r>
        <w:rPr>
          <w:rFonts w:hint="eastAsia"/>
          <w:sz w:val="18"/>
          <w:szCs w:val="18"/>
        </w:rPr>
        <w:t>年</w:t>
      </w:r>
      <w:r>
        <w:rPr>
          <w:rFonts w:ascii="Times New Roman" w:hAnsi="Times New Roman" w:cs="Times New Roman"/>
          <w:sz w:val="18"/>
          <w:szCs w:val="18"/>
        </w:rPr>
        <w:t>4</w:t>
      </w:r>
      <w:r>
        <w:rPr>
          <w:rFonts w:hint="eastAsia"/>
          <w:sz w:val="18"/>
          <w:szCs w:val="18"/>
        </w:rPr>
        <w:t>月</w:t>
      </w:r>
      <w:r>
        <w:rPr>
          <w:rFonts w:ascii="Times New Roman" w:hAnsi="Times New Roman" w:cs="Times New Roman"/>
          <w:sz w:val="18"/>
          <w:szCs w:val="18"/>
        </w:rPr>
        <w:t>18</w:t>
      </w:r>
      <w:r>
        <w:rPr>
          <w:rFonts w:hint="eastAsia"/>
          <w:sz w:val="18"/>
          <w:szCs w:val="18"/>
        </w:rPr>
        <w:t>日、</w:t>
      </w:r>
      <w:r>
        <w:rPr>
          <w:rFonts w:ascii="Times New Roman" w:hAnsi="Times New Roman" w:cs="Times New Roman"/>
          <w:sz w:val="18"/>
          <w:szCs w:val="18"/>
        </w:rPr>
        <w:t>2025</w:t>
      </w:r>
      <w:r>
        <w:rPr>
          <w:rFonts w:hint="eastAsia"/>
          <w:sz w:val="18"/>
          <w:szCs w:val="18"/>
        </w:rPr>
        <w:t>年</w:t>
      </w:r>
      <w:r>
        <w:rPr>
          <w:rFonts w:ascii="Times New Roman" w:hAnsi="Times New Roman" w:cs="Times New Roman"/>
          <w:sz w:val="18"/>
          <w:szCs w:val="18"/>
        </w:rPr>
        <w:t>6</w:t>
      </w:r>
      <w:r>
        <w:rPr>
          <w:rFonts w:hint="eastAsia"/>
          <w:sz w:val="18"/>
          <w:szCs w:val="18"/>
        </w:rPr>
        <w:t>月</w:t>
      </w:r>
      <w:r>
        <w:rPr>
          <w:rFonts w:ascii="Times New Roman" w:hAnsi="Times New Roman" w:cs="Times New Roman"/>
          <w:sz w:val="18"/>
          <w:szCs w:val="18"/>
        </w:rPr>
        <w:t>24</w:t>
      </w:r>
      <w:r>
        <w:rPr>
          <w:rFonts w:hint="eastAsia"/>
          <w:sz w:val="18"/>
          <w:szCs w:val="18"/>
        </w:rPr>
        <w:t>日、</w:t>
      </w:r>
      <w:r>
        <w:rPr>
          <w:rFonts w:ascii="Times New Roman" w:hAnsi="Times New Roman" w:cs="Times New Roman"/>
          <w:sz w:val="18"/>
          <w:szCs w:val="18"/>
        </w:rPr>
        <w:t>2025</w:t>
      </w:r>
      <w:r>
        <w:rPr>
          <w:rFonts w:hint="eastAsia"/>
          <w:sz w:val="18"/>
          <w:szCs w:val="18"/>
        </w:rPr>
        <w:t>年</w:t>
      </w:r>
      <w:r>
        <w:rPr>
          <w:rFonts w:ascii="Times New Roman" w:hAnsi="Times New Roman" w:cs="Times New Roman"/>
          <w:sz w:val="18"/>
          <w:szCs w:val="18"/>
        </w:rPr>
        <w:t>7</w:t>
      </w:r>
      <w:r>
        <w:rPr>
          <w:rFonts w:hint="eastAsia"/>
          <w:sz w:val="18"/>
          <w:szCs w:val="18"/>
        </w:rPr>
        <w:t>月</w:t>
      </w:r>
      <w:r>
        <w:rPr>
          <w:rFonts w:ascii="Times New Roman" w:hAnsi="Times New Roman" w:cs="Times New Roman"/>
          <w:sz w:val="18"/>
          <w:szCs w:val="18"/>
        </w:rPr>
        <w:t>1</w:t>
      </w:r>
      <w:r>
        <w:rPr>
          <w:rFonts w:hint="eastAsia"/>
          <w:sz w:val="18"/>
          <w:szCs w:val="18"/>
        </w:rPr>
        <w:t>日在巨潮资讯网上披露的《关于向特定对象发行股票申请获得深圳证券交易所受理的公告》（公告编号：</w:t>
      </w:r>
      <w:r>
        <w:rPr>
          <w:rFonts w:ascii="Times New Roman" w:hAnsi="Times New Roman" w:cs="Times New Roman"/>
          <w:sz w:val="18"/>
          <w:szCs w:val="18"/>
        </w:rPr>
        <w:t>2025</w:t>
      </w:r>
      <w:r>
        <w:rPr>
          <w:rFonts w:hint="eastAsia"/>
          <w:sz w:val="18"/>
          <w:szCs w:val="18"/>
        </w:rPr>
        <w:t>-</w:t>
      </w:r>
      <w:r>
        <w:rPr>
          <w:rFonts w:ascii="Times New Roman" w:hAnsi="Times New Roman" w:cs="Times New Roman"/>
          <w:sz w:val="18"/>
          <w:szCs w:val="18"/>
        </w:rPr>
        <w:t>007</w:t>
      </w:r>
      <w:r>
        <w:rPr>
          <w:rFonts w:hint="eastAsia"/>
          <w:sz w:val="18"/>
          <w:szCs w:val="18"/>
        </w:rPr>
        <w:t>）、《关于向特定对象发行股票的审核问询函及募集说明书等申请文件更新的提示性公告》（公告编号：</w:t>
      </w:r>
      <w:r>
        <w:rPr>
          <w:rFonts w:ascii="Times New Roman" w:hAnsi="Times New Roman" w:cs="Times New Roman"/>
          <w:sz w:val="18"/>
          <w:szCs w:val="18"/>
        </w:rPr>
        <w:t>2025</w:t>
      </w:r>
      <w:r>
        <w:rPr>
          <w:rFonts w:hint="eastAsia"/>
          <w:sz w:val="18"/>
          <w:szCs w:val="18"/>
        </w:rPr>
        <w:t>-</w:t>
      </w:r>
      <w:r>
        <w:rPr>
          <w:rFonts w:ascii="Times New Roman" w:hAnsi="Times New Roman" w:cs="Times New Roman"/>
          <w:sz w:val="18"/>
          <w:szCs w:val="18"/>
        </w:rPr>
        <w:t>017</w:t>
      </w:r>
      <w:r>
        <w:rPr>
          <w:rFonts w:hint="eastAsia"/>
          <w:sz w:val="18"/>
          <w:szCs w:val="18"/>
        </w:rPr>
        <w:t>）、《关于公司终止向特定对象发行股票事项并撤回申请文件的公告》（公告编号：</w:t>
      </w:r>
      <w:r>
        <w:rPr>
          <w:rFonts w:ascii="Times New Roman" w:hAnsi="Times New Roman" w:cs="Times New Roman"/>
          <w:sz w:val="18"/>
          <w:szCs w:val="18"/>
        </w:rPr>
        <w:t>2025</w:t>
      </w:r>
      <w:r>
        <w:rPr>
          <w:rFonts w:hint="eastAsia"/>
          <w:sz w:val="18"/>
          <w:szCs w:val="18"/>
        </w:rPr>
        <w:t>-</w:t>
      </w:r>
      <w:r>
        <w:rPr>
          <w:rFonts w:ascii="Times New Roman" w:hAnsi="Times New Roman" w:cs="Times New Roman"/>
          <w:sz w:val="18"/>
          <w:szCs w:val="18"/>
        </w:rPr>
        <w:t>045</w:t>
      </w:r>
      <w:r>
        <w:rPr>
          <w:rFonts w:hint="eastAsia"/>
          <w:sz w:val="18"/>
          <w:szCs w:val="18"/>
        </w:rPr>
        <w:t>）、《关于收到深圳证券交易所〈关于终止对冠昊生物科技股份有限公司申请向特定对象发行股票审核的决定〉的公告》（公告编号：</w:t>
      </w:r>
      <w:r>
        <w:rPr>
          <w:rFonts w:ascii="Times New Roman" w:hAnsi="Times New Roman" w:cs="Times New Roman"/>
          <w:sz w:val="18"/>
          <w:szCs w:val="18"/>
        </w:rPr>
        <w:t>2025</w:t>
      </w:r>
      <w:r>
        <w:rPr>
          <w:rFonts w:hint="eastAsia"/>
          <w:sz w:val="18"/>
          <w:szCs w:val="18"/>
        </w:rPr>
        <w:t>-</w:t>
      </w:r>
      <w:r>
        <w:rPr>
          <w:rFonts w:ascii="Times New Roman" w:hAnsi="Times New Roman" w:cs="Times New Roman"/>
          <w:sz w:val="18"/>
          <w:szCs w:val="18"/>
        </w:rPr>
        <w:t>047</w:t>
      </w:r>
      <w:r>
        <w:rPr>
          <w:rFonts w:hint="eastAsia"/>
          <w:sz w:val="18"/>
          <w:szCs w:val="18"/>
        </w:rPr>
        <w:t>）等相关公告。</w:t>
      </w:r>
    </w:p>
    <w:bookmarkEnd w:id="13"/>
    <w:p w14:paraId="3ABDF111">
      <w:pPr>
        <w:pStyle w:val="6"/>
        <w:spacing w:before="0" w:beforeAutospacing="0" w:after="0" w:afterAutospacing="0"/>
        <w:ind w:firstLine="360" w:firstLineChars="200"/>
        <w:rPr>
          <w:rFonts w:hint="eastAsia"/>
        </w:rPr>
      </w:pPr>
      <w:r>
        <w:rPr>
          <w:rFonts w:ascii="Times New Roman" w:hAnsi="Times New Roman" w:cs="Times New Roman"/>
          <w:sz w:val="18"/>
          <w:szCs w:val="18"/>
        </w:rPr>
        <w:t>3</w:t>
      </w:r>
      <w:r>
        <w:rPr>
          <w:rFonts w:hint="eastAsia"/>
          <w:sz w:val="18"/>
          <w:szCs w:val="18"/>
        </w:rPr>
        <w:t>、公司于</w:t>
      </w:r>
      <w:r>
        <w:rPr>
          <w:rFonts w:ascii="Times New Roman" w:hAnsi="Times New Roman" w:cs="Times New Roman"/>
          <w:sz w:val="18"/>
          <w:szCs w:val="18"/>
        </w:rPr>
        <w:t>2026</w:t>
      </w:r>
      <w:r>
        <w:rPr>
          <w:rFonts w:hint="eastAsia"/>
          <w:sz w:val="18"/>
          <w:szCs w:val="18"/>
        </w:rPr>
        <w:t>年</w:t>
      </w:r>
      <w:r>
        <w:rPr>
          <w:rFonts w:ascii="Times New Roman" w:hAnsi="Times New Roman" w:cs="Times New Roman"/>
          <w:sz w:val="18"/>
          <w:szCs w:val="18"/>
        </w:rPr>
        <w:t>3</w:t>
      </w:r>
      <w:r>
        <w:rPr>
          <w:rFonts w:hint="eastAsia"/>
          <w:sz w:val="18"/>
          <w:szCs w:val="18"/>
        </w:rPr>
        <w:t>月</w:t>
      </w:r>
      <w:r>
        <w:rPr>
          <w:rFonts w:ascii="Times New Roman" w:hAnsi="Times New Roman" w:cs="Times New Roman"/>
          <w:sz w:val="18"/>
          <w:szCs w:val="18"/>
        </w:rPr>
        <w:t>13</w:t>
      </w:r>
      <w:r>
        <w:rPr>
          <w:rFonts w:hint="eastAsia"/>
          <w:sz w:val="18"/>
          <w:szCs w:val="18"/>
        </w:rPr>
        <w:t>日在巨潮资讯网上披露了《关于补缴税款的公告》（公告编号：</w:t>
      </w:r>
      <w:r>
        <w:rPr>
          <w:rFonts w:ascii="Times New Roman" w:hAnsi="Times New Roman" w:cs="Times New Roman"/>
          <w:sz w:val="18"/>
          <w:szCs w:val="18"/>
        </w:rPr>
        <w:t>2026</w:t>
      </w:r>
      <w:r>
        <w:rPr>
          <w:rFonts w:hint="eastAsia"/>
          <w:sz w:val="18"/>
          <w:szCs w:val="18"/>
        </w:rPr>
        <w:t>-</w:t>
      </w:r>
      <w:r>
        <w:rPr>
          <w:rFonts w:ascii="Times New Roman" w:hAnsi="Times New Roman" w:cs="Times New Roman"/>
          <w:sz w:val="18"/>
          <w:szCs w:val="18"/>
        </w:rPr>
        <w:t>002</w:t>
      </w:r>
      <w:r>
        <w:rPr>
          <w:rFonts w:hint="eastAsia"/>
          <w:sz w:val="18"/>
          <w:szCs w:val="18"/>
        </w:rPr>
        <w:t>）。</w:t>
      </w:r>
    </w:p>
    <w:sectPr>
      <w:headerReference r:id="rId5" w:type="default"/>
      <w:footerReference r:id="rId6" w:type="default"/>
      <w:pgSz w:w="11905" w:h="16840"/>
      <w:pgMar w:top="1440" w:right="1134" w:bottom="1440" w:left="1134" w:header="850"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5D81C">
    <w:pPr>
      <w:pStyle w:val="12"/>
      <w:rPr>
        <w:rFonts w:hint="eastAsia"/>
      </w:rPr>
    </w:pPr>
    <w:r>
      <w:fldChar w:fldCharType="begin"/>
    </w:r>
    <w:r>
      <w:instrText xml:space="preserve">PAGE   \* MERGEFORMAT</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E3CF2">
    <w:pPr>
      <w:pStyle w:val="10"/>
      <w:pBdr>
        <w:bottom w:val="single" w:color="auto" w:sz="6" w:space="1"/>
      </w:pBdr>
      <w:rPr>
        <w:rFonts w:hint="eastAsia"/>
      </w:rPr>
    </w:pPr>
    <w:r>
      <w:t>冠昊生物科技股份有限公司2025年年度报告摘要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90548"/>
    <w:multiLevelType w:val="singleLevel"/>
    <w:tmpl w:val="0489054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26"/>
    <w:rsid w:val="00043D22"/>
    <w:rsid w:val="00072144"/>
    <w:rsid w:val="00163226"/>
    <w:rsid w:val="004F4F41"/>
    <w:rsid w:val="007410AB"/>
    <w:rsid w:val="00B225E3"/>
    <w:rsid w:val="00B55137"/>
    <w:rsid w:val="00F156E0"/>
    <w:rsid w:val="06FF32EE"/>
    <w:rsid w:val="0D5545BA"/>
    <w:rsid w:val="2ECD098E"/>
    <w:rsid w:val="3D52049C"/>
    <w:rsid w:val="3DF51E5E"/>
    <w:rsid w:val="410671A9"/>
    <w:rsid w:val="553B583D"/>
    <w:rsid w:val="60692364"/>
    <w:rsid w:val="6215745A"/>
    <w:rsid w:val="78A86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2"/>
    <w:basedOn w:val="1"/>
    <w:next w:val="1"/>
    <w:unhideWhenUsed/>
    <w:qFormat/>
    <w:uiPriority w:val="9"/>
    <w:pPr>
      <w:keepNext/>
      <w:keepLines/>
      <w:spacing w:before="156" w:after="156" w:line="240" w:lineRule="auto"/>
      <w:outlineLvl w:val="1"/>
    </w:pPr>
    <w:rPr>
      <w:sz w:val="21"/>
      <w:szCs w:val="21"/>
    </w:rPr>
  </w:style>
  <w:style w:type="paragraph" w:styleId="3">
    <w:name w:val="heading 3"/>
    <w:basedOn w:val="1"/>
    <w:next w:val="1"/>
    <w:unhideWhenUsed/>
    <w:qFormat/>
    <w:uiPriority w:val="9"/>
    <w:pPr>
      <w:keepNext/>
      <w:keepLines/>
      <w:spacing w:before="300" w:after="300" w:line="241" w:lineRule="auto"/>
      <w:jc w:val="both"/>
      <w:outlineLvl w:val="2"/>
    </w:pPr>
    <w:rPr>
      <w:rFonts w:eastAsia="宋体"/>
      <w:sz w:val="21"/>
      <w:szCs w:val="21"/>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toc 1"/>
    <w:basedOn w:val="1"/>
    <w:next w:val="1"/>
    <w:autoRedefine/>
    <w:qFormat/>
    <w:uiPriority w:val="39"/>
  </w:style>
  <w:style w:type="paragraph" w:styleId="5">
    <w:name w:val="toc 2"/>
    <w:basedOn w:val="1"/>
    <w:next w:val="1"/>
    <w:autoRedefine/>
    <w:unhideWhenUsed/>
    <w:qFormat/>
    <w:uiPriority w:val="39"/>
    <w:pPr>
      <w:ind w:left="420" w:leftChars="200"/>
    </w:pPr>
  </w:style>
  <w:style w:type="paragraph" w:styleId="6">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character" w:styleId="9">
    <w:name w:val="Strong"/>
    <w:basedOn w:val="8"/>
    <w:qFormat/>
    <w:uiPriority w:val="22"/>
    <w:rPr>
      <w:b/>
      <w:bCs/>
    </w:rPr>
  </w:style>
  <w:style w:type="paragraph" w:customStyle="1" w:styleId="10">
    <w:name w:val="Header 1"/>
    <w:qFormat/>
    <w:uiPriority w:val="0"/>
    <w:pPr>
      <w:spacing w:after="160" w:line="278" w:lineRule="auto"/>
      <w:jc w:val="right"/>
    </w:pPr>
    <w:rPr>
      <w:rFonts w:ascii="宋体" w:eastAsia="宋体" w:hAnsiTheme="minorHAnsi" w:cstheme="minorBidi"/>
      <w:kern w:val="2"/>
      <w:sz w:val="18"/>
      <w:szCs w:val="18"/>
      <w:lang w:val="en-US" w:eastAsia="zh-CN" w:bidi="ar-SA"/>
      <w14:ligatures w14:val="standardContextual"/>
    </w:rPr>
  </w:style>
  <w:style w:type="paragraph" w:customStyle="1" w:styleId="11">
    <w:name w:val="heading h1"/>
    <w:basedOn w:val="1"/>
    <w:next w:val="1"/>
    <w:qFormat/>
    <w:uiPriority w:val="9"/>
    <w:pPr>
      <w:keepNext/>
      <w:keepLines/>
      <w:spacing w:before="240" w:after="240" w:line="578" w:lineRule="auto"/>
      <w:outlineLvl w:val="0"/>
    </w:pPr>
    <w:rPr>
      <w:kern w:val="44"/>
      <w:sz w:val="44"/>
      <w:szCs w:val="44"/>
    </w:rPr>
  </w:style>
  <w:style w:type="paragraph" w:customStyle="1" w:styleId="12">
    <w:name w:val="fotter 1"/>
    <w:qFormat/>
    <w:uiPriority w:val="0"/>
    <w:pPr>
      <w:spacing w:after="160" w:line="278" w:lineRule="auto"/>
      <w:jc w:val="right"/>
    </w:pPr>
    <w:rPr>
      <w:rFonts w:ascii="宋体" w:eastAsia="宋体" w:hAnsiTheme="minorHAnsi" w:cstheme="minorBidi"/>
      <w:kern w:val="2"/>
      <w:sz w:val="18"/>
      <w:szCs w:val="18"/>
      <w:lang w:val="en-US" w:eastAsia="zh-CN" w:bidi="ar-SA"/>
      <w14:ligatures w14:val="standardContextual"/>
    </w:rPr>
  </w:style>
  <w:style w:type="paragraph" w:customStyle="1" w:styleId="13">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5</Pages>
  <Words>2516</Words>
  <Characters>2747</Characters>
  <Lines>235</Lines>
  <Paragraphs>298</Paragraphs>
  <TotalTime>1</TotalTime>
  <ScaleCrop>false</ScaleCrop>
  <LinksUpToDate>false</LinksUpToDate>
  <CharactersWithSpaces>2777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2026-03-23T10:15:00Z</dcterms:created>
  <dc:creator>Administrator</dc:creator>
  <cp:lastModifiedBy>李群</cp:lastModifiedBy>
  <dcterms:modified xsi:type="dcterms:W3CDTF">2026-03-25T06:53:28Z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eyJoZGlkIjoiYWRlOTk1ZDM4MjkzZjgxMjZiN2M3ZjNmNDQ5NGIzZGYiLCJ1c2VySWQiOiIzNDI3ODI2OTEifQ==</vt:lpwstr>
  </property>
  <property fmtid="{D5CDD505-2E9C-101B-9397-08002B2CF9AE}" pid="3" name="KSOProductBuildVer">
    <vt:lpwstr>2052-12.1.0.25225</vt:lpwstr>
  </property>
  <property fmtid="{D5CDD505-2E9C-101B-9397-08002B2CF9AE}" pid="4" name="ICV">
    <vt:lpwstr>BBBA98154D8C486B9E9536CB09E7AFFF_12</vt:lpwstr>
  </property>
</Properties>
</file>