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96C5B">
      <w:pPr>
        <w:spacing w:before="157" w:beforeLines="50" w:line="500" w:lineRule="atLeast"/>
        <w:jc w:val="center"/>
        <w:rPr>
          <w:rFonts w:ascii="黑体" w:hAnsi="黑体" w:eastAsia="黑体"/>
          <w:sz w:val="30"/>
          <w:szCs w:val="30"/>
        </w:rPr>
      </w:pPr>
      <w:r>
        <w:rPr>
          <w:rFonts w:ascii="黑体" w:hAnsi="黑体" w:eastAsia="黑体"/>
          <w:sz w:val="30"/>
          <w:szCs w:val="30"/>
        </w:rPr>
        <w:t>冠昊生物科技股份有限公司</w:t>
      </w:r>
    </w:p>
    <w:p w14:paraId="00F470E2">
      <w:pPr>
        <w:spacing w:before="157" w:beforeLines="50" w:line="500" w:lineRule="atLeast"/>
        <w:jc w:val="center"/>
        <w:rPr>
          <w:rFonts w:ascii="黑体" w:hAnsi="黑体" w:eastAsia="黑体"/>
          <w:sz w:val="30"/>
          <w:szCs w:val="30"/>
        </w:rPr>
      </w:pPr>
      <w:r>
        <w:rPr>
          <w:rFonts w:ascii="黑体" w:hAnsi="黑体" w:eastAsia="黑体"/>
          <w:sz w:val="30"/>
          <w:szCs w:val="30"/>
        </w:rPr>
        <w:t>对外报送信息管理制度</w:t>
      </w:r>
    </w:p>
    <w:p w14:paraId="35007858">
      <w:pPr>
        <w:pStyle w:val="9"/>
        <w:numPr>
          <w:ilvl w:val="0"/>
          <w:numId w:val="1"/>
        </w:numPr>
        <w:spacing w:before="157" w:beforeLines="50" w:line="500" w:lineRule="atLeast"/>
        <w:ind w:left="0" w:firstLine="480"/>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为规范冠昊生物科技股份有限公司(以下简称“公司”)对外报送信息及外部信息使用人使用公司信息的行为，加强内幕信息的保密工作,以维护信息披露的公平,依据《公司法》《证券法》</w:t>
      </w:r>
      <w:r>
        <w:rPr>
          <w:rFonts w:hint="eastAsia" w:ascii="宋体" w:hAnsi="宋体" w:eastAsia="宋体"/>
          <w:sz w:val="24"/>
          <w:szCs w:val="24"/>
        </w:rPr>
        <w:t>《上市公司信息披露管理办法》《深圳证券交易所创业板股票上市规则》《深圳证券交易所上市公司自律监管指引第</w:t>
      </w:r>
      <w:r>
        <w:rPr>
          <w:rFonts w:hint="default" w:ascii="Times New Roman" w:hAnsi="Times New Roman" w:eastAsia="宋体" w:cs="Times New Roman"/>
          <w:sz w:val="24"/>
          <w:szCs w:val="24"/>
        </w:rPr>
        <w:t>2</w:t>
      </w:r>
      <w:r>
        <w:rPr>
          <w:rFonts w:hint="eastAsia" w:ascii="宋体" w:hAnsi="宋体" w:eastAsia="宋体"/>
          <w:sz w:val="24"/>
          <w:szCs w:val="24"/>
        </w:rPr>
        <w:t>号——创业板上市公司规范运作》等法律法规</w:t>
      </w:r>
      <w:r>
        <w:rPr>
          <w:rFonts w:ascii="宋体" w:hAnsi="宋体" w:eastAsia="宋体"/>
          <w:sz w:val="24"/>
          <w:szCs w:val="24"/>
        </w:rPr>
        <w:t>、</w:t>
      </w:r>
      <w:r>
        <w:rPr>
          <w:rFonts w:hint="eastAsia" w:ascii="宋体" w:hAnsi="宋体" w:eastAsia="宋体"/>
          <w:sz w:val="24"/>
          <w:szCs w:val="24"/>
          <w:lang w:val="en-US" w:eastAsia="zh-CN"/>
        </w:rPr>
        <w:t>规范性文件</w:t>
      </w:r>
      <w:r>
        <w:rPr>
          <w:rFonts w:ascii="宋体" w:hAnsi="宋体" w:eastAsia="宋体"/>
          <w:sz w:val="24"/>
          <w:szCs w:val="24"/>
        </w:rPr>
        <w:t>以及《公司章程》等有关规定，制定本制度。</w:t>
      </w:r>
    </w:p>
    <w:p w14:paraId="4340773C">
      <w:pPr>
        <w:pStyle w:val="9"/>
        <w:numPr>
          <w:ilvl w:val="0"/>
          <w:numId w:val="1"/>
        </w:numPr>
        <w:spacing w:before="157" w:beforeLines="50" w:line="500" w:lineRule="atLeast"/>
        <w:ind w:left="0" w:firstLine="480"/>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本制度适用于公司</w:t>
      </w:r>
      <w:r>
        <w:rPr>
          <w:rFonts w:hint="eastAsia" w:ascii="宋体" w:hAnsi="宋体" w:eastAsia="宋体"/>
          <w:sz w:val="24"/>
          <w:szCs w:val="24"/>
        </w:rPr>
        <w:t>各部门、各子公司</w:t>
      </w:r>
      <w:r>
        <w:rPr>
          <w:rFonts w:hint="eastAsia" w:ascii="宋体" w:hAnsi="宋体" w:eastAsia="宋体"/>
          <w:sz w:val="24"/>
          <w:szCs w:val="24"/>
          <w:lang w:val="en-US" w:eastAsia="zh-CN"/>
        </w:rPr>
        <w:t>及</w:t>
      </w:r>
      <w:r>
        <w:rPr>
          <w:rFonts w:hint="eastAsia" w:ascii="宋体" w:hAnsi="宋体" w:eastAsia="宋体"/>
          <w:sz w:val="24"/>
          <w:szCs w:val="24"/>
        </w:rPr>
        <w:t>分公司</w:t>
      </w:r>
      <w:r>
        <w:rPr>
          <w:rFonts w:ascii="宋体" w:hAnsi="宋体" w:eastAsia="宋体"/>
          <w:sz w:val="24"/>
          <w:szCs w:val="24"/>
        </w:rPr>
        <w:t xml:space="preserve">。 </w:t>
      </w:r>
    </w:p>
    <w:p w14:paraId="071E30C7">
      <w:pPr>
        <w:pStyle w:val="9"/>
        <w:numPr>
          <w:ilvl w:val="0"/>
          <w:numId w:val="1"/>
        </w:numPr>
        <w:spacing w:before="157" w:beforeLines="50" w:line="500" w:lineRule="atLeast"/>
        <w:ind w:left="0" w:firstLine="480"/>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本制度所称信息，是指所有对公司股票</w:t>
      </w:r>
      <w:r>
        <w:rPr>
          <w:rFonts w:hint="eastAsia" w:ascii="宋体" w:hAnsi="宋体" w:eastAsia="宋体"/>
          <w:sz w:val="24"/>
          <w:szCs w:val="24"/>
        </w:rPr>
        <w:t>及其衍生品种的</w:t>
      </w:r>
      <w:r>
        <w:rPr>
          <w:rFonts w:ascii="宋体" w:hAnsi="宋体" w:eastAsia="宋体"/>
          <w:sz w:val="24"/>
          <w:szCs w:val="24"/>
        </w:rPr>
        <w:t>交易价格可能产生影响的</w:t>
      </w:r>
      <w:r>
        <w:rPr>
          <w:rFonts w:hint="eastAsia" w:ascii="宋体" w:hAnsi="宋体" w:eastAsia="宋体"/>
          <w:sz w:val="24"/>
          <w:szCs w:val="24"/>
        </w:rPr>
        <w:t>、准备公开但尚未以合法方式公开</w:t>
      </w:r>
      <w:r>
        <w:rPr>
          <w:rFonts w:hint="eastAsia" w:ascii="宋体" w:hAnsi="宋体" w:eastAsia="宋体"/>
          <w:sz w:val="24"/>
          <w:szCs w:val="24"/>
          <w:lang w:eastAsia="zh-CN"/>
        </w:rPr>
        <w:t>的</w:t>
      </w:r>
      <w:r>
        <w:rPr>
          <w:rFonts w:ascii="宋体" w:hAnsi="宋体" w:eastAsia="宋体"/>
          <w:sz w:val="24"/>
          <w:szCs w:val="24"/>
        </w:rPr>
        <w:t>信息</w:t>
      </w:r>
      <w:r>
        <w:rPr>
          <w:rFonts w:hint="eastAsia" w:ascii="宋体" w:hAnsi="宋体" w:eastAsia="宋体"/>
          <w:sz w:val="24"/>
          <w:szCs w:val="24"/>
        </w:rPr>
        <w:t>，</w:t>
      </w:r>
      <w:r>
        <w:rPr>
          <w:rFonts w:ascii="宋体" w:hAnsi="宋体" w:eastAsia="宋体"/>
          <w:sz w:val="24"/>
          <w:szCs w:val="24"/>
        </w:rPr>
        <w:t>包括但不限于定期报告</w:t>
      </w:r>
      <w:r>
        <w:rPr>
          <w:rFonts w:hint="eastAsia" w:ascii="宋体" w:hAnsi="宋体" w:eastAsia="宋体"/>
          <w:sz w:val="24"/>
          <w:szCs w:val="24"/>
        </w:rPr>
        <w:t>、</w:t>
      </w:r>
      <w:r>
        <w:rPr>
          <w:rFonts w:ascii="宋体" w:hAnsi="宋体" w:eastAsia="宋体"/>
          <w:sz w:val="24"/>
          <w:szCs w:val="24"/>
        </w:rPr>
        <w:t>临时公告</w:t>
      </w:r>
      <w:r>
        <w:rPr>
          <w:rFonts w:hint="eastAsia" w:ascii="宋体" w:hAnsi="宋体" w:eastAsia="宋体"/>
          <w:sz w:val="24"/>
          <w:szCs w:val="24"/>
        </w:rPr>
        <w:t>、</w:t>
      </w:r>
      <w:r>
        <w:rPr>
          <w:rFonts w:hint="eastAsia" w:ascii="宋体" w:hAnsi="宋体" w:eastAsia="宋体"/>
          <w:sz w:val="24"/>
          <w:szCs w:val="24"/>
          <w:lang w:val="en-US" w:eastAsia="zh-CN"/>
        </w:rPr>
        <w:t>业绩预告、业绩快报、</w:t>
      </w:r>
      <w:r>
        <w:rPr>
          <w:rFonts w:ascii="宋体" w:hAnsi="宋体" w:eastAsia="宋体"/>
          <w:sz w:val="24"/>
          <w:szCs w:val="24"/>
        </w:rPr>
        <w:t>财务</w:t>
      </w:r>
      <w:r>
        <w:rPr>
          <w:rFonts w:hint="eastAsia" w:ascii="宋体" w:hAnsi="宋体" w:eastAsia="宋体"/>
          <w:sz w:val="24"/>
          <w:szCs w:val="24"/>
          <w:lang w:val="en-US" w:eastAsia="zh-CN"/>
        </w:rPr>
        <w:t>数据</w:t>
      </w:r>
      <w:r>
        <w:rPr>
          <w:rFonts w:ascii="宋体" w:hAnsi="宋体" w:eastAsia="宋体"/>
          <w:sz w:val="24"/>
          <w:szCs w:val="24"/>
        </w:rPr>
        <w:t>、统计数据、需报批的重大事项等</w:t>
      </w:r>
      <w:r>
        <w:rPr>
          <w:rFonts w:hint="eastAsia" w:ascii="宋体" w:hAnsi="宋体" w:eastAsia="宋体"/>
          <w:sz w:val="24"/>
          <w:szCs w:val="24"/>
        </w:rPr>
        <w:t>。</w:t>
      </w:r>
    </w:p>
    <w:p w14:paraId="78B9007E">
      <w:pPr>
        <w:pStyle w:val="9"/>
        <w:numPr>
          <w:ilvl w:val="0"/>
          <w:numId w:val="1"/>
        </w:numPr>
        <w:spacing w:before="157" w:beforeLines="50" w:line="500" w:lineRule="atLeast"/>
        <w:ind w:left="0" w:firstLine="480"/>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公司的董事</w:t>
      </w:r>
      <w:r>
        <w:rPr>
          <w:rFonts w:hint="eastAsia" w:ascii="宋体" w:hAnsi="宋体" w:eastAsia="宋体"/>
          <w:sz w:val="24"/>
          <w:szCs w:val="24"/>
          <w:lang w:eastAsia="zh-CN"/>
        </w:rPr>
        <w:t>、</w:t>
      </w:r>
      <w:r>
        <w:rPr>
          <w:rFonts w:ascii="宋体" w:hAnsi="宋体" w:eastAsia="宋体"/>
          <w:sz w:val="24"/>
          <w:szCs w:val="24"/>
        </w:rPr>
        <w:t>高级管理人员以及外部信息使用人等任何知悉本制度第</w:t>
      </w:r>
      <w:r>
        <w:rPr>
          <w:rFonts w:hint="eastAsia" w:ascii="宋体" w:hAnsi="宋体" w:eastAsia="宋体"/>
          <w:sz w:val="24"/>
          <w:szCs w:val="24"/>
        </w:rPr>
        <w:t>三</w:t>
      </w:r>
      <w:r>
        <w:rPr>
          <w:rFonts w:ascii="宋体" w:hAnsi="宋体" w:eastAsia="宋体"/>
          <w:sz w:val="24"/>
          <w:szCs w:val="24"/>
        </w:rPr>
        <w:t>条所述信息的人员或机构，在定期报告</w:t>
      </w:r>
      <w:r>
        <w:rPr>
          <w:rFonts w:hint="eastAsia" w:ascii="宋体" w:hAnsi="宋体" w:eastAsia="宋体"/>
          <w:sz w:val="24"/>
          <w:szCs w:val="24"/>
        </w:rPr>
        <w:t>编制、</w:t>
      </w:r>
      <w:r>
        <w:rPr>
          <w:rFonts w:ascii="宋体" w:hAnsi="宋体" w:eastAsia="宋体"/>
          <w:sz w:val="24"/>
          <w:szCs w:val="24"/>
        </w:rPr>
        <w:t>公司重大事项筹划期间</w:t>
      </w:r>
      <w:r>
        <w:rPr>
          <w:rFonts w:hint="eastAsia" w:ascii="宋体" w:hAnsi="宋体" w:eastAsia="宋体"/>
          <w:sz w:val="24"/>
          <w:szCs w:val="24"/>
        </w:rPr>
        <w:t>，</w:t>
      </w:r>
      <w:r>
        <w:rPr>
          <w:rFonts w:ascii="宋体" w:hAnsi="宋体" w:eastAsia="宋体"/>
          <w:sz w:val="24"/>
          <w:szCs w:val="24"/>
        </w:rPr>
        <w:t>负有保密义务</w:t>
      </w:r>
      <w:r>
        <w:rPr>
          <w:rFonts w:hint="eastAsia" w:ascii="宋体" w:hAnsi="宋体" w:eastAsia="宋体"/>
          <w:sz w:val="24"/>
          <w:szCs w:val="24"/>
        </w:rPr>
        <w:t>。</w:t>
      </w:r>
      <w:r>
        <w:rPr>
          <w:rFonts w:ascii="宋体" w:hAnsi="宋体" w:eastAsia="宋体"/>
          <w:sz w:val="24"/>
          <w:szCs w:val="24"/>
        </w:rPr>
        <w:t>定期报告、临时报告公布前,不得以任何形式、任何途径向外界或特定人员泄</w:t>
      </w:r>
      <w:r>
        <w:rPr>
          <w:rFonts w:hint="eastAsia" w:ascii="宋体" w:hAnsi="宋体" w:eastAsia="宋体"/>
          <w:sz w:val="24"/>
          <w:szCs w:val="24"/>
          <w:lang w:val="en-US" w:eastAsia="zh-CN"/>
        </w:rPr>
        <w:t>露</w:t>
      </w:r>
      <w:r>
        <w:rPr>
          <w:rFonts w:hint="eastAsia" w:ascii="宋体" w:hAnsi="宋体" w:eastAsia="宋体"/>
          <w:sz w:val="24"/>
          <w:szCs w:val="24"/>
        </w:rPr>
        <w:t>公司</w:t>
      </w:r>
      <w:r>
        <w:rPr>
          <w:rFonts w:ascii="宋体" w:hAnsi="宋体" w:eastAsia="宋体"/>
          <w:sz w:val="24"/>
          <w:szCs w:val="24"/>
        </w:rPr>
        <w:t>定期报告、临时报告</w:t>
      </w:r>
      <w:r>
        <w:rPr>
          <w:rFonts w:hint="eastAsia" w:ascii="宋体" w:hAnsi="宋体" w:eastAsia="宋体"/>
          <w:sz w:val="24"/>
          <w:szCs w:val="24"/>
        </w:rPr>
        <w:t>的内容，包括但不限于</w:t>
      </w:r>
      <w:r>
        <w:rPr>
          <w:rFonts w:ascii="宋体" w:hAnsi="宋体" w:eastAsia="宋体"/>
          <w:sz w:val="24"/>
          <w:szCs w:val="24"/>
        </w:rPr>
        <w:t>业绩</w:t>
      </w:r>
      <w:r>
        <w:rPr>
          <w:rFonts w:hint="eastAsia" w:ascii="宋体" w:hAnsi="宋体" w:eastAsia="宋体"/>
          <w:sz w:val="24"/>
          <w:szCs w:val="24"/>
        </w:rPr>
        <w:t>说明</w:t>
      </w:r>
      <w:r>
        <w:rPr>
          <w:rFonts w:ascii="宋体" w:hAnsi="宋体" w:eastAsia="宋体"/>
          <w:sz w:val="24"/>
          <w:szCs w:val="24"/>
        </w:rPr>
        <w:t>会、分析师会议、</w:t>
      </w:r>
      <w:r>
        <w:rPr>
          <w:rFonts w:hint="eastAsia" w:ascii="宋体" w:hAnsi="宋体" w:eastAsia="宋体"/>
          <w:sz w:val="24"/>
          <w:szCs w:val="24"/>
        </w:rPr>
        <w:t>路演、</w:t>
      </w:r>
      <w:r>
        <w:rPr>
          <w:rFonts w:ascii="宋体" w:hAnsi="宋体" w:eastAsia="宋体"/>
          <w:sz w:val="24"/>
          <w:szCs w:val="24"/>
        </w:rPr>
        <w:t>接受投资者调研座谈等</w:t>
      </w:r>
      <w:r>
        <w:rPr>
          <w:rFonts w:hint="eastAsia" w:ascii="宋体" w:hAnsi="宋体" w:eastAsia="宋体"/>
          <w:sz w:val="24"/>
          <w:szCs w:val="24"/>
        </w:rPr>
        <w:t>方式。</w:t>
      </w:r>
      <w:r>
        <w:rPr>
          <w:rFonts w:ascii="宋体" w:hAnsi="宋体" w:eastAsia="宋体"/>
          <w:sz w:val="24"/>
          <w:szCs w:val="24"/>
        </w:rPr>
        <w:t xml:space="preserve"> </w:t>
      </w:r>
    </w:p>
    <w:p w14:paraId="2016CA63">
      <w:pPr>
        <w:pStyle w:val="9"/>
        <w:numPr>
          <w:ilvl w:val="0"/>
          <w:numId w:val="1"/>
        </w:numPr>
        <w:spacing w:before="157" w:beforeLines="50" w:line="500" w:lineRule="atLeast"/>
        <w:ind w:left="0" w:firstLine="480"/>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公司对外信息报送实行分级、分类管理。公司董事会是公司信息对外报送的最高管理机构，公司董事会秘书负责信息对外报送的监管工作，证券事务代表协助董事会秘书做好信息对外报送的日常管理工作，公司各归口单位或相关人员应按照本制度规定履行信息对外报送程序。</w:t>
      </w:r>
    </w:p>
    <w:p w14:paraId="013D918B">
      <w:pPr>
        <w:pStyle w:val="9"/>
        <w:numPr>
          <w:ilvl w:val="0"/>
          <w:numId w:val="1"/>
        </w:numPr>
        <w:spacing w:before="157" w:beforeLines="50" w:line="500" w:lineRule="atLeast"/>
        <w:ind w:left="0" w:firstLine="480"/>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公司的董事、高级管理人员及其他相关人员应当遵守信息披露相关</w:t>
      </w:r>
      <w:bookmarkStart w:id="0" w:name="_GoBack"/>
      <w:bookmarkEnd w:id="0"/>
      <w:r>
        <w:rPr>
          <w:rFonts w:ascii="宋体" w:hAnsi="宋体" w:eastAsia="宋体"/>
          <w:sz w:val="24"/>
          <w:szCs w:val="24"/>
        </w:rPr>
        <w:t>法律、法规、制度的要求，对公司定期报告、临时报告及重大事项按法律、法规要求履行必要的传递、审核和披露流程。</w:t>
      </w:r>
    </w:p>
    <w:p w14:paraId="2413DFB1">
      <w:pPr>
        <w:pStyle w:val="9"/>
        <w:numPr>
          <w:ilvl w:val="0"/>
          <w:numId w:val="1"/>
        </w:numPr>
        <w:spacing w:before="157" w:beforeLines="50" w:line="500" w:lineRule="atLeast"/>
        <w:ind w:left="0" w:firstLine="480"/>
        <w:rPr>
          <w:rFonts w:ascii="宋体" w:hAnsi="宋体" w:eastAsia="宋体"/>
          <w:sz w:val="24"/>
          <w:szCs w:val="24"/>
        </w:rPr>
      </w:pPr>
      <w:r>
        <w:rPr>
          <w:rFonts w:hint="eastAsia" w:ascii="宋体" w:hAnsi="宋体" w:eastAsia="宋体"/>
          <w:sz w:val="24"/>
          <w:szCs w:val="24"/>
          <w:lang w:val="en-US" w:eastAsia="zh-CN"/>
        </w:rPr>
        <w:t xml:space="preserve">  </w:t>
      </w:r>
      <w:r>
        <w:rPr>
          <w:rFonts w:ascii="宋体" w:hAnsi="宋体" w:eastAsia="宋体"/>
          <w:sz w:val="24"/>
          <w:szCs w:val="24"/>
        </w:rPr>
        <w:t>公司相关部门依据法律法规的要求在对外报送信息前，应由经办人员填写《对外信息报送审批表》</w:t>
      </w:r>
      <w:r>
        <w:rPr>
          <w:rFonts w:hint="eastAsia" w:ascii="宋体" w:hAnsi="宋体" w:eastAsia="宋体"/>
          <w:sz w:val="24"/>
          <w:szCs w:val="24"/>
        </w:rPr>
        <w:t>（</w:t>
      </w:r>
      <w:r>
        <w:rPr>
          <w:rFonts w:hint="eastAsia" w:ascii="宋体" w:hAnsi="宋体" w:eastAsia="宋体"/>
          <w:sz w:val="24"/>
          <w:szCs w:val="24"/>
          <w:lang w:val="en-US" w:eastAsia="zh-CN"/>
        </w:rPr>
        <w:t>详</w:t>
      </w:r>
      <w:r>
        <w:rPr>
          <w:rFonts w:hint="eastAsia" w:ascii="宋体" w:hAnsi="宋体" w:eastAsia="宋体"/>
          <w:sz w:val="24"/>
          <w:szCs w:val="24"/>
        </w:rPr>
        <w:t>见附件一）</w:t>
      </w:r>
      <w:r>
        <w:rPr>
          <w:rFonts w:ascii="宋体" w:hAnsi="宋体" w:eastAsia="宋体"/>
          <w:sz w:val="24"/>
          <w:szCs w:val="24"/>
        </w:rPr>
        <w:t>，经部门负责人或分管领导审批后，并由董事会秘书审核后方可对外报送。</w:t>
      </w:r>
    </w:p>
    <w:p w14:paraId="62D0DF7C">
      <w:pPr>
        <w:pStyle w:val="9"/>
        <w:numPr>
          <w:ilvl w:val="0"/>
          <w:numId w:val="1"/>
        </w:numPr>
        <w:spacing w:before="157" w:beforeLines="50" w:line="500" w:lineRule="atLeast"/>
        <w:ind w:left="0" w:firstLine="480"/>
        <w:rPr>
          <w:rFonts w:ascii="宋体" w:hAnsi="宋体" w:eastAsia="宋体"/>
          <w:sz w:val="24"/>
          <w:szCs w:val="24"/>
        </w:rPr>
      </w:pPr>
      <w:r>
        <w:rPr>
          <w:rFonts w:ascii="宋体" w:hAnsi="宋体" w:eastAsia="宋体"/>
          <w:sz w:val="24"/>
          <w:szCs w:val="24"/>
        </w:rPr>
        <w:t xml:space="preserve">  公司相关部门对外报送信息时，经办人员应向外部信息使用人提供书面的保密提示函</w:t>
      </w:r>
      <w:r>
        <w:rPr>
          <w:rFonts w:hint="eastAsia" w:ascii="宋体" w:hAnsi="宋体" w:eastAsia="宋体"/>
          <w:sz w:val="24"/>
          <w:szCs w:val="24"/>
        </w:rPr>
        <w:t>（</w:t>
      </w:r>
      <w:r>
        <w:rPr>
          <w:rFonts w:hint="eastAsia" w:ascii="宋体" w:hAnsi="宋体" w:eastAsia="宋体"/>
          <w:sz w:val="24"/>
          <w:szCs w:val="24"/>
          <w:lang w:val="en-US" w:eastAsia="zh-CN"/>
        </w:rPr>
        <w:t>详</w:t>
      </w:r>
      <w:r>
        <w:rPr>
          <w:rFonts w:hint="eastAsia" w:ascii="宋体" w:hAnsi="宋体" w:eastAsia="宋体"/>
          <w:sz w:val="24"/>
          <w:szCs w:val="24"/>
        </w:rPr>
        <w:t>见附件二）</w:t>
      </w:r>
      <w:r>
        <w:rPr>
          <w:rFonts w:ascii="宋体" w:hAnsi="宋体" w:eastAsia="宋体"/>
          <w:sz w:val="24"/>
          <w:szCs w:val="24"/>
        </w:rPr>
        <w:t>，提醒外部信息使用人履行保密义务，并要求外部信息使用人签署回执</w:t>
      </w:r>
      <w:r>
        <w:rPr>
          <w:rFonts w:hint="eastAsia" w:ascii="宋体" w:hAnsi="宋体" w:eastAsia="宋体"/>
          <w:sz w:val="24"/>
          <w:szCs w:val="24"/>
        </w:rPr>
        <w:t>（</w:t>
      </w:r>
      <w:r>
        <w:rPr>
          <w:rFonts w:hint="eastAsia" w:ascii="宋体" w:hAnsi="宋体" w:eastAsia="宋体"/>
          <w:sz w:val="24"/>
          <w:szCs w:val="24"/>
          <w:lang w:val="en-US" w:eastAsia="zh-CN"/>
        </w:rPr>
        <w:t>详</w:t>
      </w:r>
      <w:r>
        <w:rPr>
          <w:rFonts w:hint="eastAsia" w:ascii="宋体" w:hAnsi="宋体" w:eastAsia="宋体"/>
          <w:sz w:val="24"/>
          <w:szCs w:val="24"/>
        </w:rPr>
        <w:t>见附件三）</w:t>
      </w:r>
      <w:r>
        <w:rPr>
          <w:rFonts w:ascii="宋体" w:hAnsi="宋体" w:eastAsia="宋体"/>
          <w:sz w:val="24"/>
          <w:szCs w:val="24"/>
        </w:rPr>
        <w:t>，回执中应列明外部信息使用的情况。除按照国家有关法律法规要求必须报送之外，公司不得向股东、实际控制人、政府有关部门等外部单位或个人提供未公开的重大信息</w:t>
      </w:r>
      <w:r>
        <w:rPr>
          <w:rFonts w:hint="eastAsia" w:ascii="宋体" w:hAnsi="宋体" w:eastAsia="宋体"/>
          <w:sz w:val="24"/>
          <w:szCs w:val="24"/>
          <w:lang w:eastAsia="zh-CN"/>
        </w:rPr>
        <w:t>。</w:t>
      </w:r>
      <w:r>
        <w:rPr>
          <w:rFonts w:ascii="宋体" w:hAnsi="宋体" w:eastAsia="宋体"/>
          <w:sz w:val="24"/>
          <w:szCs w:val="24"/>
        </w:rPr>
        <w:t>对于无法律法规依据的报送要求，公司应当拒绝。</w:t>
      </w:r>
    </w:p>
    <w:p w14:paraId="15B9580E">
      <w:pPr>
        <w:pStyle w:val="9"/>
        <w:numPr>
          <w:ilvl w:val="0"/>
          <w:numId w:val="1"/>
        </w:numPr>
        <w:spacing w:before="157" w:beforeLines="50" w:line="500" w:lineRule="atLeast"/>
        <w:ind w:left="0" w:firstLine="480"/>
        <w:rPr>
          <w:rFonts w:ascii="宋体" w:hAnsi="宋体" w:eastAsia="宋体"/>
          <w:sz w:val="24"/>
          <w:szCs w:val="24"/>
        </w:rPr>
      </w:pPr>
      <w:r>
        <w:rPr>
          <w:rFonts w:ascii="宋体" w:hAnsi="宋体" w:eastAsia="宋体"/>
          <w:sz w:val="24"/>
          <w:szCs w:val="24"/>
        </w:rPr>
        <w:t xml:space="preserve">  公司相关部门对外报送信息后，应将回执复印件留存备查，原件交由董事会办公室存档。董事会办公室应当对外部信息使用进行详细记录，记录的内容包括但不限于对外部信息使用人的报送依据、报送对象、报送信息的类别、报送时间、业绩快报披露情况、对外部信息使用人保密义务的书面提醒情况等。</w:t>
      </w:r>
    </w:p>
    <w:p w14:paraId="32BDFE23">
      <w:pPr>
        <w:pStyle w:val="9"/>
        <w:numPr>
          <w:ilvl w:val="0"/>
          <w:numId w:val="1"/>
        </w:numPr>
        <w:spacing w:before="157" w:beforeLines="50" w:line="500" w:lineRule="atLeast"/>
        <w:ind w:left="0" w:firstLine="480"/>
        <w:rPr>
          <w:rFonts w:ascii="宋体" w:hAnsi="宋体" w:eastAsia="宋体"/>
          <w:sz w:val="24"/>
          <w:szCs w:val="24"/>
        </w:rPr>
      </w:pPr>
      <w:r>
        <w:rPr>
          <w:rFonts w:ascii="宋体" w:hAnsi="宋体" w:eastAsia="宋体"/>
          <w:sz w:val="24"/>
          <w:szCs w:val="24"/>
        </w:rPr>
        <w:t xml:space="preserve">  公司依据法律法规的规定向特定的外部信息使用人报送定期报告相关信息的，提供时间不得早于公司业绩快报或业绩预告的披露时间，业绩快报或业绩预告的披露内容不得少于向外部信息使用人提供的信息内容。</w:t>
      </w:r>
    </w:p>
    <w:p w14:paraId="43FA80DB">
      <w:pPr>
        <w:pStyle w:val="9"/>
        <w:numPr>
          <w:ilvl w:val="0"/>
          <w:numId w:val="1"/>
        </w:numPr>
        <w:spacing w:before="157" w:beforeLines="50" w:line="500" w:lineRule="atLeast"/>
        <w:ind w:left="0" w:firstLine="480"/>
        <w:rPr>
          <w:rFonts w:ascii="宋体" w:hAnsi="宋体" w:eastAsia="宋体"/>
          <w:sz w:val="24"/>
          <w:szCs w:val="24"/>
        </w:rPr>
      </w:pPr>
      <w:r>
        <w:rPr>
          <w:rFonts w:ascii="宋体" w:hAnsi="宋体" w:eastAsia="宋体"/>
          <w:sz w:val="24"/>
          <w:szCs w:val="24"/>
        </w:rPr>
        <w:t xml:space="preserve">  公司应当对当年对外报送信息的情况进行梳理，须补充披露的应予以披露。</w:t>
      </w:r>
    </w:p>
    <w:p w14:paraId="006A488F">
      <w:pPr>
        <w:pStyle w:val="9"/>
        <w:numPr>
          <w:ilvl w:val="0"/>
          <w:numId w:val="1"/>
        </w:numPr>
        <w:spacing w:before="157" w:beforeLines="50" w:line="500" w:lineRule="atLeast"/>
        <w:ind w:left="0" w:firstLine="480"/>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公司各部门及相关人员应严格执行本制度的相关条款，同时督促外部信息使用人遵守本制度的相关条款。如违反本制度及相关规定使用公司报送信息</w:t>
      </w:r>
      <w:r>
        <w:rPr>
          <w:rFonts w:hint="eastAsia" w:ascii="宋体" w:hAnsi="宋体" w:eastAsia="宋体"/>
          <w:sz w:val="24"/>
          <w:szCs w:val="24"/>
          <w:lang w:eastAsia="zh-CN"/>
        </w:rPr>
        <w:t>，</w:t>
      </w:r>
      <w:r>
        <w:rPr>
          <w:rFonts w:ascii="宋体" w:hAnsi="宋体" w:eastAsia="宋体"/>
          <w:sz w:val="24"/>
          <w:szCs w:val="24"/>
        </w:rPr>
        <w:t>致使公司遭受经济损失的,公司将依法要求其承担赔偿责任；如利用所获取的未公开信息买卖公司股票或建议他人买卖公司股票的,公司将依法收回其所得的收益；如涉嫌犯罪的,将移送司法机关处理。</w:t>
      </w:r>
    </w:p>
    <w:p w14:paraId="5EB12299">
      <w:pPr>
        <w:pStyle w:val="9"/>
        <w:numPr>
          <w:ilvl w:val="0"/>
          <w:numId w:val="1"/>
        </w:numPr>
        <w:spacing w:before="157" w:beforeLines="50" w:line="500" w:lineRule="atLeast"/>
        <w:ind w:left="0" w:firstLine="480"/>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公司应当对知悉公司定期报告、业绩预告和业绩快报以及其他重大事项相关内容的外部信息使用人，在定期报告公告前</w:t>
      </w:r>
      <w:r>
        <w:rPr>
          <w:rFonts w:hint="default" w:ascii="Times New Roman" w:hAnsi="Times New Roman" w:eastAsia="宋体" w:cs="Times New Roman"/>
          <w:sz w:val="24"/>
          <w:szCs w:val="24"/>
          <w:lang w:val="en-US" w:eastAsia="zh-CN"/>
        </w:rPr>
        <w:t>15</w:t>
      </w:r>
      <w:r>
        <w:rPr>
          <w:rFonts w:ascii="宋体" w:hAnsi="宋体" w:eastAsia="宋体"/>
          <w:sz w:val="24"/>
          <w:szCs w:val="24"/>
        </w:rPr>
        <w:t>日内，业绩预告和业绩快报公告前</w:t>
      </w:r>
      <w:r>
        <w:rPr>
          <w:rFonts w:hint="default" w:ascii="Times New Roman" w:hAnsi="Times New Roman" w:eastAsia="宋体" w:cs="Times New Roman"/>
          <w:sz w:val="24"/>
          <w:szCs w:val="24"/>
          <w:lang w:val="en-US" w:eastAsia="zh-CN"/>
        </w:rPr>
        <w:t>5</w:t>
      </w:r>
      <w:r>
        <w:rPr>
          <w:rFonts w:ascii="宋体" w:hAnsi="宋体" w:eastAsia="宋体"/>
          <w:sz w:val="24"/>
          <w:szCs w:val="24"/>
        </w:rPr>
        <w:t>日内以及其他重大事项披露期间等敏感期内买卖公司股票的情况进行自查。</w:t>
      </w:r>
    </w:p>
    <w:p w14:paraId="338E7EF8">
      <w:pPr>
        <w:pStyle w:val="9"/>
        <w:numPr>
          <w:ilvl w:val="0"/>
          <w:numId w:val="1"/>
        </w:numPr>
        <w:spacing w:before="157" w:beforeLines="50" w:line="500" w:lineRule="atLeast"/>
        <w:ind w:left="0" w:firstLine="480"/>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如果外部信息使用人向他人披露或泄露信息，或利用</w:t>
      </w:r>
      <w:r>
        <w:rPr>
          <w:rFonts w:hint="eastAsia" w:ascii="宋体" w:hAnsi="宋体" w:eastAsia="宋体"/>
          <w:sz w:val="24"/>
          <w:szCs w:val="24"/>
        </w:rPr>
        <w:t>所获取的未公开</w:t>
      </w:r>
      <w:r>
        <w:rPr>
          <w:rFonts w:ascii="宋体" w:hAnsi="宋体" w:eastAsia="宋体"/>
          <w:sz w:val="24"/>
          <w:szCs w:val="24"/>
        </w:rPr>
        <w:t>信息买卖或建议他人买卖公司股票</w:t>
      </w:r>
      <w:r>
        <w:rPr>
          <w:rFonts w:hint="eastAsia" w:ascii="宋体" w:hAnsi="宋体" w:eastAsia="宋体"/>
          <w:sz w:val="24"/>
          <w:szCs w:val="24"/>
        </w:rPr>
        <w:t>及其衍生品种的</w:t>
      </w:r>
      <w:r>
        <w:rPr>
          <w:rFonts w:ascii="宋体" w:hAnsi="宋体" w:eastAsia="宋体"/>
          <w:sz w:val="24"/>
          <w:szCs w:val="24"/>
        </w:rPr>
        <w:t>，公司应在获悉后第一时间向</w:t>
      </w:r>
      <w:r>
        <w:rPr>
          <w:rFonts w:hint="eastAsia" w:ascii="宋体" w:hAnsi="宋体" w:eastAsia="宋体"/>
          <w:sz w:val="24"/>
          <w:szCs w:val="24"/>
        </w:rPr>
        <w:t>中国证监会及其派出机构和深圳</w:t>
      </w:r>
      <w:r>
        <w:rPr>
          <w:rFonts w:ascii="宋体" w:hAnsi="宋体" w:eastAsia="宋体"/>
          <w:sz w:val="24"/>
          <w:szCs w:val="24"/>
        </w:rPr>
        <w:t>证券交易所报告并公告。情节严重的，公司可以通过司法程序追究责任人的相关责任。</w:t>
      </w:r>
    </w:p>
    <w:p w14:paraId="01E556B0">
      <w:pPr>
        <w:pStyle w:val="9"/>
        <w:numPr>
          <w:ilvl w:val="0"/>
          <w:numId w:val="1"/>
        </w:numPr>
        <w:spacing w:before="157" w:beforeLines="50" w:line="500" w:lineRule="atLeast"/>
        <w:ind w:left="0" w:firstLine="480"/>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公司相关人员违反本制度，给公司造成不良影响或损失的，公司应给予该责任人通报批评、警告、降级、撤职或解除其职务等处分，并且向</w:t>
      </w:r>
      <w:r>
        <w:rPr>
          <w:rFonts w:hint="eastAsia" w:ascii="宋体" w:hAnsi="宋体" w:eastAsia="宋体"/>
          <w:sz w:val="24"/>
          <w:szCs w:val="24"/>
        </w:rPr>
        <w:t>中国证监会及其派出机构和深圳</w:t>
      </w:r>
      <w:r>
        <w:rPr>
          <w:rFonts w:ascii="宋体" w:hAnsi="宋体" w:eastAsia="宋体"/>
          <w:sz w:val="24"/>
          <w:szCs w:val="24"/>
        </w:rPr>
        <w:t>证券交易所报告。情节严重的，公司可以通过司法程序追究责任人的相关责任。</w:t>
      </w:r>
    </w:p>
    <w:p w14:paraId="4D393886">
      <w:pPr>
        <w:pStyle w:val="9"/>
        <w:numPr>
          <w:ilvl w:val="0"/>
          <w:numId w:val="1"/>
        </w:numPr>
        <w:spacing w:before="157" w:beforeLines="50" w:line="500" w:lineRule="atLeast"/>
        <w:ind w:left="0" w:firstLine="480"/>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本制度未尽事宜,按照</w:t>
      </w:r>
      <w:r>
        <w:rPr>
          <w:rFonts w:hint="eastAsia" w:ascii="宋体" w:hAnsi="宋体" w:eastAsia="宋体"/>
          <w:sz w:val="24"/>
          <w:szCs w:val="24"/>
        </w:rPr>
        <w:t>国家</w:t>
      </w:r>
      <w:r>
        <w:rPr>
          <w:rFonts w:ascii="宋体" w:hAnsi="宋体" w:eastAsia="宋体"/>
          <w:sz w:val="24"/>
          <w:szCs w:val="24"/>
        </w:rPr>
        <w:t>有关法律法规</w:t>
      </w:r>
      <w:r>
        <w:rPr>
          <w:rFonts w:hint="eastAsia" w:ascii="宋体" w:hAnsi="宋体" w:eastAsia="宋体"/>
          <w:sz w:val="24"/>
          <w:szCs w:val="24"/>
          <w:lang w:eastAsia="zh-CN"/>
        </w:rPr>
        <w:t>、</w:t>
      </w:r>
      <w:r>
        <w:rPr>
          <w:rFonts w:hint="eastAsia" w:ascii="宋体" w:hAnsi="宋体" w:eastAsia="宋体"/>
          <w:sz w:val="24"/>
          <w:szCs w:val="24"/>
        </w:rPr>
        <w:t>规范性文件</w:t>
      </w:r>
      <w:r>
        <w:rPr>
          <w:rFonts w:ascii="宋体" w:hAnsi="宋体" w:eastAsia="宋体"/>
          <w:sz w:val="24"/>
          <w:szCs w:val="24"/>
        </w:rPr>
        <w:t>及</w:t>
      </w:r>
      <w:r>
        <w:rPr>
          <w:rFonts w:hint="eastAsia" w:ascii="宋体" w:hAnsi="宋体" w:eastAsia="宋体"/>
          <w:sz w:val="24"/>
          <w:szCs w:val="24"/>
        </w:rPr>
        <w:t>《公司章程》</w:t>
      </w:r>
      <w:r>
        <w:rPr>
          <w:rFonts w:hint="eastAsia" w:ascii="宋体" w:hAnsi="宋体" w:eastAsia="宋体"/>
          <w:sz w:val="24"/>
          <w:szCs w:val="24"/>
          <w:lang w:val="en-US" w:eastAsia="zh-CN"/>
        </w:rPr>
        <w:t>等有关</w:t>
      </w:r>
      <w:r>
        <w:rPr>
          <w:rFonts w:hint="eastAsia" w:ascii="宋体" w:hAnsi="宋体" w:eastAsia="宋体"/>
          <w:sz w:val="24"/>
          <w:szCs w:val="24"/>
        </w:rPr>
        <w:t>规定</w:t>
      </w:r>
      <w:r>
        <w:rPr>
          <w:rFonts w:ascii="宋体" w:hAnsi="宋体" w:eastAsia="宋体"/>
          <w:sz w:val="24"/>
          <w:szCs w:val="24"/>
        </w:rPr>
        <w:t>执行</w:t>
      </w:r>
      <w:r>
        <w:rPr>
          <w:rFonts w:hint="eastAsia" w:ascii="宋体" w:hAnsi="宋体" w:eastAsia="宋体"/>
          <w:sz w:val="24"/>
          <w:szCs w:val="24"/>
        </w:rPr>
        <w:t>。</w:t>
      </w:r>
    </w:p>
    <w:p w14:paraId="378CD2A3">
      <w:pPr>
        <w:pStyle w:val="9"/>
        <w:numPr>
          <w:ilvl w:val="0"/>
          <w:numId w:val="1"/>
        </w:numPr>
        <w:spacing w:before="157" w:beforeLines="50" w:line="500" w:lineRule="atLeast"/>
        <w:ind w:left="0" w:firstLine="480"/>
        <w:rPr>
          <w:rFonts w:ascii="宋体" w:hAnsi="宋体" w:eastAsia="宋体"/>
          <w:sz w:val="24"/>
          <w:szCs w:val="24"/>
        </w:rPr>
      </w:pPr>
      <w:r>
        <w:rPr>
          <w:rFonts w:hint="eastAsia" w:ascii="宋体" w:hAnsi="宋体" w:eastAsia="宋体"/>
          <w:sz w:val="24"/>
          <w:szCs w:val="24"/>
          <w:lang w:val="en-US" w:eastAsia="zh-CN"/>
        </w:rPr>
        <w:t xml:space="preserve">  </w:t>
      </w:r>
      <w:r>
        <w:rPr>
          <w:rFonts w:ascii="宋体" w:hAnsi="宋体" w:eastAsia="宋体"/>
          <w:sz w:val="24"/>
          <w:szCs w:val="24"/>
        </w:rPr>
        <w:t>本制度</w:t>
      </w:r>
      <w:r>
        <w:rPr>
          <w:rFonts w:hint="eastAsia" w:ascii="宋体" w:hAnsi="宋体" w:eastAsia="宋体"/>
          <w:sz w:val="24"/>
          <w:szCs w:val="24"/>
          <w:lang w:val="en-US" w:eastAsia="zh-CN"/>
        </w:rPr>
        <w:t>自</w:t>
      </w:r>
      <w:r>
        <w:rPr>
          <w:rFonts w:ascii="宋体" w:hAnsi="宋体" w:eastAsia="宋体"/>
          <w:sz w:val="24"/>
          <w:szCs w:val="24"/>
        </w:rPr>
        <w:t>公司董事会审议通过</w:t>
      </w:r>
      <w:r>
        <w:rPr>
          <w:rFonts w:hint="eastAsia" w:ascii="宋体" w:hAnsi="宋体" w:eastAsia="宋体"/>
          <w:sz w:val="24"/>
          <w:szCs w:val="24"/>
          <w:lang w:val="en-US" w:eastAsia="zh-CN"/>
        </w:rPr>
        <w:t>后</w:t>
      </w:r>
      <w:r>
        <w:rPr>
          <w:rFonts w:hint="eastAsia" w:ascii="宋体" w:hAnsi="宋体" w:eastAsia="宋体"/>
          <w:sz w:val="24"/>
          <w:szCs w:val="24"/>
        </w:rPr>
        <w:t>生效</w:t>
      </w:r>
      <w:r>
        <w:rPr>
          <w:rFonts w:ascii="宋体" w:hAnsi="宋体" w:eastAsia="宋体"/>
          <w:sz w:val="24"/>
          <w:szCs w:val="24"/>
        </w:rPr>
        <w:t>。</w:t>
      </w:r>
    </w:p>
    <w:p w14:paraId="40CC3AB6">
      <w:pPr>
        <w:widowControl/>
        <w:spacing w:before="157" w:beforeLines="50" w:line="500" w:lineRule="atLeast"/>
        <w:ind w:firstLine="480" w:firstLineChars="200"/>
        <w:jc w:val="left"/>
        <w:rPr>
          <w:rFonts w:hint="eastAsia" w:ascii="宋体" w:hAnsi="宋体" w:eastAsia="宋体"/>
          <w:sz w:val="24"/>
          <w:szCs w:val="24"/>
          <w:lang w:val="en-US" w:eastAsia="zh-CN"/>
        </w:rPr>
      </w:pPr>
      <w:r>
        <w:rPr>
          <w:rFonts w:hint="eastAsia" w:ascii="宋体" w:hAnsi="宋体" w:eastAsia="宋体"/>
          <w:sz w:val="24"/>
          <w:szCs w:val="24"/>
          <w:lang w:val="en-US" w:eastAsia="zh-CN"/>
        </w:rPr>
        <w:t>附件：</w:t>
      </w:r>
    </w:p>
    <w:p w14:paraId="040BFBEC">
      <w:pPr>
        <w:widowControl/>
        <w:spacing w:before="157" w:beforeLines="50" w:line="500" w:lineRule="atLeast"/>
        <w:ind w:firstLine="480" w:firstLineChars="200"/>
        <w:jc w:val="left"/>
        <w:rPr>
          <w:rFonts w:hint="eastAsia" w:ascii="宋体" w:hAnsi="宋体" w:eastAsia="宋体"/>
          <w:sz w:val="24"/>
          <w:szCs w:val="24"/>
          <w:lang w:val="en-US" w:eastAsia="zh-CN"/>
        </w:rPr>
      </w:pPr>
      <w:r>
        <w:rPr>
          <w:rFonts w:hint="default" w:ascii="Times New Roman" w:hAnsi="Times New Roman" w:eastAsia="宋体" w:cs="Times New Roman"/>
          <w:sz w:val="24"/>
          <w:szCs w:val="24"/>
          <w:lang w:val="en-US" w:eastAsia="zh-CN"/>
        </w:rPr>
        <w:t>1</w:t>
      </w:r>
      <w:r>
        <w:rPr>
          <w:rFonts w:hint="eastAsia" w:ascii="宋体" w:hAnsi="宋体" w:eastAsia="宋体"/>
          <w:sz w:val="24"/>
          <w:szCs w:val="24"/>
          <w:lang w:val="en-US" w:eastAsia="zh-CN"/>
        </w:rPr>
        <w:t>、对外报送信息审批表</w:t>
      </w:r>
    </w:p>
    <w:p w14:paraId="742E3944">
      <w:pPr>
        <w:widowControl/>
        <w:numPr>
          <w:ilvl w:val="0"/>
          <w:numId w:val="0"/>
        </w:numPr>
        <w:spacing w:before="157" w:beforeLines="50" w:line="500" w:lineRule="atLeast"/>
        <w:ind w:firstLine="480" w:firstLineChars="200"/>
        <w:jc w:val="left"/>
        <w:rPr>
          <w:rFonts w:hint="eastAsia" w:ascii="宋体" w:hAnsi="宋体" w:eastAsia="宋体"/>
          <w:sz w:val="24"/>
          <w:szCs w:val="24"/>
          <w:lang w:val="en-US" w:eastAsia="zh-CN"/>
        </w:rPr>
      </w:pPr>
      <w:r>
        <w:rPr>
          <w:rFonts w:hint="default" w:ascii="Times New Roman" w:hAnsi="Times New Roman" w:eastAsia="宋体" w:cs="Times New Roman"/>
          <w:kern w:val="2"/>
          <w:sz w:val="24"/>
          <w:szCs w:val="24"/>
          <w:lang w:val="en-US" w:eastAsia="zh-CN" w:bidi="ar-SA"/>
        </w:rPr>
        <w:t>2、</w:t>
      </w:r>
      <w:r>
        <w:rPr>
          <w:rFonts w:hint="eastAsia" w:ascii="宋体" w:hAnsi="宋体" w:eastAsia="宋体"/>
          <w:sz w:val="24"/>
          <w:szCs w:val="24"/>
          <w:lang w:val="en-US" w:eastAsia="zh-CN"/>
        </w:rPr>
        <w:t>信息接收/使用单位保密义务提示函</w:t>
      </w:r>
    </w:p>
    <w:p w14:paraId="3F8A5806">
      <w:pPr>
        <w:widowControl/>
        <w:numPr>
          <w:ilvl w:val="0"/>
          <w:numId w:val="0"/>
        </w:numPr>
        <w:spacing w:before="157" w:beforeLines="50" w:line="500" w:lineRule="atLeast"/>
        <w:ind w:firstLine="480" w:firstLineChars="200"/>
        <w:jc w:val="left"/>
        <w:rPr>
          <w:rFonts w:hint="default" w:ascii="宋体" w:hAnsi="宋体" w:eastAsia="宋体"/>
          <w:sz w:val="24"/>
          <w:szCs w:val="24"/>
          <w:lang w:val="en-US" w:eastAsia="zh-CN"/>
        </w:rPr>
      </w:pPr>
      <w:r>
        <w:rPr>
          <w:rFonts w:hint="default" w:ascii="Times New Roman" w:hAnsi="Times New Roman" w:eastAsia="宋体" w:cs="Times New Roman"/>
          <w:kern w:val="2"/>
          <w:sz w:val="24"/>
          <w:szCs w:val="24"/>
          <w:lang w:val="en-US" w:eastAsia="zh-CN" w:bidi="ar-SA"/>
        </w:rPr>
        <w:t>3、</w:t>
      </w:r>
      <w:r>
        <w:rPr>
          <w:rFonts w:hint="default" w:ascii="宋体" w:hAnsi="宋体" w:eastAsia="宋体"/>
          <w:sz w:val="24"/>
          <w:szCs w:val="24"/>
          <w:lang w:val="en-US" w:eastAsia="zh-CN"/>
        </w:rPr>
        <w:t>文件接收/使用单位回执</w:t>
      </w:r>
    </w:p>
    <w:p w14:paraId="377BCE60">
      <w:pPr>
        <w:widowControl/>
        <w:numPr>
          <w:ilvl w:val="-1"/>
          <w:numId w:val="0"/>
        </w:numPr>
        <w:spacing w:before="157" w:beforeLines="50" w:line="500" w:lineRule="atLeast"/>
        <w:jc w:val="left"/>
        <w:rPr>
          <w:rFonts w:hint="default" w:ascii="宋体" w:hAnsi="宋体" w:eastAsia="宋体"/>
          <w:sz w:val="24"/>
          <w:szCs w:val="24"/>
          <w:lang w:val="en-US" w:eastAsia="zh-CN"/>
        </w:rPr>
      </w:pPr>
    </w:p>
    <w:p w14:paraId="5B622713">
      <w:pPr>
        <w:widowControl/>
        <w:spacing w:before="157" w:beforeLines="50" w:line="500" w:lineRule="atLeast"/>
        <w:jc w:val="left"/>
        <w:rPr>
          <w:rFonts w:ascii="宋体" w:hAnsi="宋体" w:eastAsia="宋体"/>
          <w:sz w:val="24"/>
          <w:szCs w:val="24"/>
        </w:rPr>
      </w:pPr>
    </w:p>
    <w:p w14:paraId="538A7F17">
      <w:pPr>
        <w:widowControl/>
        <w:spacing w:before="157" w:beforeLines="50" w:line="500" w:lineRule="atLeast"/>
        <w:jc w:val="left"/>
        <w:rPr>
          <w:rFonts w:ascii="宋体" w:hAnsi="宋体" w:eastAsia="宋体"/>
          <w:sz w:val="24"/>
          <w:szCs w:val="24"/>
        </w:rPr>
      </w:pPr>
      <w:r>
        <w:rPr>
          <w:rFonts w:ascii="宋体" w:hAnsi="宋体" w:eastAsia="宋体"/>
          <w:sz w:val="24"/>
          <w:szCs w:val="24"/>
        </w:rPr>
        <w:br w:type="page"/>
      </w:r>
    </w:p>
    <w:p w14:paraId="40D5A349">
      <w:pPr>
        <w:spacing w:before="156" w:beforeLines="50" w:line="360" w:lineRule="auto"/>
        <w:rPr>
          <w:rFonts w:ascii="宋体" w:hAnsi="宋体" w:eastAsia="宋体"/>
          <w:b/>
          <w:bCs/>
          <w:sz w:val="24"/>
          <w:szCs w:val="24"/>
        </w:rPr>
      </w:pPr>
      <w:r>
        <w:rPr>
          <w:rFonts w:hint="eastAsia" w:ascii="宋体" w:hAnsi="宋体" w:eastAsia="宋体"/>
          <w:b/>
          <w:bCs/>
          <w:sz w:val="24"/>
          <w:szCs w:val="24"/>
        </w:rPr>
        <w:t>附件一</w:t>
      </w:r>
    </w:p>
    <w:p w14:paraId="7A951C53">
      <w:pPr>
        <w:spacing w:before="156" w:beforeLines="50" w:line="360" w:lineRule="auto"/>
        <w:jc w:val="center"/>
        <w:rPr>
          <w:rFonts w:ascii="宋体" w:hAnsi="宋体" w:eastAsia="宋体"/>
          <w:b/>
          <w:bCs/>
          <w:sz w:val="24"/>
          <w:szCs w:val="24"/>
        </w:rPr>
      </w:pPr>
      <w:r>
        <w:rPr>
          <w:rFonts w:hint="eastAsia" w:ascii="宋体" w:hAnsi="宋体" w:eastAsia="宋体"/>
          <w:b/>
          <w:bCs/>
          <w:sz w:val="24"/>
          <w:szCs w:val="24"/>
        </w:rPr>
        <w:t>冠昊生物科技股份有限公司</w:t>
      </w:r>
    </w:p>
    <w:p w14:paraId="1ADF3EC4">
      <w:pPr>
        <w:spacing w:before="156" w:beforeLines="50" w:line="360" w:lineRule="auto"/>
        <w:jc w:val="center"/>
        <w:rPr>
          <w:rFonts w:ascii="宋体" w:hAnsi="宋体" w:eastAsia="宋体"/>
          <w:sz w:val="24"/>
          <w:szCs w:val="24"/>
        </w:rPr>
      </w:pPr>
      <w:r>
        <w:rPr>
          <w:rFonts w:hint="eastAsia" w:ascii="宋体" w:hAnsi="宋体" w:eastAsia="宋体"/>
          <w:b/>
          <w:bCs/>
          <w:sz w:val="24"/>
          <w:szCs w:val="24"/>
        </w:rPr>
        <w:t>对外报送信息审批表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3"/>
        <w:gridCol w:w="5533"/>
      </w:tblGrid>
      <w:tr w14:paraId="7384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3" w:type="dxa"/>
            <w:vAlign w:val="center"/>
          </w:tcPr>
          <w:p w14:paraId="700483CF">
            <w:pPr>
              <w:spacing w:before="156" w:beforeLines="50" w:line="360" w:lineRule="auto"/>
              <w:jc w:val="center"/>
              <w:rPr>
                <w:rFonts w:ascii="宋体" w:hAnsi="宋体" w:eastAsia="宋体" w:cs="Times New Roman"/>
                <w:szCs w:val="21"/>
              </w:rPr>
            </w:pPr>
            <w:r>
              <w:rPr>
                <w:rFonts w:ascii="宋体" w:hAnsi="宋体" w:eastAsia="宋体" w:cs="Times New Roman"/>
                <w:szCs w:val="21"/>
              </w:rPr>
              <w:t>报送信息部门（单位）</w:t>
            </w:r>
          </w:p>
        </w:tc>
        <w:tc>
          <w:tcPr>
            <w:tcW w:w="5533" w:type="dxa"/>
          </w:tcPr>
          <w:p w14:paraId="3D16DD11">
            <w:pPr>
              <w:spacing w:before="156" w:beforeLines="50" w:line="360" w:lineRule="auto"/>
              <w:rPr>
                <w:rFonts w:ascii="宋体" w:hAnsi="宋体" w:eastAsia="宋体" w:cs="Times New Roman"/>
                <w:szCs w:val="21"/>
              </w:rPr>
            </w:pPr>
          </w:p>
        </w:tc>
      </w:tr>
      <w:tr w14:paraId="45CA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3" w:type="dxa"/>
            <w:vAlign w:val="center"/>
          </w:tcPr>
          <w:p w14:paraId="4B1FBD84">
            <w:pPr>
              <w:spacing w:before="156" w:beforeLines="50" w:line="360" w:lineRule="auto"/>
              <w:jc w:val="center"/>
              <w:rPr>
                <w:rFonts w:ascii="宋体" w:hAnsi="宋体" w:eastAsia="宋体" w:cs="Times New Roman"/>
                <w:szCs w:val="21"/>
              </w:rPr>
            </w:pPr>
            <w:r>
              <w:rPr>
                <w:rFonts w:hint="eastAsia" w:ascii="宋体" w:hAnsi="宋体" w:eastAsia="宋体" w:cs="Times New Roman"/>
                <w:szCs w:val="21"/>
              </w:rPr>
              <w:t>接受</w:t>
            </w:r>
            <w:r>
              <w:rPr>
                <w:rFonts w:ascii="宋体" w:hAnsi="宋体" w:eastAsia="宋体" w:cs="Times New Roman"/>
                <w:szCs w:val="21"/>
              </w:rPr>
              <w:t>/使用信息单位</w:t>
            </w:r>
          </w:p>
        </w:tc>
        <w:tc>
          <w:tcPr>
            <w:tcW w:w="5533" w:type="dxa"/>
          </w:tcPr>
          <w:p w14:paraId="49C10FC4">
            <w:pPr>
              <w:spacing w:before="156" w:beforeLines="50" w:line="360" w:lineRule="auto"/>
              <w:rPr>
                <w:rFonts w:ascii="宋体" w:hAnsi="宋体" w:eastAsia="宋体" w:cs="Times New Roman"/>
                <w:szCs w:val="21"/>
              </w:rPr>
            </w:pPr>
          </w:p>
        </w:tc>
      </w:tr>
      <w:tr w14:paraId="508C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3" w:type="dxa"/>
            <w:vAlign w:val="center"/>
          </w:tcPr>
          <w:p w14:paraId="307A92E8">
            <w:pPr>
              <w:spacing w:before="156" w:beforeLines="50" w:line="360" w:lineRule="auto"/>
              <w:jc w:val="center"/>
              <w:rPr>
                <w:rFonts w:ascii="宋体" w:hAnsi="宋体" w:eastAsia="宋体" w:cs="Times New Roman"/>
                <w:szCs w:val="21"/>
              </w:rPr>
            </w:pPr>
            <w:r>
              <w:rPr>
                <w:rFonts w:hint="eastAsia" w:ascii="宋体" w:hAnsi="宋体" w:eastAsia="宋体" w:cs="Times New Roman"/>
                <w:szCs w:val="21"/>
              </w:rPr>
              <w:t>报送时间</w:t>
            </w:r>
          </w:p>
        </w:tc>
        <w:tc>
          <w:tcPr>
            <w:tcW w:w="5533" w:type="dxa"/>
          </w:tcPr>
          <w:p w14:paraId="2E8C30A8">
            <w:pPr>
              <w:spacing w:before="156" w:beforeLines="50" w:line="360" w:lineRule="auto"/>
              <w:rPr>
                <w:rFonts w:ascii="宋体" w:hAnsi="宋体" w:eastAsia="宋体" w:cs="Times New Roman"/>
                <w:szCs w:val="21"/>
              </w:rPr>
            </w:pPr>
          </w:p>
        </w:tc>
      </w:tr>
      <w:tr w14:paraId="1354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3" w:type="dxa"/>
            <w:vAlign w:val="center"/>
          </w:tcPr>
          <w:p w14:paraId="20673E35">
            <w:pPr>
              <w:spacing w:before="156" w:beforeLines="50" w:line="360" w:lineRule="auto"/>
              <w:jc w:val="center"/>
              <w:rPr>
                <w:rFonts w:ascii="宋体" w:hAnsi="宋体" w:eastAsia="宋体" w:cs="Times New Roman"/>
                <w:szCs w:val="21"/>
              </w:rPr>
            </w:pPr>
            <w:r>
              <w:rPr>
                <w:rFonts w:hint="eastAsia" w:ascii="宋体" w:hAnsi="宋体" w:eastAsia="宋体" w:cs="Times New Roman"/>
                <w:szCs w:val="21"/>
              </w:rPr>
              <w:t>报送依据</w:t>
            </w:r>
          </w:p>
        </w:tc>
        <w:tc>
          <w:tcPr>
            <w:tcW w:w="5533" w:type="dxa"/>
          </w:tcPr>
          <w:p w14:paraId="0EEB06A1">
            <w:pPr>
              <w:spacing w:before="156" w:beforeLines="50" w:line="360" w:lineRule="auto"/>
              <w:rPr>
                <w:rFonts w:ascii="宋体" w:hAnsi="宋体" w:eastAsia="宋体" w:cs="Times New Roman"/>
                <w:szCs w:val="21"/>
              </w:rPr>
            </w:pPr>
          </w:p>
        </w:tc>
      </w:tr>
      <w:tr w14:paraId="6BCA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5" w:hRule="atLeast"/>
        </w:trPr>
        <w:tc>
          <w:tcPr>
            <w:tcW w:w="2763" w:type="dxa"/>
            <w:vAlign w:val="center"/>
          </w:tcPr>
          <w:p w14:paraId="6A36041A">
            <w:pPr>
              <w:spacing w:before="156" w:beforeLines="50" w:line="360" w:lineRule="auto"/>
              <w:jc w:val="center"/>
              <w:rPr>
                <w:rFonts w:ascii="宋体" w:hAnsi="宋体" w:eastAsia="宋体" w:cs="Times New Roman"/>
                <w:szCs w:val="21"/>
              </w:rPr>
            </w:pPr>
            <w:r>
              <w:rPr>
                <w:rFonts w:hint="eastAsia" w:ascii="宋体" w:hAnsi="宋体" w:eastAsia="宋体" w:cs="Times New Roman"/>
                <w:szCs w:val="21"/>
              </w:rPr>
              <w:t>对外报送信息内容</w:t>
            </w:r>
          </w:p>
        </w:tc>
        <w:tc>
          <w:tcPr>
            <w:tcW w:w="5533" w:type="dxa"/>
          </w:tcPr>
          <w:p w14:paraId="016A32D7">
            <w:pPr>
              <w:spacing w:before="156" w:beforeLines="50" w:line="360" w:lineRule="auto"/>
              <w:rPr>
                <w:rFonts w:ascii="宋体" w:hAnsi="宋体" w:eastAsia="宋体" w:cs="Times New Roman"/>
                <w:szCs w:val="21"/>
              </w:rPr>
            </w:pPr>
          </w:p>
        </w:tc>
      </w:tr>
      <w:tr w14:paraId="09591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2763" w:type="dxa"/>
            <w:vAlign w:val="center"/>
          </w:tcPr>
          <w:p w14:paraId="05284654">
            <w:pPr>
              <w:spacing w:before="156" w:beforeLines="50" w:line="360" w:lineRule="auto"/>
              <w:jc w:val="center"/>
              <w:rPr>
                <w:rFonts w:ascii="宋体" w:hAnsi="宋体" w:eastAsia="宋体" w:cs="Times New Roman"/>
                <w:szCs w:val="21"/>
              </w:rPr>
            </w:pPr>
            <w:r>
              <w:rPr>
                <w:rFonts w:hint="eastAsia" w:ascii="宋体" w:hAnsi="宋体" w:eastAsia="宋体" w:cs="Times New Roman"/>
                <w:szCs w:val="21"/>
              </w:rPr>
              <w:t>经办人签字</w:t>
            </w:r>
          </w:p>
        </w:tc>
        <w:tc>
          <w:tcPr>
            <w:tcW w:w="5533" w:type="dxa"/>
            <w:vAlign w:val="bottom"/>
          </w:tcPr>
          <w:p w14:paraId="7B95E4F7">
            <w:pPr>
              <w:spacing w:before="156" w:beforeLines="50" w:line="360" w:lineRule="auto"/>
              <w:rPr>
                <w:rFonts w:ascii="宋体" w:hAnsi="宋体" w:eastAsia="宋体" w:cs="Times New Roman"/>
                <w:szCs w:val="21"/>
              </w:rPr>
            </w:pPr>
            <w:r>
              <w:rPr>
                <w:rFonts w:hint="eastAsia" w:ascii="宋体" w:hAnsi="宋体" w:eastAsia="宋体" w:cs="Times New Roman"/>
                <w:szCs w:val="21"/>
              </w:rPr>
              <w:t>签署：</w:t>
            </w:r>
            <w:r>
              <w:rPr>
                <w:rFonts w:ascii="宋体" w:hAnsi="宋体" w:eastAsia="宋体" w:cs="Times New Roman"/>
                <w:szCs w:val="21"/>
              </w:rPr>
              <w:t xml:space="preserve">                      </w:t>
            </w:r>
            <w:r>
              <w:rPr>
                <w:rFonts w:hint="eastAsia" w:ascii="宋体" w:hAnsi="宋体" w:eastAsia="宋体" w:cs="Times New Roman"/>
                <w:szCs w:val="21"/>
              </w:rPr>
              <w:t>年</w:t>
            </w:r>
            <w:r>
              <w:rPr>
                <w:rFonts w:ascii="宋体" w:hAnsi="宋体" w:eastAsia="宋体" w:cs="Times New Roman"/>
                <w:szCs w:val="21"/>
              </w:rPr>
              <w:t xml:space="preserve">  月  日</w:t>
            </w:r>
          </w:p>
        </w:tc>
      </w:tr>
      <w:tr w14:paraId="5B14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2763" w:type="dxa"/>
            <w:vAlign w:val="center"/>
          </w:tcPr>
          <w:p w14:paraId="28C08B5A">
            <w:pPr>
              <w:spacing w:before="156" w:beforeLines="50" w:line="360" w:lineRule="auto"/>
              <w:jc w:val="center"/>
              <w:rPr>
                <w:rFonts w:ascii="宋体" w:hAnsi="宋体" w:eastAsia="宋体" w:cs="Times New Roman"/>
                <w:szCs w:val="21"/>
              </w:rPr>
            </w:pPr>
            <w:r>
              <w:rPr>
                <w:rFonts w:hint="eastAsia" w:ascii="宋体" w:hAnsi="宋体" w:eastAsia="宋体" w:cs="Times New Roman"/>
                <w:szCs w:val="21"/>
              </w:rPr>
              <w:t>部门负责人审核意见</w:t>
            </w:r>
          </w:p>
        </w:tc>
        <w:tc>
          <w:tcPr>
            <w:tcW w:w="5533" w:type="dxa"/>
            <w:vAlign w:val="bottom"/>
          </w:tcPr>
          <w:p w14:paraId="0DE90834">
            <w:pPr>
              <w:spacing w:before="156" w:beforeLines="50" w:line="360" w:lineRule="auto"/>
              <w:rPr>
                <w:rFonts w:ascii="宋体" w:hAnsi="宋体" w:eastAsia="宋体" w:cs="Times New Roman"/>
                <w:szCs w:val="21"/>
              </w:rPr>
            </w:pPr>
            <w:r>
              <w:rPr>
                <w:rFonts w:hint="eastAsia" w:ascii="宋体" w:hAnsi="宋体" w:eastAsia="宋体" w:cs="Times New Roman"/>
                <w:szCs w:val="21"/>
              </w:rPr>
              <w:t>签署：</w:t>
            </w:r>
            <w:r>
              <w:rPr>
                <w:rFonts w:ascii="宋体" w:hAnsi="宋体" w:eastAsia="宋体" w:cs="Times New Roman"/>
                <w:szCs w:val="21"/>
              </w:rPr>
              <w:t xml:space="preserve">                      </w:t>
            </w:r>
            <w:r>
              <w:rPr>
                <w:rFonts w:hint="eastAsia" w:ascii="宋体" w:hAnsi="宋体" w:eastAsia="宋体" w:cs="Times New Roman"/>
                <w:szCs w:val="21"/>
              </w:rPr>
              <w:t>年</w:t>
            </w:r>
            <w:r>
              <w:rPr>
                <w:rFonts w:ascii="宋体" w:hAnsi="宋体" w:eastAsia="宋体" w:cs="Times New Roman"/>
                <w:szCs w:val="21"/>
              </w:rPr>
              <w:t xml:space="preserve">  月  日</w:t>
            </w:r>
          </w:p>
        </w:tc>
      </w:tr>
      <w:tr w14:paraId="6C39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trPr>
        <w:tc>
          <w:tcPr>
            <w:tcW w:w="2763" w:type="dxa"/>
            <w:vAlign w:val="center"/>
          </w:tcPr>
          <w:p w14:paraId="692EC228">
            <w:pPr>
              <w:spacing w:before="156" w:beforeLines="50" w:line="360" w:lineRule="auto"/>
              <w:jc w:val="center"/>
              <w:rPr>
                <w:rFonts w:ascii="宋体" w:hAnsi="宋体" w:eastAsia="宋体" w:cs="Times New Roman"/>
                <w:szCs w:val="21"/>
              </w:rPr>
            </w:pPr>
            <w:r>
              <w:rPr>
                <w:rFonts w:hint="eastAsia" w:ascii="宋体" w:hAnsi="宋体" w:eastAsia="宋体" w:cs="Times New Roman"/>
                <w:szCs w:val="21"/>
              </w:rPr>
              <w:t>董事会秘书审核意见</w:t>
            </w:r>
          </w:p>
        </w:tc>
        <w:tc>
          <w:tcPr>
            <w:tcW w:w="5533" w:type="dxa"/>
            <w:vAlign w:val="bottom"/>
          </w:tcPr>
          <w:p w14:paraId="5EC073FB">
            <w:pPr>
              <w:spacing w:before="156" w:beforeLines="50" w:line="360" w:lineRule="auto"/>
              <w:rPr>
                <w:rFonts w:ascii="宋体" w:hAnsi="宋体" w:eastAsia="宋体" w:cs="Times New Roman"/>
                <w:szCs w:val="21"/>
              </w:rPr>
            </w:pPr>
            <w:r>
              <w:rPr>
                <w:rFonts w:hint="eastAsia" w:ascii="宋体" w:hAnsi="宋体" w:eastAsia="宋体" w:cs="Times New Roman"/>
                <w:szCs w:val="21"/>
              </w:rPr>
              <w:t>签署：</w:t>
            </w:r>
            <w:r>
              <w:rPr>
                <w:rFonts w:ascii="宋体" w:hAnsi="宋体" w:eastAsia="宋体" w:cs="Times New Roman"/>
                <w:szCs w:val="21"/>
              </w:rPr>
              <w:t xml:space="preserve">                      </w:t>
            </w:r>
            <w:r>
              <w:rPr>
                <w:rFonts w:hint="eastAsia" w:ascii="宋体" w:hAnsi="宋体" w:eastAsia="宋体" w:cs="Times New Roman"/>
                <w:szCs w:val="21"/>
              </w:rPr>
              <w:t>年</w:t>
            </w:r>
            <w:r>
              <w:rPr>
                <w:rFonts w:ascii="宋体" w:hAnsi="宋体" w:eastAsia="宋体" w:cs="Times New Roman"/>
                <w:szCs w:val="21"/>
              </w:rPr>
              <w:t xml:space="preserve">  月  日</w:t>
            </w:r>
          </w:p>
        </w:tc>
      </w:tr>
      <w:tr w14:paraId="58BF0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3" w:type="dxa"/>
            <w:vAlign w:val="center"/>
          </w:tcPr>
          <w:p w14:paraId="67CED475">
            <w:pPr>
              <w:spacing w:before="156" w:beforeLines="50" w:line="360" w:lineRule="auto"/>
              <w:jc w:val="center"/>
              <w:rPr>
                <w:rFonts w:ascii="宋体" w:hAnsi="宋体" w:eastAsia="宋体" w:cs="Times New Roman"/>
                <w:szCs w:val="21"/>
              </w:rPr>
            </w:pPr>
            <w:r>
              <w:rPr>
                <w:rFonts w:hint="eastAsia" w:ascii="宋体" w:hAnsi="宋体" w:eastAsia="宋体" w:cs="Times New Roman"/>
                <w:szCs w:val="21"/>
              </w:rPr>
              <w:t>备注</w:t>
            </w:r>
          </w:p>
        </w:tc>
        <w:tc>
          <w:tcPr>
            <w:tcW w:w="5533" w:type="dxa"/>
          </w:tcPr>
          <w:p w14:paraId="6A1295D6">
            <w:pPr>
              <w:spacing w:before="156" w:beforeLines="50" w:line="360" w:lineRule="auto"/>
              <w:rPr>
                <w:rFonts w:ascii="宋体" w:hAnsi="宋体" w:eastAsia="宋体" w:cs="Times New Roman"/>
                <w:szCs w:val="21"/>
              </w:rPr>
            </w:pPr>
          </w:p>
        </w:tc>
      </w:tr>
    </w:tbl>
    <w:p w14:paraId="1E0455A0">
      <w:pPr>
        <w:spacing w:before="156" w:beforeLines="50" w:line="360" w:lineRule="auto"/>
        <w:rPr>
          <w:rFonts w:ascii="宋体" w:hAnsi="宋体" w:eastAsia="宋体"/>
          <w:sz w:val="24"/>
          <w:szCs w:val="24"/>
        </w:rPr>
      </w:pPr>
    </w:p>
    <w:p w14:paraId="3468423F">
      <w:pPr>
        <w:widowControl/>
        <w:jc w:val="left"/>
        <w:rPr>
          <w:rFonts w:ascii="宋体" w:hAnsi="宋体" w:eastAsia="宋体"/>
          <w:sz w:val="24"/>
          <w:szCs w:val="24"/>
        </w:rPr>
      </w:pPr>
      <w:r>
        <w:rPr>
          <w:rFonts w:ascii="宋体" w:hAnsi="宋体" w:eastAsia="宋体"/>
          <w:sz w:val="24"/>
          <w:szCs w:val="24"/>
        </w:rPr>
        <w:br w:type="page"/>
      </w:r>
    </w:p>
    <w:p w14:paraId="1068BD6B">
      <w:pPr>
        <w:spacing w:before="156" w:beforeLines="50" w:line="360" w:lineRule="auto"/>
        <w:rPr>
          <w:rFonts w:ascii="宋体" w:hAnsi="宋体" w:eastAsia="宋体"/>
          <w:b/>
          <w:bCs/>
          <w:sz w:val="24"/>
          <w:szCs w:val="24"/>
        </w:rPr>
      </w:pPr>
      <w:r>
        <w:rPr>
          <w:rFonts w:hint="eastAsia" w:ascii="宋体" w:hAnsi="宋体" w:eastAsia="宋体"/>
          <w:b/>
          <w:bCs/>
          <w:sz w:val="24"/>
          <w:szCs w:val="24"/>
        </w:rPr>
        <w:t>附件二</w:t>
      </w:r>
    </w:p>
    <w:p w14:paraId="6204F469">
      <w:pPr>
        <w:spacing w:before="156" w:beforeLines="50" w:line="360" w:lineRule="auto"/>
        <w:jc w:val="center"/>
        <w:rPr>
          <w:rFonts w:ascii="宋体" w:hAnsi="宋体" w:eastAsia="宋体"/>
          <w:b/>
          <w:bCs/>
          <w:sz w:val="24"/>
          <w:szCs w:val="24"/>
        </w:rPr>
      </w:pPr>
      <w:r>
        <w:rPr>
          <w:rFonts w:hint="eastAsia" w:ascii="宋体" w:hAnsi="宋体" w:eastAsia="宋体"/>
          <w:b/>
          <w:bCs/>
          <w:sz w:val="24"/>
          <w:szCs w:val="24"/>
        </w:rPr>
        <w:t>信息接收</w:t>
      </w:r>
      <w:r>
        <w:rPr>
          <w:rFonts w:ascii="宋体" w:hAnsi="宋体" w:eastAsia="宋体"/>
          <w:b/>
          <w:bCs/>
          <w:sz w:val="24"/>
          <w:szCs w:val="24"/>
        </w:rPr>
        <w:t>/使用单位保密义务提示函</w:t>
      </w:r>
    </w:p>
    <w:p w14:paraId="29153F5A">
      <w:pPr>
        <w:spacing w:before="156" w:beforeLines="50" w:line="360" w:lineRule="auto"/>
        <w:ind w:firstLine="420" w:firstLineChars="200"/>
        <w:rPr>
          <w:rFonts w:ascii="宋体" w:hAnsi="宋体" w:eastAsia="宋体"/>
          <w:szCs w:val="21"/>
          <w:u w:val="single"/>
        </w:rPr>
      </w:pPr>
      <w:r>
        <w:rPr>
          <w:rFonts w:hint="eastAsia" w:ascii="宋体" w:hAnsi="宋体" w:eastAsia="宋体"/>
          <w:szCs w:val="21"/>
          <w:u w:val="single"/>
        </w:rPr>
        <w:t>（信息接收</w:t>
      </w:r>
      <w:r>
        <w:rPr>
          <w:rFonts w:ascii="宋体" w:hAnsi="宋体" w:eastAsia="宋体"/>
          <w:szCs w:val="21"/>
          <w:u w:val="single"/>
        </w:rPr>
        <w:t>/使用单位）：</w:t>
      </w:r>
    </w:p>
    <w:p w14:paraId="171F8718">
      <w:pPr>
        <w:spacing w:before="156" w:beforeLines="50" w:line="360" w:lineRule="auto"/>
        <w:ind w:firstLine="420" w:firstLineChars="200"/>
        <w:rPr>
          <w:rFonts w:ascii="宋体" w:hAnsi="宋体" w:eastAsia="宋体"/>
          <w:szCs w:val="21"/>
        </w:rPr>
      </w:pPr>
      <w:r>
        <w:rPr>
          <w:rFonts w:hint="eastAsia" w:ascii="宋体" w:hAnsi="宋体" w:eastAsia="宋体"/>
          <w:szCs w:val="21"/>
        </w:rPr>
        <w:t>本公司此次依法向贵单位报送的</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（文件名） </w:t>
      </w:r>
      <w:r>
        <w:rPr>
          <w:rFonts w:ascii="宋体" w:hAnsi="宋体" w:eastAsia="宋体"/>
          <w:szCs w:val="21"/>
          <w:u w:val="single"/>
        </w:rPr>
        <w:t xml:space="preserve"> </w:t>
      </w:r>
      <w:r>
        <w:rPr>
          <w:rFonts w:hint="eastAsia" w:ascii="宋体" w:hAnsi="宋体" w:eastAsia="宋体"/>
          <w:szCs w:val="21"/>
        </w:rPr>
        <w:t>，因涉及上市公司未公开披露的内幕信息，根据我国《证券法》《公司法》《上市公司信息披露管理办法》等有关法律法规、规范性文件和证券监管机构发布的相关监管规则，遵照证券监管部门的要求，向贵单位作如下重点提示：</w:t>
      </w:r>
    </w:p>
    <w:p w14:paraId="30CD3300">
      <w:pPr>
        <w:spacing w:before="156" w:beforeLines="50" w:line="360" w:lineRule="auto"/>
        <w:ind w:firstLine="420" w:firstLineChars="200"/>
        <w:rPr>
          <w:rFonts w:ascii="宋体" w:hAnsi="宋体" w:eastAsia="宋体"/>
          <w:szCs w:val="21"/>
        </w:rPr>
      </w:pPr>
      <w:r>
        <w:rPr>
          <w:rFonts w:hint="default" w:ascii="Times New Roman" w:hAnsi="Times New Roman" w:eastAsia="宋体" w:cs="Times New Roman"/>
          <w:szCs w:val="21"/>
        </w:rPr>
        <w:t>1</w:t>
      </w:r>
      <w:r>
        <w:rPr>
          <w:rFonts w:hint="eastAsia" w:ascii="宋体" w:hAnsi="宋体" w:eastAsia="宋体"/>
          <w:szCs w:val="21"/>
        </w:rPr>
        <w:t>、</w:t>
      </w:r>
      <w:r>
        <w:rPr>
          <w:rFonts w:ascii="宋体" w:hAnsi="宋体" w:eastAsia="宋体"/>
          <w:szCs w:val="21"/>
        </w:rPr>
        <w:t>贵单位应当严格控制本公司报送材料的使用范围和知情人范围。</w:t>
      </w:r>
    </w:p>
    <w:p w14:paraId="40FAFA5D">
      <w:pPr>
        <w:spacing w:before="156" w:beforeLines="50" w:line="360" w:lineRule="auto"/>
        <w:ind w:firstLine="420" w:firstLineChars="200"/>
        <w:rPr>
          <w:rFonts w:ascii="宋体" w:hAnsi="宋体" w:eastAsia="宋体"/>
          <w:szCs w:val="21"/>
        </w:rPr>
      </w:pPr>
      <w:r>
        <w:rPr>
          <w:rFonts w:hint="default" w:ascii="Times New Roman" w:hAnsi="Times New Roman" w:eastAsia="宋体" w:cs="Times New Roman"/>
          <w:szCs w:val="21"/>
        </w:rPr>
        <w:t>2</w:t>
      </w:r>
      <w:r>
        <w:rPr>
          <w:rFonts w:hint="eastAsia" w:ascii="宋体" w:hAnsi="宋体" w:eastAsia="宋体"/>
          <w:szCs w:val="21"/>
        </w:rPr>
        <w:t>、</w:t>
      </w:r>
      <w:r>
        <w:rPr>
          <w:rFonts w:ascii="宋体" w:hAnsi="宋体" w:eastAsia="宋体"/>
          <w:szCs w:val="21"/>
        </w:rPr>
        <w:t>贵单位以及接收、使用本公司报送的材料的所有相关人员为内幕信息知</w:t>
      </w:r>
      <w:r>
        <w:rPr>
          <w:rFonts w:hint="eastAsia" w:ascii="宋体" w:hAnsi="宋体" w:eastAsia="宋体"/>
          <w:szCs w:val="21"/>
        </w:rPr>
        <w:t>情人，负有信息保密义务。在本公司依法定程序公告相关信息前，所有内幕信息知情人不得泄露相关材料涉及的信息，也不得利用所知悉的本公司未公开信息买卖本公司证券或建议他人买卖本公司证券。</w:t>
      </w:r>
    </w:p>
    <w:p w14:paraId="0C63E725">
      <w:pPr>
        <w:spacing w:before="156" w:beforeLines="50" w:line="360" w:lineRule="auto"/>
        <w:ind w:firstLine="420" w:firstLineChars="200"/>
        <w:rPr>
          <w:rFonts w:ascii="宋体" w:hAnsi="宋体" w:eastAsia="宋体"/>
          <w:szCs w:val="21"/>
        </w:rPr>
      </w:pPr>
      <w:r>
        <w:rPr>
          <w:rFonts w:hint="default" w:ascii="Times New Roman" w:hAnsi="Times New Roman" w:eastAsia="宋体" w:cs="Times New Roman"/>
          <w:szCs w:val="21"/>
        </w:rPr>
        <w:t>3</w:t>
      </w:r>
      <w:r>
        <w:rPr>
          <w:rFonts w:hint="eastAsia" w:ascii="宋体" w:hAnsi="宋体" w:eastAsia="宋体"/>
          <w:szCs w:val="21"/>
        </w:rPr>
        <w:t>、</w:t>
      </w:r>
      <w:r>
        <w:rPr>
          <w:rFonts w:ascii="宋体" w:hAnsi="宋体" w:eastAsia="宋体"/>
          <w:szCs w:val="21"/>
        </w:rPr>
        <w:t>贵单位及知悉本公司相关未公开信息的人员，在对外提交的或公开披露</w:t>
      </w:r>
      <w:r>
        <w:rPr>
          <w:rFonts w:hint="eastAsia" w:ascii="宋体" w:hAnsi="宋体" w:eastAsia="宋体"/>
          <w:szCs w:val="21"/>
        </w:rPr>
        <w:t>的文件中不得使用本公司的未公开信息，除非本公司已经公开披露该信息。</w:t>
      </w:r>
    </w:p>
    <w:p w14:paraId="74C078C1">
      <w:pPr>
        <w:spacing w:before="156" w:beforeLines="50" w:line="360" w:lineRule="auto"/>
        <w:ind w:firstLine="420" w:firstLineChars="200"/>
        <w:rPr>
          <w:rFonts w:ascii="宋体" w:hAnsi="宋体" w:eastAsia="宋体"/>
          <w:szCs w:val="21"/>
        </w:rPr>
      </w:pPr>
      <w:r>
        <w:rPr>
          <w:rFonts w:hint="default" w:ascii="Times New Roman" w:hAnsi="Times New Roman" w:eastAsia="宋体" w:cs="Times New Roman"/>
          <w:szCs w:val="21"/>
        </w:rPr>
        <w:t>4</w:t>
      </w:r>
      <w:r>
        <w:rPr>
          <w:rFonts w:hint="eastAsia" w:ascii="宋体" w:hAnsi="宋体" w:eastAsia="宋体"/>
          <w:szCs w:val="21"/>
        </w:rPr>
        <w:t>、</w:t>
      </w:r>
      <w:r>
        <w:rPr>
          <w:rFonts w:ascii="宋体" w:hAnsi="宋体" w:eastAsia="宋体"/>
          <w:szCs w:val="21"/>
        </w:rPr>
        <w:t>贵单位及知悉本公司相关未公开信息的人员，如因保密不当致使本公司</w:t>
      </w:r>
      <w:r>
        <w:rPr>
          <w:rFonts w:hint="eastAsia" w:ascii="宋体" w:hAnsi="宋体" w:eastAsia="宋体"/>
          <w:szCs w:val="21"/>
        </w:rPr>
        <w:t>的未公开信息被泄露的，应当立即通知本公司。</w:t>
      </w:r>
    </w:p>
    <w:p w14:paraId="0536E90A">
      <w:pPr>
        <w:spacing w:before="156" w:beforeLines="50" w:line="360" w:lineRule="auto"/>
        <w:ind w:firstLine="420" w:firstLineChars="200"/>
        <w:rPr>
          <w:rFonts w:ascii="宋体" w:hAnsi="宋体" w:eastAsia="宋体"/>
          <w:szCs w:val="21"/>
        </w:rPr>
      </w:pPr>
      <w:r>
        <w:rPr>
          <w:rFonts w:hint="default" w:ascii="Times New Roman" w:hAnsi="Times New Roman" w:eastAsia="宋体" w:cs="Times New Roman"/>
          <w:szCs w:val="21"/>
        </w:rPr>
        <w:t>5</w:t>
      </w:r>
      <w:r>
        <w:rPr>
          <w:rFonts w:hint="eastAsia" w:ascii="宋体" w:hAnsi="宋体" w:eastAsia="宋体"/>
          <w:szCs w:val="21"/>
        </w:rPr>
        <w:t>、</w:t>
      </w:r>
      <w:r>
        <w:rPr>
          <w:rFonts w:ascii="Times New Roman" w:hAnsi="Times New Roman" w:eastAsia="宋体" w:cs="Times New Roman"/>
          <w:szCs w:val="21"/>
        </w:rPr>
        <w:t>贵单位及知悉本公司相关未公开信息的人员，如违规使用本公司报送的未公开信息，</w:t>
      </w:r>
      <w:r>
        <w:rPr>
          <w:rFonts w:ascii="宋体" w:hAnsi="宋体" w:eastAsia="宋体"/>
          <w:szCs w:val="21"/>
        </w:rPr>
        <w:t>致使本公司遭受经济损失的，本公司将依法要求其承担赔偿责任；</w:t>
      </w:r>
      <w:r>
        <w:rPr>
          <w:rFonts w:hint="eastAsia" w:ascii="宋体" w:hAnsi="宋体" w:eastAsia="宋体"/>
          <w:szCs w:val="21"/>
        </w:rPr>
        <w:t>如利用其所知悉的本公司未公开信息买卖本公司证券或建议他人买卖本公司证券的，本公司将向证券监管机构报告并追究其法律责任，涉嫌构成犯罪的，本公司将移交司法机关处理。</w:t>
      </w:r>
    </w:p>
    <w:p w14:paraId="42389EA2">
      <w:pPr>
        <w:spacing w:before="156" w:beforeLines="50" w:line="360" w:lineRule="auto"/>
        <w:ind w:firstLine="420" w:firstLineChars="200"/>
        <w:rPr>
          <w:rFonts w:ascii="宋体" w:hAnsi="宋体" w:eastAsia="宋体"/>
          <w:szCs w:val="21"/>
        </w:rPr>
      </w:pPr>
      <w:r>
        <w:rPr>
          <w:rFonts w:hint="default" w:ascii="Times New Roman" w:hAnsi="Times New Roman" w:eastAsia="宋体" w:cs="Times New Roman"/>
          <w:szCs w:val="21"/>
        </w:rPr>
        <w:t>6</w:t>
      </w:r>
      <w:r>
        <w:rPr>
          <w:rFonts w:hint="eastAsia" w:ascii="宋体" w:hAnsi="宋体" w:eastAsia="宋体"/>
          <w:szCs w:val="21"/>
        </w:rPr>
        <w:t>、</w:t>
      </w:r>
      <w:r>
        <w:rPr>
          <w:rFonts w:ascii="宋体" w:hAnsi="宋体" w:eastAsia="宋体"/>
          <w:szCs w:val="21"/>
        </w:rPr>
        <w:t>按照证券监管部门的要求，本公司需将贵单位知悉本公司相关信息的人</w:t>
      </w:r>
      <w:r>
        <w:rPr>
          <w:rFonts w:hint="eastAsia" w:ascii="宋体" w:hAnsi="宋体" w:eastAsia="宋体"/>
          <w:szCs w:val="21"/>
        </w:rPr>
        <w:t>员登记备案，</w:t>
      </w:r>
      <w:r>
        <w:rPr>
          <w:rFonts w:ascii="宋体" w:hAnsi="宋体" w:eastAsia="宋体"/>
          <w:szCs w:val="21"/>
        </w:rPr>
        <w:t>以备发生信息泄露时调查之用。</w:t>
      </w:r>
    </w:p>
    <w:p w14:paraId="7424B39D">
      <w:pPr>
        <w:spacing w:before="156" w:beforeLines="50" w:line="360" w:lineRule="auto"/>
        <w:ind w:firstLine="420" w:firstLineChars="200"/>
        <w:rPr>
          <w:rFonts w:ascii="宋体" w:hAnsi="宋体" w:eastAsia="宋体"/>
          <w:szCs w:val="21"/>
        </w:rPr>
      </w:pPr>
      <w:r>
        <w:rPr>
          <w:rFonts w:hint="eastAsia" w:ascii="宋体" w:hAnsi="宋体" w:eastAsia="宋体"/>
          <w:szCs w:val="21"/>
        </w:rPr>
        <w:t>特此提示！</w:t>
      </w:r>
    </w:p>
    <w:p w14:paraId="5EDE3B00">
      <w:pPr>
        <w:spacing w:before="156" w:beforeLines="50" w:line="360" w:lineRule="auto"/>
        <w:ind w:firstLine="420" w:firstLineChars="200"/>
        <w:jc w:val="right"/>
        <w:rPr>
          <w:rFonts w:ascii="宋体" w:hAnsi="宋体" w:eastAsia="宋体"/>
          <w:szCs w:val="21"/>
        </w:rPr>
      </w:pPr>
      <w:r>
        <w:rPr>
          <w:rFonts w:hint="eastAsia" w:ascii="宋体" w:hAnsi="宋体" w:eastAsia="宋体"/>
          <w:szCs w:val="21"/>
        </w:rPr>
        <w:t>冠昊生物科技股份有限公司董事会</w:t>
      </w:r>
    </w:p>
    <w:p w14:paraId="69DBAA6E">
      <w:pPr>
        <w:wordWrap w:val="0"/>
        <w:spacing w:before="156" w:beforeLines="50" w:line="360" w:lineRule="auto"/>
        <w:ind w:firstLine="420" w:firstLineChars="200"/>
        <w:jc w:val="right"/>
        <w:rPr>
          <w:rFonts w:ascii="宋体" w:hAnsi="宋体" w:eastAsia="宋体"/>
          <w:szCs w:val="21"/>
        </w:rPr>
      </w:pPr>
      <w:r>
        <w:rPr>
          <w:rFonts w:hint="eastAsia" w:ascii="宋体" w:hAnsi="宋体" w:eastAsia="宋体"/>
          <w:szCs w:val="21"/>
        </w:rPr>
        <w:t xml:space="preserve">年 </w:t>
      </w:r>
      <w:r>
        <w:rPr>
          <w:rFonts w:ascii="宋体" w:hAnsi="宋体" w:eastAsia="宋体"/>
          <w:szCs w:val="21"/>
        </w:rPr>
        <w:t xml:space="preserve">  </w:t>
      </w:r>
      <w:r>
        <w:rPr>
          <w:rFonts w:hint="eastAsia" w:ascii="宋体" w:hAnsi="宋体" w:eastAsia="宋体"/>
          <w:szCs w:val="21"/>
        </w:rPr>
        <w:t xml:space="preserve">月 </w:t>
      </w:r>
      <w:r>
        <w:rPr>
          <w:rFonts w:ascii="宋体" w:hAnsi="宋体" w:eastAsia="宋体"/>
          <w:szCs w:val="21"/>
        </w:rPr>
        <w:t xml:space="preserve">  </w:t>
      </w:r>
      <w:r>
        <w:rPr>
          <w:rFonts w:hint="eastAsia" w:ascii="宋体" w:hAnsi="宋体" w:eastAsia="宋体"/>
          <w:szCs w:val="21"/>
        </w:rPr>
        <w:t>日</w:t>
      </w:r>
      <w:r>
        <w:rPr>
          <w:rFonts w:hint="eastAsia" w:ascii="宋体" w:hAnsi="宋体" w:eastAsia="宋体"/>
          <w:szCs w:val="21"/>
          <w:lang w:val="en-US" w:eastAsia="zh-CN"/>
        </w:rPr>
        <w:t xml:space="preserve">      </w:t>
      </w:r>
      <w:r>
        <w:rPr>
          <w:rFonts w:hint="eastAsia" w:ascii="宋体" w:hAnsi="宋体" w:eastAsia="宋体"/>
          <w:szCs w:val="21"/>
        </w:rPr>
        <w:t xml:space="preserve"> </w:t>
      </w:r>
    </w:p>
    <w:p w14:paraId="4C48A647">
      <w:pPr>
        <w:widowControl/>
        <w:jc w:val="left"/>
        <w:rPr>
          <w:rFonts w:ascii="宋体" w:hAnsi="宋体" w:eastAsia="宋体"/>
          <w:sz w:val="24"/>
          <w:szCs w:val="24"/>
        </w:rPr>
      </w:pPr>
      <w:r>
        <w:rPr>
          <w:rFonts w:ascii="宋体" w:hAnsi="宋体" w:eastAsia="宋体"/>
          <w:sz w:val="24"/>
          <w:szCs w:val="24"/>
        </w:rPr>
        <w:br w:type="page"/>
      </w:r>
    </w:p>
    <w:p w14:paraId="36059D99">
      <w:pPr>
        <w:spacing w:before="156" w:beforeLines="50" w:line="360" w:lineRule="auto"/>
        <w:rPr>
          <w:rFonts w:ascii="宋体" w:hAnsi="宋体" w:eastAsia="宋体"/>
          <w:b/>
          <w:bCs/>
          <w:sz w:val="24"/>
          <w:szCs w:val="24"/>
        </w:rPr>
      </w:pPr>
      <w:r>
        <w:rPr>
          <w:rFonts w:hint="eastAsia" w:ascii="宋体" w:hAnsi="宋体" w:eastAsia="宋体"/>
          <w:b/>
          <w:bCs/>
          <w:sz w:val="24"/>
          <w:szCs w:val="24"/>
        </w:rPr>
        <w:t>附件三</w:t>
      </w:r>
    </w:p>
    <w:p w14:paraId="1DFB79F5">
      <w:pPr>
        <w:spacing w:before="156" w:beforeLines="50" w:line="360" w:lineRule="auto"/>
        <w:jc w:val="center"/>
        <w:rPr>
          <w:rFonts w:ascii="宋体" w:hAnsi="宋体" w:eastAsia="宋体"/>
          <w:b/>
          <w:bCs/>
          <w:sz w:val="24"/>
          <w:szCs w:val="24"/>
        </w:rPr>
      </w:pPr>
      <w:r>
        <w:rPr>
          <w:rFonts w:hint="eastAsia" w:ascii="宋体" w:hAnsi="宋体" w:eastAsia="宋体"/>
          <w:b/>
          <w:bCs/>
          <w:sz w:val="24"/>
          <w:szCs w:val="24"/>
        </w:rPr>
        <w:t>文件接收</w:t>
      </w:r>
      <w:r>
        <w:rPr>
          <w:rFonts w:ascii="宋体" w:hAnsi="宋体" w:eastAsia="宋体"/>
          <w:b/>
          <w:bCs/>
          <w:sz w:val="24"/>
          <w:szCs w:val="24"/>
        </w:rPr>
        <w:t>/使用单位回执</w:t>
      </w:r>
    </w:p>
    <w:p w14:paraId="40F65719">
      <w:pPr>
        <w:spacing w:before="156" w:beforeLines="50" w:line="360" w:lineRule="auto"/>
        <w:rPr>
          <w:rFonts w:ascii="宋体" w:hAnsi="宋体" w:eastAsia="宋体"/>
          <w:szCs w:val="21"/>
        </w:rPr>
      </w:pPr>
      <w:r>
        <w:rPr>
          <w:rFonts w:hint="eastAsia" w:ascii="宋体" w:hAnsi="宋体" w:eastAsia="宋体"/>
          <w:szCs w:val="21"/>
        </w:rPr>
        <w:t>冠昊生物科技股份有限公司：</w:t>
      </w:r>
    </w:p>
    <w:p w14:paraId="4D53B800">
      <w:pPr>
        <w:spacing w:before="156" w:beforeLines="50" w:line="360" w:lineRule="auto"/>
        <w:ind w:firstLine="420" w:firstLineChars="200"/>
        <w:rPr>
          <w:rFonts w:ascii="宋体" w:hAnsi="宋体" w:eastAsia="宋体"/>
          <w:szCs w:val="21"/>
        </w:rPr>
      </w:pPr>
      <w:r>
        <w:rPr>
          <w:rFonts w:hint="eastAsia" w:ascii="宋体" w:hAnsi="宋体" w:eastAsia="宋体"/>
          <w:szCs w:val="21"/>
        </w:rPr>
        <w:t>今收到你公司报送的信息接</w:t>
      </w:r>
      <w:r>
        <w:rPr>
          <w:rFonts w:hint="eastAsia" w:ascii="宋体" w:hAnsi="宋体" w:eastAsia="宋体"/>
          <w:szCs w:val="21"/>
          <w:lang w:val="en-US" w:eastAsia="zh-CN"/>
        </w:rPr>
        <w:t>收</w:t>
      </w:r>
      <w:r>
        <w:rPr>
          <w:rFonts w:hint="eastAsia" w:ascii="宋体" w:hAnsi="宋体" w:eastAsia="宋体"/>
          <w:szCs w:val="21"/>
        </w:rPr>
        <w:t>/使用单位保密义务提示函及以下文件：</w:t>
      </w:r>
    </w:p>
    <w:tbl>
      <w:tblPr>
        <w:tblStyle w:val="5"/>
        <w:tblW w:w="0" w:type="auto"/>
        <w:tblInd w:w="5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1"/>
        <w:gridCol w:w="6899"/>
      </w:tblGrid>
      <w:tr w14:paraId="33945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1" w:type="dxa"/>
          </w:tcPr>
          <w:p w14:paraId="28F6EC2D">
            <w:pPr>
              <w:spacing w:before="156" w:beforeLines="50" w:line="360" w:lineRule="auto"/>
              <w:rPr>
                <w:rFonts w:ascii="Times New Roman" w:hAnsi="Times New Roman" w:eastAsia="宋体" w:cs="Times New Roman"/>
                <w:szCs w:val="21"/>
              </w:rPr>
            </w:pPr>
            <w:r>
              <w:rPr>
                <w:rFonts w:hint="default" w:ascii="Times New Roman" w:hAnsi="Times New Roman" w:eastAsia="宋体" w:cs="Times New Roman"/>
                <w:szCs w:val="21"/>
              </w:rPr>
              <w:t>1</w:t>
            </w:r>
            <w:r>
              <w:rPr>
                <w:rFonts w:ascii="Times New Roman" w:hAnsi="Times New Roman" w:eastAsia="宋体" w:cs="Times New Roman"/>
                <w:szCs w:val="21"/>
              </w:rPr>
              <w:t>、</w:t>
            </w:r>
          </w:p>
        </w:tc>
        <w:tc>
          <w:tcPr>
            <w:tcW w:w="6899" w:type="dxa"/>
            <w:tcBorders>
              <w:bottom w:val="single" w:color="auto" w:sz="4" w:space="0"/>
            </w:tcBorders>
          </w:tcPr>
          <w:p w14:paraId="2E34E7C4">
            <w:pPr>
              <w:spacing w:before="156" w:beforeLines="50" w:line="360" w:lineRule="auto"/>
              <w:rPr>
                <w:rFonts w:ascii="宋体" w:hAnsi="宋体" w:eastAsia="宋体"/>
                <w:szCs w:val="21"/>
              </w:rPr>
            </w:pPr>
          </w:p>
        </w:tc>
      </w:tr>
      <w:tr w14:paraId="509E6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1" w:type="dxa"/>
          </w:tcPr>
          <w:p w14:paraId="508738B8">
            <w:pPr>
              <w:spacing w:before="156" w:beforeLines="50" w:line="360" w:lineRule="auto"/>
              <w:rPr>
                <w:rFonts w:ascii="Times New Roman" w:hAnsi="Times New Roman" w:eastAsia="宋体" w:cs="Times New Roman"/>
                <w:szCs w:val="21"/>
              </w:rPr>
            </w:pPr>
            <w:r>
              <w:rPr>
                <w:rFonts w:hint="default" w:ascii="Times New Roman" w:hAnsi="Times New Roman" w:eastAsia="宋体" w:cs="Times New Roman"/>
                <w:szCs w:val="21"/>
              </w:rPr>
              <w:t>2</w:t>
            </w:r>
            <w:r>
              <w:rPr>
                <w:rFonts w:ascii="Times New Roman" w:hAnsi="Times New Roman" w:eastAsia="宋体" w:cs="Times New Roman"/>
                <w:szCs w:val="21"/>
              </w:rPr>
              <w:t>、</w:t>
            </w:r>
          </w:p>
        </w:tc>
        <w:tc>
          <w:tcPr>
            <w:tcW w:w="6899" w:type="dxa"/>
            <w:tcBorders>
              <w:top w:val="single" w:color="auto" w:sz="4" w:space="0"/>
              <w:bottom w:val="single" w:color="auto" w:sz="4" w:space="0"/>
            </w:tcBorders>
          </w:tcPr>
          <w:p w14:paraId="52B19C49">
            <w:pPr>
              <w:spacing w:before="156" w:beforeLines="50" w:line="360" w:lineRule="auto"/>
              <w:rPr>
                <w:rFonts w:ascii="宋体" w:hAnsi="宋体" w:eastAsia="宋体"/>
                <w:szCs w:val="21"/>
              </w:rPr>
            </w:pPr>
          </w:p>
        </w:tc>
      </w:tr>
      <w:tr w14:paraId="0CFEC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1" w:type="dxa"/>
          </w:tcPr>
          <w:p w14:paraId="5A7E2A0B">
            <w:pPr>
              <w:spacing w:before="156" w:beforeLines="50" w:line="360" w:lineRule="auto"/>
              <w:rPr>
                <w:rFonts w:ascii="Times New Roman" w:hAnsi="Times New Roman" w:eastAsia="宋体" w:cs="Times New Roman"/>
                <w:szCs w:val="21"/>
              </w:rPr>
            </w:pPr>
            <w:r>
              <w:rPr>
                <w:rFonts w:hint="default" w:ascii="Times New Roman" w:hAnsi="Times New Roman" w:eastAsia="宋体" w:cs="Times New Roman"/>
                <w:szCs w:val="21"/>
              </w:rPr>
              <w:t>3</w:t>
            </w:r>
            <w:r>
              <w:rPr>
                <w:rFonts w:ascii="Times New Roman" w:hAnsi="Times New Roman" w:eastAsia="宋体" w:cs="Times New Roman"/>
                <w:szCs w:val="21"/>
              </w:rPr>
              <w:t>、</w:t>
            </w:r>
          </w:p>
        </w:tc>
        <w:tc>
          <w:tcPr>
            <w:tcW w:w="6899" w:type="dxa"/>
            <w:tcBorders>
              <w:top w:val="single" w:color="auto" w:sz="4" w:space="0"/>
              <w:bottom w:val="single" w:color="auto" w:sz="4" w:space="0"/>
            </w:tcBorders>
          </w:tcPr>
          <w:p w14:paraId="394D1104">
            <w:pPr>
              <w:spacing w:before="156" w:beforeLines="50" w:line="360" w:lineRule="auto"/>
              <w:rPr>
                <w:rFonts w:ascii="宋体" w:hAnsi="宋体" w:eastAsia="宋体"/>
                <w:szCs w:val="21"/>
              </w:rPr>
            </w:pPr>
          </w:p>
        </w:tc>
      </w:tr>
      <w:tr w14:paraId="1669A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1" w:type="dxa"/>
          </w:tcPr>
          <w:p w14:paraId="477CCBB9">
            <w:pPr>
              <w:spacing w:before="156" w:beforeLines="50" w:line="360" w:lineRule="auto"/>
              <w:rPr>
                <w:rFonts w:ascii="Times New Roman" w:hAnsi="Times New Roman" w:eastAsia="宋体" w:cs="Times New Roman"/>
                <w:szCs w:val="21"/>
              </w:rPr>
            </w:pPr>
            <w:r>
              <w:rPr>
                <w:rFonts w:hint="default" w:ascii="Times New Roman" w:hAnsi="Times New Roman" w:eastAsia="宋体" w:cs="Times New Roman"/>
                <w:szCs w:val="21"/>
              </w:rPr>
              <w:t>4</w:t>
            </w:r>
            <w:r>
              <w:rPr>
                <w:rFonts w:ascii="Times New Roman" w:hAnsi="Times New Roman" w:eastAsia="宋体" w:cs="Times New Roman"/>
                <w:szCs w:val="21"/>
              </w:rPr>
              <w:t>、</w:t>
            </w:r>
          </w:p>
        </w:tc>
        <w:tc>
          <w:tcPr>
            <w:tcW w:w="6899" w:type="dxa"/>
            <w:tcBorders>
              <w:top w:val="single" w:color="auto" w:sz="4" w:space="0"/>
              <w:bottom w:val="single" w:color="auto" w:sz="4" w:space="0"/>
            </w:tcBorders>
          </w:tcPr>
          <w:p w14:paraId="3E75FA07">
            <w:pPr>
              <w:spacing w:before="156" w:beforeLines="50" w:line="360" w:lineRule="auto"/>
              <w:rPr>
                <w:rFonts w:ascii="宋体" w:hAnsi="宋体" w:eastAsia="宋体"/>
                <w:szCs w:val="21"/>
              </w:rPr>
            </w:pPr>
          </w:p>
        </w:tc>
      </w:tr>
      <w:tr w14:paraId="40095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1" w:type="dxa"/>
          </w:tcPr>
          <w:p w14:paraId="7FD95985">
            <w:pPr>
              <w:spacing w:before="156" w:beforeLines="50" w:line="360" w:lineRule="auto"/>
              <w:rPr>
                <w:rFonts w:ascii="Times New Roman" w:hAnsi="Times New Roman" w:eastAsia="宋体" w:cs="Times New Roman"/>
                <w:szCs w:val="21"/>
              </w:rPr>
            </w:pPr>
            <w:r>
              <w:rPr>
                <w:rFonts w:hint="default" w:ascii="Times New Roman" w:hAnsi="Times New Roman" w:eastAsia="宋体" w:cs="Times New Roman"/>
                <w:szCs w:val="21"/>
              </w:rPr>
              <w:t>5</w:t>
            </w:r>
            <w:r>
              <w:rPr>
                <w:rFonts w:hint="eastAsia" w:ascii="Times New Roman" w:hAnsi="Times New Roman" w:eastAsia="宋体" w:cs="Times New Roman"/>
                <w:szCs w:val="21"/>
              </w:rPr>
              <w:t>、</w:t>
            </w:r>
          </w:p>
        </w:tc>
        <w:tc>
          <w:tcPr>
            <w:tcW w:w="6899" w:type="dxa"/>
            <w:tcBorders>
              <w:top w:val="single" w:color="auto" w:sz="4" w:space="0"/>
              <w:bottom w:val="single" w:color="auto" w:sz="4" w:space="0"/>
            </w:tcBorders>
          </w:tcPr>
          <w:p w14:paraId="1D2974FA">
            <w:pPr>
              <w:spacing w:before="156" w:beforeLines="50" w:line="360" w:lineRule="auto"/>
              <w:rPr>
                <w:rFonts w:ascii="宋体" w:hAnsi="宋体" w:eastAsia="宋体"/>
                <w:szCs w:val="21"/>
              </w:rPr>
            </w:pPr>
          </w:p>
        </w:tc>
      </w:tr>
      <w:tr w14:paraId="3B024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1" w:type="dxa"/>
          </w:tcPr>
          <w:p w14:paraId="0A29B227">
            <w:pPr>
              <w:spacing w:before="156" w:beforeLines="50" w:line="360" w:lineRule="auto"/>
              <w:rPr>
                <w:rFonts w:ascii="Times New Roman" w:hAnsi="Times New Roman" w:eastAsia="宋体" w:cs="Times New Roman"/>
                <w:szCs w:val="21"/>
              </w:rPr>
            </w:pPr>
            <w:r>
              <w:rPr>
                <w:rFonts w:hint="default" w:ascii="Times New Roman" w:hAnsi="Times New Roman" w:eastAsia="宋体" w:cs="Times New Roman"/>
                <w:szCs w:val="21"/>
              </w:rPr>
              <w:t>6</w:t>
            </w:r>
            <w:r>
              <w:rPr>
                <w:rFonts w:hint="eastAsia" w:ascii="Times New Roman" w:hAnsi="Times New Roman" w:eastAsia="宋体" w:cs="Times New Roman"/>
                <w:szCs w:val="21"/>
              </w:rPr>
              <w:t>、</w:t>
            </w:r>
          </w:p>
        </w:tc>
        <w:tc>
          <w:tcPr>
            <w:tcW w:w="6899" w:type="dxa"/>
            <w:tcBorders>
              <w:top w:val="single" w:color="auto" w:sz="4" w:space="0"/>
              <w:bottom w:val="single" w:color="auto" w:sz="4" w:space="0"/>
            </w:tcBorders>
          </w:tcPr>
          <w:p w14:paraId="3B8EEC08">
            <w:pPr>
              <w:spacing w:before="156" w:beforeLines="50" w:line="360" w:lineRule="auto"/>
              <w:rPr>
                <w:rFonts w:ascii="宋体" w:hAnsi="宋体" w:eastAsia="宋体"/>
                <w:szCs w:val="21"/>
              </w:rPr>
            </w:pPr>
          </w:p>
        </w:tc>
      </w:tr>
    </w:tbl>
    <w:p w14:paraId="089D8C9A">
      <w:pPr>
        <w:spacing w:before="156" w:beforeLines="50" w:line="360" w:lineRule="auto"/>
        <w:ind w:firstLine="420" w:firstLineChars="200"/>
        <w:rPr>
          <w:rFonts w:ascii="宋体" w:hAnsi="宋体" w:eastAsia="宋体"/>
          <w:szCs w:val="21"/>
        </w:rPr>
      </w:pPr>
      <w:r>
        <w:rPr>
          <w:rFonts w:hint="eastAsia" w:ascii="宋体" w:hAnsi="宋体" w:eastAsia="宋体"/>
          <w:szCs w:val="21"/>
        </w:rPr>
        <w:t>上述文件接</w:t>
      </w:r>
      <w:r>
        <w:rPr>
          <w:rFonts w:hint="eastAsia" w:ascii="宋体" w:hAnsi="宋体" w:eastAsia="宋体"/>
          <w:szCs w:val="21"/>
          <w:lang w:val="en-US" w:eastAsia="zh-CN"/>
        </w:rPr>
        <w:t>收</w:t>
      </w:r>
      <w:r>
        <w:rPr>
          <w:rFonts w:hint="eastAsia" w:ascii="宋体" w:hAnsi="宋体" w:eastAsia="宋体"/>
          <w:szCs w:val="21"/>
        </w:rPr>
        <w:t>/使用人员情况如下：</w:t>
      </w:r>
    </w:p>
    <w:p w14:paraId="26FE1546">
      <w:pPr>
        <w:spacing w:before="156" w:beforeLines="50" w:line="360" w:lineRule="auto"/>
        <w:jc w:val="center"/>
        <w:rPr>
          <w:rFonts w:ascii="宋体" w:hAnsi="宋体" w:eastAsia="宋体"/>
          <w:b/>
          <w:bCs/>
          <w:szCs w:val="21"/>
        </w:rPr>
      </w:pPr>
      <w:r>
        <w:rPr>
          <w:rFonts w:hint="eastAsia" w:ascii="宋体" w:hAnsi="宋体" w:eastAsia="宋体"/>
          <w:b/>
          <w:bCs/>
          <w:szCs w:val="21"/>
        </w:rPr>
        <w:t>使用信息人员情况</w:t>
      </w:r>
    </w:p>
    <w:tbl>
      <w:tblPr>
        <w:tblStyle w:val="5"/>
        <w:tblW w:w="8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1197"/>
        <w:gridCol w:w="1197"/>
        <w:gridCol w:w="1197"/>
        <w:gridCol w:w="1197"/>
        <w:gridCol w:w="1197"/>
        <w:gridCol w:w="1198"/>
      </w:tblGrid>
      <w:tr w14:paraId="4D1D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197" w:type="dxa"/>
            <w:vAlign w:val="center"/>
          </w:tcPr>
          <w:p w14:paraId="369B5750">
            <w:pPr>
              <w:spacing w:before="156" w:beforeLines="50" w:line="360" w:lineRule="auto"/>
              <w:jc w:val="center"/>
              <w:rPr>
                <w:rFonts w:ascii="宋体" w:hAnsi="宋体" w:eastAsia="宋体"/>
                <w:szCs w:val="21"/>
              </w:rPr>
            </w:pPr>
            <w:r>
              <w:rPr>
                <w:rFonts w:hint="eastAsia" w:ascii="宋体" w:hAnsi="宋体" w:eastAsia="宋体"/>
                <w:szCs w:val="21"/>
              </w:rPr>
              <w:t>姓名</w:t>
            </w:r>
          </w:p>
        </w:tc>
        <w:tc>
          <w:tcPr>
            <w:tcW w:w="1197" w:type="dxa"/>
            <w:vAlign w:val="center"/>
          </w:tcPr>
          <w:p w14:paraId="0B2A156E">
            <w:pPr>
              <w:spacing w:before="156" w:beforeLines="50" w:line="360" w:lineRule="auto"/>
              <w:jc w:val="center"/>
              <w:rPr>
                <w:rFonts w:ascii="宋体" w:hAnsi="宋体" w:eastAsia="宋体"/>
                <w:szCs w:val="21"/>
              </w:rPr>
            </w:pPr>
            <w:r>
              <w:rPr>
                <w:rFonts w:hint="eastAsia" w:ascii="宋体" w:hAnsi="宋体" w:eastAsia="宋体"/>
                <w:szCs w:val="21"/>
              </w:rPr>
              <w:t>单位名称</w:t>
            </w:r>
          </w:p>
        </w:tc>
        <w:tc>
          <w:tcPr>
            <w:tcW w:w="1197" w:type="dxa"/>
            <w:vAlign w:val="center"/>
          </w:tcPr>
          <w:p w14:paraId="4B5BC867">
            <w:pPr>
              <w:spacing w:before="156" w:beforeLines="50" w:line="360" w:lineRule="auto"/>
              <w:jc w:val="center"/>
              <w:rPr>
                <w:rFonts w:ascii="宋体" w:hAnsi="宋体" w:eastAsia="宋体"/>
                <w:szCs w:val="21"/>
              </w:rPr>
            </w:pPr>
            <w:r>
              <w:rPr>
                <w:rFonts w:hint="eastAsia" w:ascii="宋体" w:hAnsi="宋体" w:eastAsia="宋体"/>
                <w:szCs w:val="21"/>
              </w:rPr>
              <w:t>所在部门及职务</w:t>
            </w:r>
          </w:p>
        </w:tc>
        <w:tc>
          <w:tcPr>
            <w:tcW w:w="1197" w:type="dxa"/>
            <w:vAlign w:val="center"/>
          </w:tcPr>
          <w:p w14:paraId="0B3A0DF4">
            <w:pPr>
              <w:spacing w:before="156" w:beforeLines="50" w:line="360" w:lineRule="auto"/>
              <w:jc w:val="center"/>
              <w:rPr>
                <w:rFonts w:ascii="宋体" w:hAnsi="宋体" w:eastAsia="宋体"/>
                <w:szCs w:val="21"/>
              </w:rPr>
            </w:pPr>
            <w:r>
              <w:rPr>
                <w:rFonts w:hint="eastAsia" w:ascii="宋体" w:hAnsi="宋体" w:eastAsia="宋体"/>
                <w:szCs w:val="21"/>
              </w:rPr>
              <w:t>身份证号码</w:t>
            </w:r>
          </w:p>
        </w:tc>
        <w:tc>
          <w:tcPr>
            <w:tcW w:w="1197" w:type="dxa"/>
            <w:vAlign w:val="center"/>
          </w:tcPr>
          <w:p w14:paraId="636F7FAA">
            <w:pPr>
              <w:spacing w:before="156" w:beforeLines="50" w:line="360" w:lineRule="auto"/>
              <w:jc w:val="center"/>
              <w:rPr>
                <w:rFonts w:ascii="宋体" w:hAnsi="宋体" w:eastAsia="宋体"/>
                <w:szCs w:val="21"/>
              </w:rPr>
            </w:pPr>
            <w:r>
              <w:rPr>
                <w:rFonts w:hint="eastAsia" w:ascii="宋体" w:hAnsi="宋体" w:eastAsia="宋体"/>
                <w:szCs w:val="21"/>
              </w:rPr>
              <w:t>证券账户</w:t>
            </w:r>
          </w:p>
        </w:tc>
        <w:tc>
          <w:tcPr>
            <w:tcW w:w="1197" w:type="dxa"/>
            <w:vAlign w:val="center"/>
          </w:tcPr>
          <w:p w14:paraId="4B2CEB5C">
            <w:pPr>
              <w:spacing w:before="156" w:beforeLines="50" w:line="360" w:lineRule="auto"/>
              <w:jc w:val="center"/>
              <w:rPr>
                <w:rFonts w:ascii="宋体" w:hAnsi="宋体" w:eastAsia="宋体"/>
                <w:szCs w:val="21"/>
              </w:rPr>
            </w:pPr>
            <w:r>
              <w:rPr>
                <w:rFonts w:hint="eastAsia" w:ascii="宋体" w:hAnsi="宋体" w:eastAsia="宋体"/>
                <w:szCs w:val="21"/>
              </w:rPr>
              <w:t>联系电话</w:t>
            </w:r>
          </w:p>
        </w:tc>
        <w:tc>
          <w:tcPr>
            <w:tcW w:w="1198" w:type="dxa"/>
            <w:vAlign w:val="center"/>
          </w:tcPr>
          <w:p w14:paraId="1373E592">
            <w:pPr>
              <w:spacing w:before="156" w:beforeLines="50" w:line="360" w:lineRule="auto"/>
              <w:jc w:val="center"/>
              <w:rPr>
                <w:rFonts w:ascii="宋体" w:hAnsi="宋体" w:eastAsia="宋体"/>
                <w:szCs w:val="21"/>
              </w:rPr>
            </w:pPr>
            <w:r>
              <w:rPr>
                <w:rFonts w:hint="eastAsia" w:ascii="宋体" w:hAnsi="宋体" w:eastAsia="宋体"/>
                <w:szCs w:val="21"/>
              </w:rPr>
              <w:t>知悉时间</w:t>
            </w:r>
          </w:p>
        </w:tc>
      </w:tr>
      <w:tr w14:paraId="25C4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197" w:type="dxa"/>
          </w:tcPr>
          <w:p w14:paraId="14AE4F49">
            <w:pPr>
              <w:spacing w:before="156" w:beforeLines="50" w:line="360" w:lineRule="auto"/>
              <w:rPr>
                <w:rFonts w:ascii="宋体" w:hAnsi="宋体" w:eastAsia="宋体"/>
                <w:szCs w:val="21"/>
              </w:rPr>
            </w:pPr>
          </w:p>
        </w:tc>
        <w:tc>
          <w:tcPr>
            <w:tcW w:w="1197" w:type="dxa"/>
          </w:tcPr>
          <w:p w14:paraId="56C626BE">
            <w:pPr>
              <w:spacing w:before="156" w:beforeLines="50" w:line="360" w:lineRule="auto"/>
              <w:rPr>
                <w:rFonts w:ascii="宋体" w:hAnsi="宋体" w:eastAsia="宋体"/>
                <w:szCs w:val="21"/>
              </w:rPr>
            </w:pPr>
          </w:p>
        </w:tc>
        <w:tc>
          <w:tcPr>
            <w:tcW w:w="1197" w:type="dxa"/>
          </w:tcPr>
          <w:p w14:paraId="5E53F6DE">
            <w:pPr>
              <w:spacing w:before="156" w:beforeLines="50" w:line="360" w:lineRule="auto"/>
              <w:rPr>
                <w:rFonts w:ascii="宋体" w:hAnsi="宋体" w:eastAsia="宋体"/>
                <w:szCs w:val="21"/>
              </w:rPr>
            </w:pPr>
          </w:p>
        </w:tc>
        <w:tc>
          <w:tcPr>
            <w:tcW w:w="1197" w:type="dxa"/>
          </w:tcPr>
          <w:p w14:paraId="4023A36C">
            <w:pPr>
              <w:spacing w:before="156" w:beforeLines="50" w:line="360" w:lineRule="auto"/>
              <w:rPr>
                <w:rFonts w:ascii="宋体" w:hAnsi="宋体" w:eastAsia="宋体"/>
                <w:szCs w:val="21"/>
              </w:rPr>
            </w:pPr>
          </w:p>
        </w:tc>
        <w:tc>
          <w:tcPr>
            <w:tcW w:w="1197" w:type="dxa"/>
          </w:tcPr>
          <w:p w14:paraId="7FB5FECB">
            <w:pPr>
              <w:spacing w:before="156" w:beforeLines="50" w:line="360" w:lineRule="auto"/>
              <w:rPr>
                <w:rFonts w:ascii="宋体" w:hAnsi="宋体" w:eastAsia="宋体"/>
                <w:szCs w:val="21"/>
              </w:rPr>
            </w:pPr>
          </w:p>
        </w:tc>
        <w:tc>
          <w:tcPr>
            <w:tcW w:w="1197" w:type="dxa"/>
          </w:tcPr>
          <w:p w14:paraId="295BB79D">
            <w:pPr>
              <w:spacing w:before="156" w:beforeLines="50" w:line="360" w:lineRule="auto"/>
              <w:rPr>
                <w:rFonts w:ascii="宋体" w:hAnsi="宋体" w:eastAsia="宋体"/>
                <w:szCs w:val="21"/>
              </w:rPr>
            </w:pPr>
          </w:p>
        </w:tc>
        <w:tc>
          <w:tcPr>
            <w:tcW w:w="1198" w:type="dxa"/>
          </w:tcPr>
          <w:p w14:paraId="17602195">
            <w:pPr>
              <w:spacing w:before="156" w:beforeLines="50" w:line="360" w:lineRule="auto"/>
              <w:rPr>
                <w:rFonts w:ascii="宋体" w:hAnsi="宋体" w:eastAsia="宋体"/>
                <w:szCs w:val="21"/>
              </w:rPr>
            </w:pPr>
          </w:p>
        </w:tc>
      </w:tr>
      <w:tr w14:paraId="4A5F1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197" w:type="dxa"/>
          </w:tcPr>
          <w:p w14:paraId="309728E9">
            <w:pPr>
              <w:spacing w:before="156" w:beforeLines="50" w:line="360" w:lineRule="auto"/>
              <w:rPr>
                <w:rFonts w:ascii="宋体" w:hAnsi="宋体" w:eastAsia="宋体"/>
                <w:szCs w:val="21"/>
              </w:rPr>
            </w:pPr>
          </w:p>
        </w:tc>
        <w:tc>
          <w:tcPr>
            <w:tcW w:w="1197" w:type="dxa"/>
          </w:tcPr>
          <w:p w14:paraId="183397EE">
            <w:pPr>
              <w:spacing w:before="156" w:beforeLines="50" w:line="360" w:lineRule="auto"/>
              <w:rPr>
                <w:rFonts w:ascii="宋体" w:hAnsi="宋体" w:eastAsia="宋体"/>
                <w:szCs w:val="21"/>
              </w:rPr>
            </w:pPr>
          </w:p>
        </w:tc>
        <w:tc>
          <w:tcPr>
            <w:tcW w:w="1197" w:type="dxa"/>
          </w:tcPr>
          <w:p w14:paraId="179F28BE">
            <w:pPr>
              <w:spacing w:before="156" w:beforeLines="50" w:line="360" w:lineRule="auto"/>
              <w:rPr>
                <w:rFonts w:ascii="宋体" w:hAnsi="宋体" w:eastAsia="宋体"/>
                <w:szCs w:val="21"/>
              </w:rPr>
            </w:pPr>
          </w:p>
        </w:tc>
        <w:tc>
          <w:tcPr>
            <w:tcW w:w="1197" w:type="dxa"/>
          </w:tcPr>
          <w:p w14:paraId="64CC1428">
            <w:pPr>
              <w:spacing w:before="156" w:beforeLines="50" w:line="360" w:lineRule="auto"/>
              <w:rPr>
                <w:rFonts w:ascii="宋体" w:hAnsi="宋体" w:eastAsia="宋体"/>
                <w:szCs w:val="21"/>
              </w:rPr>
            </w:pPr>
          </w:p>
        </w:tc>
        <w:tc>
          <w:tcPr>
            <w:tcW w:w="1197" w:type="dxa"/>
          </w:tcPr>
          <w:p w14:paraId="7F25F8C2">
            <w:pPr>
              <w:spacing w:before="156" w:beforeLines="50" w:line="360" w:lineRule="auto"/>
              <w:rPr>
                <w:rFonts w:ascii="宋体" w:hAnsi="宋体" w:eastAsia="宋体"/>
                <w:szCs w:val="21"/>
              </w:rPr>
            </w:pPr>
          </w:p>
        </w:tc>
        <w:tc>
          <w:tcPr>
            <w:tcW w:w="1197" w:type="dxa"/>
          </w:tcPr>
          <w:p w14:paraId="53AF04B9">
            <w:pPr>
              <w:spacing w:before="156" w:beforeLines="50" w:line="360" w:lineRule="auto"/>
              <w:rPr>
                <w:rFonts w:ascii="宋体" w:hAnsi="宋体" w:eastAsia="宋体"/>
                <w:szCs w:val="21"/>
              </w:rPr>
            </w:pPr>
          </w:p>
        </w:tc>
        <w:tc>
          <w:tcPr>
            <w:tcW w:w="1198" w:type="dxa"/>
          </w:tcPr>
          <w:p w14:paraId="380BE18B">
            <w:pPr>
              <w:spacing w:before="156" w:beforeLines="50" w:line="360" w:lineRule="auto"/>
              <w:rPr>
                <w:rFonts w:ascii="宋体" w:hAnsi="宋体" w:eastAsia="宋体"/>
                <w:szCs w:val="21"/>
              </w:rPr>
            </w:pPr>
          </w:p>
        </w:tc>
      </w:tr>
      <w:tr w14:paraId="79898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197" w:type="dxa"/>
          </w:tcPr>
          <w:p w14:paraId="251729FB">
            <w:pPr>
              <w:spacing w:before="156" w:beforeLines="50" w:line="360" w:lineRule="auto"/>
              <w:rPr>
                <w:rFonts w:ascii="宋体" w:hAnsi="宋体" w:eastAsia="宋体"/>
                <w:szCs w:val="21"/>
              </w:rPr>
            </w:pPr>
          </w:p>
        </w:tc>
        <w:tc>
          <w:tcPr>
            <w:tcW w:w="1197" w:type="dxa"/>
          </w:tcPr>
          <w:p w14:paraId="6A019A45">
            <w:pPr>
              <w:spacing w:before="156" w:beforeLines="50" w:line="360" w:lineRule="auto"/>
              <w:rPr>
                <w:rFonts w:ascii="宋体" w:hAnsi="宋体" w:eastAsia="宋体"/>
                <w:szCs w:val="21"/>
              </w:rPr>
            </w:pPr>
          </w:p>
        </w:tc>
        <w:tc>
          <w:tcPr>
            <w:tcW w:w="1197" w:type="dxa"/>
          </w:tcPr>
          <w:p w14:paraId="2459347E">
            <w:pPr>
              <w:spacing w:before="156" w:beforeLines="50" w:line="360" w:lineRule="auto"/>
              <w:rPr>
                <w:rFonts w:ascii="宋体" w:hAnsi="宋体" w:eastAsia="宋体"/>
                <w:szCs w:val="21"/>
              </w:rPr>
            </w:pPr>
          </w:p>
        </w:tc>
        <w:tc>
          <w:tcPr>
            <w:tcW w:w="1197" w:type="dxa"/>
          </w:tcPr>
          <w:p w14:paraId="3C8017B0">
            <w:pPr>
              <w:spacing w:before="156" w:beforeLines="50" w:line="360" w:lineRule="auto"/>
              <w:rPr>
                <w:rFonts w:ascii="宋体" w:hAnsi="宋体" w:eastAsia="宋体"/>
                <w:szCs w:val="21"/>
              </w:rPr>
            </w:pPr>
          </w:p>
        </w:tc>
        <w:tc>
          <w:tcPr>
            <w:tcW w:w="1197" w:type="dxa"/>
          </w:tcPr>
          <w:p w14:paraId="6BC55CF4">
            <w:pPr>
              <w:spacing w:before="156" w:beforeLines="50" w:line="360" w:lineRule="auto"/>
              <w:rPr>
                <w:rFonts w:ascii="宋体" w:hAnsi="宋体" w:eastAsia="宋体"/>
                <w:szCs w:val="21"/>
              </w:rPr>
            </w:pPr>
          </w:p>
        </w:tc>
        <w:tc>
          <w:tcPr>
            <w:tcW w:w="1197" w:type="dxa"/>
          </w:tcPr>
          <w:p w14:paraId="5B64E137">
            <w:pPr>
              <w:spacing w:before="156" w:beforeLines="50" w:line="360" w:lineRule="auto"/>
              <w:rPr>
                <w:rFonts w:ascii="宋体" w:hAnsi="宋体" w:eastAsia="宋体"/>
                <w:szCs w:val="21"/>
              </w:rPr>
            </w:pPr>
          </w:p>
        </w:tc>
        <w:tc>
          <w:tcPr>
            <w:tcW w:w="1198" w:type="dxa"/>
          </w:tcPr>
          <w:p w14:paraId="6DE7AA1F">
            <w:pPr>
              <w:spacing w:before="156" w:beforeLines="50" w:line="360" w:lineRule="auto"/>
              <w:rPr>
                <w:rFonts w:ascii="宋体" w:hAnsi="宋体" w:eastAsia="宋体"/>
                <w:szCs w:val="21"/>
              </w:rPr>
            </w:pPr>
          </w:p>
        </w:tc>
      </w:tr>
      <w:tr w14:paraId="11D46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197" w:type="dxa"/>
          </w:tcPr>
          <w:p w14:paraId="1B7FF0B5">
            <w:pPr>
              <w:spacing w:before="156" w:beforeLines="50" w:line="360" w:lineRule="auto"/>
              <w:rPr>
                <w:rFonts w:ascii="宋体" w:hAnsi="宋体" w:eastAsia="宋体"/>
                <w:szCs w:val="21"/>
              </w:rPr>
            </w:pPr>
          </w:p>
        </w:tc>
        <w:tc>
          <w:tcPr>
            <w:tcW w:w="1197" w:type="dxa"/>
          </w:tcPr>
          <w:p w14:paraId="348A5118">
            <w:pPr>
              <w:spacing w:before="156" w:beforeLines="50" w:line="360" w:lineRule="auto"/>
              <w:rPr>
                <w:rFonts w:ascii="宋体" w:hAnsi="宋体" w:eastAsia="宋体"/>
                <w:szCs w:val="21"/>
              </w:rPr>
            </w:pPr>
          </w:p>
        </w:tc>
        <w:tc>
          <w:tcPr>
            <w:tcW w:w="1197" w:type="dxa"/>
          </w:tcPr>
          <w:p w14:paraId="4C9E081B">
            <w:pPr>
              <w:spacing w:before="156" w:beforeLines="50" w:line="360" w:lineRule="auto"/>
              <w:rPr>
                <w:rFonts w:ascii="宋体" w:hAnsi="宋体" w:eastAsia="宋体"/>
                <w:szCs w:val="21"/>
              </w:rPr>
            </w:pPr>
          </w:p>
        </w:tc>
        <w:tc>
          <w:tcPr>
            <w:tcW w:w="1197" w:type="dxa"/>
          </w:tcPr>
          <w:p w14:paraId="4F5169C6">
            <w:pPr>
              <w:spacing w:before="156" w:beforeLines="50" w:line="360" w:lineRule="auto"/>
              <w:rPr>
                <w:rFonts w:ascii="宋体" w:hAnsi="宋体" w:eastAsia="宋体"/>
                <w:szCs w:val="21"/>
              </w:rPr>
            </w:pPr>
          </w:p>
        </w:tc>
        <w:tc>
          <w:tcPr>
            <w:tcW w:w="1197" w:type="dxa"/>
          </w:tcPr>
          <w:p w14:paraId="790436DB">
            <w:pPr>
              <w:spacing w:before="156" w:beforeLines="50" w:line="360" w:lineRule="auto"/>
              <w:rPr>
                <w:rFonts w:ascii="宋体" w:hAnsi="宋体" w:eastAsia="宋体"/>
                <w:szCs w:val="21"/>
              </w:rPr>
            </w:pPr>
          </w:p>
        </w:tc>
        <w:tc>
          <w:tcPr>
            <w:tcW w:w="1197" w:type="dxa"/>
          </w:tcPr>
          <w:p w14:paraId="13CEDC37">
            <w:pPr>
              <w:spacing w:before="156" w:beforeLines="50" w:line="360" w:lineRule="auto"/>
              <w:rPr>
                <w:rFonts w:ascii="宋体" w:hAnsi="宋体" w:eastAsia="宋体"/>
                <w:szCs w:val="21"/>
              </w:rPr>
            </w:pPr>
          </w:p>
        </w:tc>
        <w:tc>
          <w:tcPr>
            <w:tcW w:w="1198" w:type="dxa"/>
          </w:tcPr>
          <w:p w14:paraId="34156D77">
            <w:pPr>
              <w:spacing w:before="156" w:beforeLines="50" w:line="360" w:lineRule="auto"/>
              <w:rPr>
                <w:rFonts w:ascii="宋体" w:hAnsi="宋体" w:eastAsia="宋体"/>
                <w:szCs w:val="21"/>
              </w:rPr>
            </w:pPr>
          </w:p>
        </w:tc>
      </w:tr>
    </w:tbl>
    <w:p w14:paraId="423AA3F8">
      <w:pPr>
        <w:spacing w:before="156" w:beforeLines="50" w:line="360" w:lineRule="auto"/>
        <w:ind w:firstLine="420" w:firstLineChars="200"/>
        <w:rPr>
          <w:rFonts w:ascii="宋体" w:hAnsi="宋体" w:eastAsia="宋体"/>
          <w:szCs w:val="21"/>
        </w:rPr>
      </w:pPr>
    </w:p>
    <w:p w14:paraId="0102C386">
      <w:pPr>
        <w:spacing w:before="156" w:beforeLines="50" w:line="360" w:lineRule="auto"/>
        <w:ind w:firstLine="420" w:firstLineChars="200"/>
        <w:rPr>
          <w:rFonts w:ascii="宋体" w:hAnsi="宋体" w:eastAsia="宋体"/>
          <w:szCs w:val="21"/>
        </w:rPr>
      </w:pPr>
      <w:r>
        <w:rPr>
          <w:rFonts w:hint="eastAsia" w:ascii="宋体" w:hAnsi="宋体" w:eastAsia="宋体"/>
          <w:szCs w:val="21"/>
        </w:rPr>
        <w:t>特</w:t>
      </w:r>
      <w:r>
        <w:rPr>
          <w:rFonts w:hint="eastAsia" w:ascii="宋体" w:hAnsi="宋体" w:eastAsia="宋体"/>
          <w:szCs w:val="21"/>
          <w:lang w:val="en-US" w:eastAsia="zh-CN"/>
        </w:rPr>
        <w:t>此</w:t>
      </w:r>
      <w:r>
        <w:rPr>
          <w:rFonts w:hint="eastAsia" w:ascii="宋体" w:hAnsi="宋体" w:eastAsia="宋体"/>
          <w:szCs w:val="21"/>
        </w:rPr>
        <w:t>知悉。</w:t>
      </w:r>
    </w:p>
    <w:p w14:paraId="33CD7E23">
      <w:pPr>
        <w:wordWrap w:val="0"/>
        <w:spacing w:before="156" w:beforeLines="50" w:line="360" w:lineRule="auto"/>
        <w:ind w:firstLine="420" w:firstLineChars="200"/>
        <w:jc w:val="right"/>
        <w:rPr>
          <w:rFonts w:ascii="宋体" w:hAnsi="宋体" w:eastAsia="宋体"/>
          <w:szCs w:val="21"/>
        </w:rPr>
      </w:pPr>
      <w:r>
        <w:rPr>
          <w:rFonts w:hint="eastAsia" w:ascii="宋体" w:hAnsi="宋体" w:eastAsia="宋体"/>
          <w:szCs w:val="21"/>
        </w:rPr>
        <w:t xml:space="preserve">签收人： </w:t>
      </w:r>
      <w:r>
        <w:rPr>
          <w:rFonts w:ascii="宋体" w:hAnsi="宋体" w:eastAsia="宋体"/>
          <w:szCs w:val="21"/>
        </w:rPr>
        <w:t xml:space="preserve">           </w:t>
      </w:r>
    </w:p>
    <w:p w14:paraId="1C91271D">
      <w:pPr>
        <w:wordWrap w:val="0"/>
        <w:spacing w:before="156" w:beforeLines="50" w:line="360" w:lineRule="auto"/>
        <w:ind w:firstLine="420" w:firstLineChars="200"/>
        <w:jc w:val="right"/>
        <w:rPr>
          <w:rFonts w:ascii="宋体" w:hAnsi="宋体" w:eastAsia="宋体"/>
          <w:szCs w:val="21"/>
        </w:rPr>
      </w:pP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 xml:space="preserve">年 </w:t>
      </w:r>
      <w:r>
        <w:rPr>
          <w:rFonts w:ascii="宋体" w:hAnsi="宋体" w:eastAsia="宋体"/>
          <w:szCs w:val="21"/>
        </w:rPr>
        <w:t xml:space="preserve">  </w:t>
      </w:r>
      <w:r>
        <w:rPr>
          <w:rFonts w:hint="eastAsia" w:ascii="宋体" w:hAnsi="宋体" w:eastAsia="宋体"/>
          <w:szCs w:val="21"/>
        </w:rPr>
        <w:t xml:space="preserve">月 </w:t>
      </w:r>
      <w:r>
        <w:rPr>
          <w:rFonts w:ascii="宋体" w:hAnsi="宋体" w:eastAsia="宋体"/>
          <w:szCs w:val="21"/>
        </w:rPr>
        <w:t xml:space="preserve">  </w:t>
      </w:r>
      <w:r>
        <w:rPr>
          <w:rFonts w:hint="eastAsia" w:ascii="宋体" w:hAnsi="宋体" w:eastAsia="宋体"/>
          <w:szCs w:val="21"/>
        </w:rPr>
        <w:t xml:space="preserve">日 </w:t>
      </w:r>
      <w:r>
        <w:rPr>
          <w:rFonts w:ascii="宋体" w:hAnsi="宋体" w:eastAsia="宋体"/>
          <w:szCs w:val="21"/>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579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EAABEC7">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EAABEC7">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E68F5"/>
    <w:multiLevelType w:val="multilevel"/>
    <w:tmpl w:val="C87E68F5"/>
    <w:lvl w:ilvl="0" w:tentative="0">
      <w:start w:val="1"/>
      <w:numFmt w:val="japaneseCounting"/>
      <w:suff w:val="nothing"/>
      <w:lvlText w:val="第%1条"/>
      <w:lvlJc w:val="left"/>
      <w:pPr>
        <w:ind w:left="740" w:hanging="740"/>
      </w:pPr>
      <w:rPr>
        <w:rFonts w:hint="eastAsia"/>
        <w:b/>
        <w:bC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RlOTk1ZDM4MjkzZjgxMjZiN2M3ZjNmNDQ5NGIzZGYifQ=="/>
  </w:docVars>
  <w:rsids>
    <w:rsidRoot w:val="00DC3D8F"/>
    <w:rsid w:val="00056C32"/>
    <w:rsid w:val="000E0347"/>
    <w:rsid w:val="00142F85"/>
    <w:rsid w:val="001A2BC1"/>
    <w:rsid w:val="001B71C1"/>
    <w:rsid w:val="001D33D3"/>
    <w:rsid w:val="001E50E7"/>
    <w:rsid w:val="002105DE"/>
    <w:rsid w:val="002139CD"/>
    <w:rsid w:val="00231CF5"/>
    <w:rsid w:val="00251A3E"/>
    <w:rsid w:val="002C6556"/>
    <w:rsid w:val="002D7865"/>
    <w:rsid w:val="002E7E12"/>
    <w:rsid w:val="0031342A"/>
    <w:rsid w:val="00371B7D"/>
    <w:rsid w:val="003C22C0"/>
    <w:rsid w:val="003D7D49"/>
    <w:rsid w:val="003E2A67"/>
    <w:rsid w:val="003E5490"/>
    <w:rsid w:val="003F3BD3"/>
    <w:rsid w:val="004861EF"/>
    <w:rsid w:val="004C7587"/>
    <w:rsid w:val="004E4600"/>
    <w:rsid w:val="00533A54"/>
    <w:rsid w:val="0056419B"/>
    <w:rsid w:val="00573344"/>
    <w:rsid w:val="00583ACD"/>
    <w:rsid w:val="005B1F22"/>
    <w:rsid w:val="005E0F6D"/>
    <w:rsid w:val="00636DBC"/>
    <w:rsid w:val="00670489"/>
    <w:rsid w:val="006B42D7"/>
    <w:rsid w:val="006C1144"/>
    <w:rsid w:val="00711732"/>
    <w:rsid w:val="00762A1B"/>
    <w:rsid w:val="007A67CB"/>
    <w:rsid w:val="007A716E"/>
    <w:rsid w:val="007A7FE2"/>
    <w:rsid w:val="008019D4"/>
    <w:rsid w:val="00804B82"/>
    <w:rsid w:val="00865AD3"/>
    <w:rsid w:val="00871CB3"/>
    <w:rsid w:val="00910B75"/>
    <w:rsid w:val="00913718"/>
    <w:rsid w:val="00914929"/>
    <w:rsid w:val="009306C3"/>
    <w:rsid w:val="00933A0E"/>
    <w:rsid w:val="0098244F"/>
    <w:rsid w:val="009B4406"/>
    <w:rsid w:val="009C2AB5"/>
    <w:rsid w:val="009F5D1B"/>
    <w:rsid w:val="00A12AE1"/>
    <w:rsid w:val="00A75751"/>
    <w:rsid w:val="00A90C12"/>
    <w:rsid w:val="00A92CBB"/>
    <w:rsid w:val="00AF5BF3"/>
    <w:rsid w:val="00B51BB3"/>
    <w:rsid w:val="00BD1EF3"/>
    <w:rsid w:val="00BE15AF"/>
    <w:rsid w:val="00C34352"/>
    <w:rsid w:val="00C4268C"/>
    <w:rsid w:val="00C74E42"/>
    <w:rsid w:val="00CC3AD9"/>
    <w:rsid w:val="00DA7B65"/>
    <w:rsid w:val="00DC3D8F"/>
    <w:rsid w:val="00DE0C70"/>
    <w:rsid w:val="00DE55FB"/>
    <w:rsid w:val="00F11A9E"/>
    <w:rsid w:val="00F2216F"/>
    <w:rsid w:val="00F732F6"/>
    <w:rsid w:val="00F809E9"/>
    <w:rsid w:val="00F87579"/>
    <w:rsid w:val="00FD5A57"/>
    <w:rsid w:val="08E3249D"/>
    <w:rsid w:val="1F9A2D26"/>
    <w:rsid w:val="31624EBD"/>
    <w:rsid w:val="35AF114F"/>
    <w:rsid w:val="39407BAB"/>
    <w:rsid w:val="394F4935"/>
    <w:rsid w:val="3997557B"/>
    <w:rsid w:val="3B4C240B"/>
    <w:rsid w:val="4A655B5A"/>
    <w:rsid w:val="4AB7224E"/>
    <w:rsid w:val="5A6C6A91"/>
    <w:rsid w:val="5EC059F0"/>
    <w:rsid w:val="65ED6062"/>
    <w:rsid w:val="6D7D13F6"/>
    <w:rsid w:val="6F524050"/>
    <w:rsid w:val="71C3535A"/>
    <w:rsid w:val="7BC32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2674</Words>
  <Characters>2675</Characters>
  <Lines>21</Lines>
  <Paragraphs>6</Paragraphs>
  <TotalTime>4</TotalTime>
  <ScaleCrop>false</ScaleCrop>
  <LinksUpToDate>false</LinksUpToDate>
  <CharactersWithSpaces>2829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2022-12-28T07:31:00Z</dcterms:created>
  <dc:creator>guanhao</dc:creator>
  <cp:lastModifiedBy>李群</cp:lastModifiedBy>
  <dcterms:modified xsi:type="dcterms:W3CDTF">2025-08-25T10:08:05Z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47A369827ADC4FD9B6B8C7428B2A4C35_12</vt:lpwstr>
  </property>
  <property fmtid="{D5CDD505-2E9C-101B-9397-08002B2CF9AE}" pid="4" name="KSOTemplateDocerSaveRecord">
    <vt:lpwstr>eyJoZGlkIjoiYWRlOTk1ZDM4MjkzZjgxMjZiN2M3ZjNmNDQ5NGIzZGYiLCJ1c2VySWQiOiIzNDI3ODI2OTEifQ==</vt:lpwstr>
  </property>
</Properties>
</file>