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F606B">
      <w:pPr>
        <w:pStyle w:val="2"/>
        <w:spacing w:before="0" w:line="500" w:lineRule="exact"/>
        <w:ind w:left="0" w:right="0"/>
        <w:rPr>
          <w:rFonts w:hint="eastAsia"/>
        </w:rPr>
      </w:pPr>
      <w:r>
        <w:t>冠昊生物科技股份有限公司</w:t>
      </w:r>
    </w:p>
    <w:p w14:paraId="2C52C782">
      <w:pPr>
        <w:spacing w:line="500" w:lineRule="exact"/>
        <w:jc w:val="center"/>
        <w:rPr>
          <w:rFonts w:hint="eastAsia" w:ascii="黑体" w:eastAsia="黑体"/>
          <w:sz w:val="30"/>
        </w:rPr>
      </w:pPr>
      <w:r>
        <w:rPr>
          <w:rFonts w:hint="eastAsia" w:ascii="黑体" w:eastAsia="黑体"/>
          <w:sz w:val="30"/>
        </w:rPr>
        <w:t>董事、高级管理人员所持公司股份及其变动管理制度</w:t>
      </w:r>
    </w:p>
    <w:p w14:paraId="7EBC8982">
      <w:pPr>
        <w:spacing w:line="500" w:lineRule="exact"/>
        <w:jc w:val="center"/>
        <w:rPr>
          <w:rFonts w:hint="eastAsia" w:ascii="黑体" w:eastAsia="黑体"/>
          <w:sz w:val="30"/>
        </w:rPr>
      </w:pPr>
    </w:p>
    <w:p w14:paraId="21F444C7">
      <w:pPr>
        <w:pStyle w:val="3"/>
        <w:spacing w:line="500" w:lineRule="exact"/>
        <w:ind w:left="0"/>
        <w:jc w:val="center"/>
        <w:rPr>
          <w:rFonts w:hint="eastAsia"/>
        </w:rPr>
      </w:pPr>
      <w:r>
        <w:t>第一章 总 则</w:t>
      </w:r>
    </w:p>
    <w:p w14:paraId="32FF4635">
      <w:pPr>
        <w:pStyle w:val="7"/>
        <w:numPr>
          <w:ilvl w:val="0"/>
          <w:numId w:val="1"/>
        </w:numPr>
        <w:tabs>
          <w:tab w:val="left" w:pos="993"/>
        </w:tabs>
        <w:spacing w:before="0" w:line="500" w:lineRule="exact"/>
        <w:jc w:val="both"/>
        <w:rPr>
          <w:rFonts w:hint="eastAsia"/>
        </w:rPr>
      </w:pPr>
      <w:r>
        <w:rPr>
          <w:spacing w:val="-4"/>
        </w:rPr>
        <w:t xml:space="preserve"> 为规范冠昊生物科技股份有限公司（以下简称“公司”或“本公司”）董事、高级管理人员所持公司股份及其变动的管理</w:t>
      </w:r>
      <w:r>
        <w:rPr>
          <w:rFonts w:hint="eastAsia"/>
          <w:spacing w:val="-4"/>
        </w:rPr>
        <w:t>，</w:t>
      </w:r>
      <w:r>
        <w:rPr>
          <w:rFonts w:hint="eastAsia"/>
          <w:spacing w:val="-4"/>
          <w:lang w:val="en-US"/>
        </w:rPr>
        <w:t>维护证券市场秩序</w:t>
      </w:r>
      <w:r>
        <w:rPr>
          <w:spacing w:val="-4"/>
        </w:rPr>
        <w:t>，根据《公司法》《证券法》《上市公司股东减持股份管理暂行办法》《上市公司董事和高级管理人员所持本公司股份及其变动管理规则》《深圳证券交易所创业板股票上市规则》《深圳证券交易所上市公司自律监管指引第</w:t>
      </w:r>
      <w:r>
        <w:rPr>
          <w:rFonts w:ascii="Times New Roman" w:hAnsi="Times New Roman" w:cs="Times New Roman"/>
          <w:spacing w:val="-4"/>
        </w:rPr>
        <w:t>2</w:t>
      </w:r>
      <w:r>
        <w:rPr>
          <w:spacing w:val="-4"/>
        </w:rPr>
        <w:t>号——创业板上市公司规范运作》《深圳证券交易所上市公司自律监管指引第</w:t>
      </w:r>
      <w:r>
        <w:rPr>
          <w:rFonts w:ascii="Times New Roman" w:hAnsi="Times New Roman" w:cs="Times New Roman"/>
          <w:spacing w:val="-4"/>
        </w:rPr>
        <w:t>18</w:t>
      </w:r>
      <w:r>
        <w:rPr>
          <w:spacing w:val="-4"/>
        </w:rPr>
        <w:t>号——股东及董事</w:t>
      </w:r>
      <w:r>
        <w:rPr>
          <w:rFonts w:hint="eastAsia"/>
          <w:spacing w:val="-4"/>
        </w:rPr>
        <w:t>、</w:t>
      </w:r>
      <w:r>
        <w:rPr>
          <w:spacing w:val="-4"/>
        </w:rPr>
        <w:t>高级管理人员减持股份》</w:t>
      </w:r>
      <w:r>
        <w:rPr>
          <w:rFonts w:hint="eastAsia"/>
          <w:spacing w:val="-4"/>
        </w:rPr>
        <w:t>《深圳证券交易所上市公司自律监管指引第</w:t>
      </w:r>
      <w:r>
        <w:rPr>
          <w:rFonts w:ascii="Times New Roman" w:hAnsi="Times New Roman" w:cs="Times New Roman"/>
          <w:spacing w:val="-4"/>
        </w:rPr>
        <w:t>10</w:t>
      </w:r>
      <w:r>
        <w:rPr>
          <w:rFonts w:hint="eastAsia"/>
          <w:spacing w:val="-4"/>
        </w:rPr>
        <w:t>号——股份变动管理》</w:t>
      </w:r>
      <w:r>
        <w:rPr>
          <w:spacing w:val="-4"/>
          <w:lang w:val="en-US"/>
        </w:rPr>
        <w:t>等</w:t>
      </w:r>
      <w:r>
        <w:rPr>
          <w:rFonts w:hint="eastAsia"/>
          <w:spacing w:val="-4"/>
          <w:lang w:val="en-US"/>
        </w:rPr>
        <w:t>法律法规、规范性文件</w:t>
      </w:r>
      <w:r>
        <w:rPr>
          <w:rFonts w:hint="eastAsia"/>
          <w:lang w:val="en-US"/>
        </w:rPr>
        <w:t>和</w:t>
      </w:r>
      <w:r>
        <w:t>《</w:t>
      </w:r>
      <w:r>
        <w:rPr>
          <w:spacing w:val="-12"/>
        </w:rPr>
        <w:t>公司章程》</w:t>
      </w:r>
      <w:r>
        <w:rPr>
          <w:rFonts w:hint="eastAsia"/>
          <w:spacing w:val="-12"/>
          <w:lang w:val="en-US"/>
        </w:rPr>
        <w:t>有关规定</w:t>
      </w:r>
      <w:r>
        <w:rPr>
          <w:spacing w:val="-12"/>
        </w:rPr>
        <w:t>，</w:t>
      </w:r>
      <w:r>
        <w:rPr>
          <w:rFonts w:hint="eastAsia"/>
          <w:spacing w:val="-12"/>
          <w:lang w:val="en-US"/>
        </w:rPr>
        <w:t>结合公司实际，</w:t>
      </w:r>
      <w:r>
        <w:rPr>
          <w:spacing w:val="-12"/>
        </w:rPr>
        <w:t>制定本制度。</w:t>
      </w:r>
    </w:p>
    <w:p w14:paraId="063536C6">
      <w:pPr>
        <w:pStyle w:val="7"/>
        <w:numPr>
          <w:ilvl w:val="0"/>
          <w:numId w:val="1"/>
        </w:numPr>
        <w:tabs>
          <w:tab w:val="left" w:pos="0"/>
        </w:tabs>
        <w:spacing w:before="0" w:line="500" w:lineRule="atLeast"/>
        <w:jc w:val="both"/>
        <w:rPr>
          <w:rFonts w:hint="eastAsia"/>
        </w:rPr>
      </w:pPr>
      <w:r>
        <w:rPr>
          <w:spacing w:val="-1"/>
        </w:rPr>
        <w:t xml:space="preserve"> 公司董事、高级管理人员所持本公司股份，是指登记在其名</w:t>
      </w:r>
      <w:r>
        <w:t>下和利用他人账户持有的所有本公司股份。</w:t>
      </w:r>
    </w:p>
    <w:p w14:paraId="42830366">
      <w:pPr>
        <w:pStyle w:val="7"/>
        <w:spacing w:before="0" w:line="500" w:lineRule="atLeast"/>
        <w:ind w:left="0" w:firstLine="440" w:firstLineChars="200"/>
        <w:rPr>
          <w:rFonts w:hint="eastAsia"/>
        </w:rPr>
      </w:pPr>
      <w:r>
        <w:rPr>
          <w:spacing w:val="-10"/>
        </w:rPr>
        <w:t>公司董事、高级管理人员从事融资融券交易的，</w:t>
      </w:r>
      <w:r>
        <w:rPr>
          <w:rFonts w:hint="eastAsia"/>
          <w:spacing w:val="-10"/>
        </w:rPr>
        <w:t>其所持本公司股份</w:t>
      </w:r>
      <w:r>
        <w:rPr>
          <w:spacing w:val="-10"/>
        </w:rPr>
        <w:t>还包括记载在其信用</w:t>
      </w:r>
      <w:r>
        <w:t>账户内的本公司股份。</w:t>
      </w:r>
    </w:p>
    <w:p w14:paraId="3726461C">
      <w:pPr>
        <w:pStyle w:val="7"/>
        <w:numPr>
          <w:ilvl w:val="0"/>
          <w:numId w:val="1"/>
        </w:numPr>
        <w:tabs>
          <w:tab w:val="left" w:pos="0"/>
        </w:tabs>
        <w:spacing w:before="0" w:line="500" w:lineRule="atLeast"/>
        <w:jc w:val="both"/>
        <w:rPr>
          <w:rFonts w:hint="eastAsia"/>
        </w:rPr>
      </w:pPr>
      <w:r>
        <w:rPr>
          <w:b/>
          <w:bCs/>
        </w:rPr>
        <w:t xml:space="preserve"> </w:t>
      </w:r>
      <w:r>
        <w:t>公司董事、高级管理人员在买卖本公司股票及其衍生品种</w:t>
      </w:r>
      <w:r>
        <w:rPr>
          <w:spacing w:val="-12"/>
        </w:rPr>
        <w:t>前，应当知悉《公司法》《证券法》等法律法规、规范性文件中关于内幕交易、操纵市场等</w:t>
      </w:r>
      <w:r>
        <w:t>禁止行为的规定，不得进行违法违规交易。</w:t>
      </w:r>
    </w:p>
    <w:p w14:paraId="525C62C8">
      <w:pPr>
        <w:pStyle w:val="7"/>
        <w:numPr>
          <w:ilvl w:val="0"/>
          <w:numId w:val="1"/>
        </w:numPr>
        <w:tabs>
          <w:tab w:val="left" w:pos="0"/>
        </w:tabs>
        <w:spacing w:before="0" w:line="500" w:lineRule="atLeast"/>
        <w:jc w:val="both"/>
        <w:rPr>
          <w:rFonts w:hint="eastAsia"/>
        </w:rPr>
      </w:pPr>
      <w:r>
        <w:rPr>
          <w:rFonts w:hint="eastAsia"/>
          <w:lang w:val="en-US"/>
        </w:rPr>
        <w:t xml:space="preserve"> </w:t>
      </w:r>
      <w:r>
        <w:t>公司董事、高级管理人员对持有股份比例、持有期限、变动方式、变动价格等作出承诺的，应当严格履行所作出的承诺。</w:t>
      </w:r>
    </w:p>
    <w:p w14:paraId="3D467EDA">
      <w:pPr>
        <w:pStyle w:val="7"/>
        <w:numPr>
          <w:ilvl w:val="0"/>
          <w:numId w:val="1"/>
        </w:numPr>
        <w:tabs>
          <w:tab w:val="left" w:pos="0"/>
        </w:tabs>
        <w:spacing w:before="120" w:beforeLines="50" w:line="360" w:lineRule="auto"/>
        <w:rPr>
          <w:rFonts w:hint="eastAsia"/>
        </w:rPr>
      </w:pPr>
      <w:r>
        <w:rPr>
          <w:rFonts w:hint="eastAsia"/>
          <w:b/>
          <w:bCs/>
          <w:lang w:val="en-US"/>
        </w:rPr>
        <w:t xml:space="preserve"> </w:t>
      </w:r>
      <w:r>
        <w:t>公司董事、高级管理人员不得融券卖出本公司股份，不得开展以本公司股份为合约标的物的衍生品交易。</w:t>
      </w:r>
    </w:p>
    <w:p w14:paraId="547D561F">
      <w:pPr>
        <w:pStyle w:val="3"/>
        <w:spacing w:before="120" w:beforeLines="50" w:line="360" w:lineRule="auto"/>
        <w:ind w:left="0"/>
        <w:jc w:val="center"/>
        <w:rPr>
          <w:rFonts w:hint="eastAsia"/>
        </w:rPr>
      </w:pPr>
      <w:r>
        <w:t>第二章 信息申报与披露</w:t>
      </w:r>
    </w:p>
    <w:p w14:paraId="675DD6CD">
      <w:pPr>
        <w:pStyle w:val="7"/>
        <w:numPr>
          <w:ilvl w:val="0"/>
          <w:numId w:val="1"/>
        </w:numPr>
        <w:tabs>
          <w:tab w:val="left" w:pos="0"/>
        </w:tabs>
        <w:spacing w:before="0" w:line="500" w:lineRule="exact"/>
        <w:jc w:val="both"/>
        <w:rPr>
          <w:rFonts w:hint="eastAsia"/>
        </w:rPr>
      </w:pPr>
      <w:r>
        <w:rPr>
          <w:b/>
          <w:bCs/>
        </w:rPr>
        <w:t xml:space="preserve"> </w:t>
      </w:r>
      <w:r>
        <w:t>公司董事、高级管理人员应当在下列时间</w:t>
      </w:r>
      <w:r>
        <w:rPr>
          <w:rFonts w:hint="eastAsia"/>
          <w:lang w:val="en-US"/>
        </w:rPr>
        <w:t>点或者期间</w:t>
      </w:r>
      <w:r>
        <w:t>内委托公司向深圳证券交易所和中国证券登记结算有限责任公司深圳分公司（以下简称“登记结算</w:t>
      </w:r>
      <w:bookmarkStart w:id="0" w:name="_GoBack"/>
      <w:bookmarkEnd w:id="0"/>
      <w:r>
        <w:t>公司”）申报其个人</w:t>
      </w:r>
      <w:r>
        <w:rPr>
          <w:rFonts w:hint="eastAsia"/>
        </w:rPr>
        <w:t>及其近亲属（包括配偶、父母、子女、兄弟姐妹等）的</w:t>
      </w:r>
      <w:r>
        <w:t>身份信息（包括姓名、担任职务、身份证号</w:t>
      </w:r>
      <w:r>
        <w:rPr>
          <w:rFonts w:hint="eastAsia"/>
        </w:rPr>
        <w:t>、</w:t>
      </w:r>
      <w:r>
        <w:rPr>
          <w:rFonts w:hint="eastAsia"/>
          <w:lang w:val="en-US"/>
        </w:rPr>
        <w:t>证券账户、离任时间</w:t>
      </w:r>
      <w:r>
        <w:t>等）：</w:t>
      </w:r>
    </w:p>
    <w:p w14:paraId="160653C3">
      <w:pPr>
        <w:pStyle w:val="7"/>
        <w:spacing w:before="0" w:line="500" w:lineRule="exact"/>
        <w:ind w:left="0" w:firstLine="480" w:firstLineChars="200"/>
        <w:rPr>
          <w:rFonts w:hint="eastAsia"/>
        </w:rPr>
      </w:pPr>
      <w:r>
        <w:t>（</w:t>
      </w:r>
      <w:r>
        <w:rPr>
          <w:lang w:val="en-US"/>
        </w:rPr>
        <w:t>一</w:t>
      </w:r>
      <w:r>
        <w:t>）新上市公司的董事、高级管理人员在公司申请股票初始登记时；</w:t>
      </w:r>
    </w:p>
    <w:p w14:paraId="0BC818CA">
      <w:pPr>
        <w:pStyle w:val="7"/>
        <w:spacing w:before="0" w:line="500" w:lineRule="exact"/>
        <w:ind w:left="0" w:firstLine="480" w:firstLineChars="200"/>
        <w:rPr>
          <w:rFonts w:hint="eastAsia"/>
        </w:rPr>
      </w:pPr>
      <w:r>
        <w:t>（</w:t>
      </w:r>
      <w:r>
        <w:rPr>
          <w:rFonts w:hint="eastAsia"/>
        </w:rPr>
        <w:t>二</w:t>
      </w:r>
      <w:r>
        <w:t>）新任董事在股东会（或职工代表大会）通过其任职事项</w:t>
      </w:r>
      <w:r>
        <w:rPr>
          <w:rFonts w:hint="eastAsia"/>
        </w:rPr>
        <w:t>、新任高级管理人员在董事会通过其任职事项</w:t>
      </w:r>
      <w:r>
        <w:t>后</w:t>
      </w:r>
      <w:r>
        <w:rPr>
          <w:rFonts w:ascii="Times New Roman" w:hAnsi="Times New Roman" w:cs="Times New Roman"/>
        </w:rPr>
        <w:t>2</w:t>
      </w:r>
      <w:r>
        <w:t>个交易</w:t>
      </w:r>
      <w:r>
        <w:rPr>
          <w:rFonts w:hint="eastAsia"/>
          <w:lang w:val="en-US"/>
        </w:rPr>
        <w:t>日</w:t>
      </w:r>
      <w:r>
        <w:t>内；</w:t>
      </w:r>
    </w:p>
    <w:p w14:paraId="166BB2A9">
      <w:pPr>
        <w:pStyle w:val="7"/>
        <w:spacing w:before="0" w:line="500" w:lineRule="exact"/>
        <w:ind w:left="0" w:firstLine="480" w:firstLineChars="200"/>
        <w:rPr>
          <w:rFonts w:hint="eastAsia"/>
        </w:rPr>
      </w:pPr>
      <w:r>
        <w:t>（</w:t>
      </w:r>
      <w:r>
        <w:rPr>
          <w:rFonts w:hint="eastAsia"/>
          <w:lang w:val="en-US"/>
        </w:rPr>
        <w:t>三</w:t>
      </w:r>
      <w:r>
        <w:t>）现任董事、高级管理人员在其已申报的个人信息发生变化后的</w:t>
      </w:r>
      <w:r>
        <w:rPr>
          <w:rFonts w:ascii="Times New Roman" w:hAnsi="Times New Roman" w:cs="Times New Roman"/>
        </w:rPr>
        <w:t>2</w:t>
      </w:r>
      <w:r>
        <w:t>个交易日内；</w:t>
      </w:r>
    </w:p>
    <w:p w14:paraId="3CB1B67E">
      <w:pPr>
        <w:pStyle w:val="7"/>
        <w:spacing w:before="0" w:line="500" w:lineRule="exact"/>
        <w:ind w:left="0" w:firstLine="480" w:firstLineChars="200"/>
        <w:rPr>
          <w:rFonts w:hint="eastAsia"/>
        </w:rPr>
      </w:pPr>
      <w:r>
        <w:t>（</w:t>
      </w:r>
      <w:r>
        <w:rPr>
          <w:rFonts w:hint="eastAsia"/>
          <w:lang w:val="en-US"/>
        </w:rPr>
        <w:t>四</w:t>
      </w:r>
      <w:r>
        <w:t>）现任董事、高级管理人员在离任后</w:t>
      </w:r>
      <w:r>
        <w:rPr>
          <w:rFonts w:ascii="Times New Roman" w:hAnsi="Times New Roman" w:cs="Times New Roman"/>
        </w:rPr>
        <w:t>2</w:t>
      </w:r>
      <w:r>
        <w:t>个交易日内；</w:t>
      </w:r>
    </w:p>
    <w:p w14:paraId="08B2C2FD">
      <w:pPr>
        <w:pStyle w:val="7"/>
        <w:spacing w:before="0" w:line="500" w:lineRule="exact"/>
        <w:ind w:left="0" w:firstLine="480" w:firstLineChars="200"/>
        <w:rPr>
          <w:rFonts w:hint="eastAsia"/>
        </w:rPr>
      </w:pPr>
      <w:r>
        <w:t>（五）深圳证券交易所要求的其他时间。</w:t>
      </w:r>
    </w:p>
    <w:p w14:paraId="4CEF14C3">
      <w:pPr>
        <w:pStyle w:val="7"/>
        <w:spacing w:before="0" w:line="500" w:lineRule="exact"/>
        <w:ind w:left="0" w:firstLine="444" w:firstLineChars="200"/>
        <w:rPr>
          <w:rFonts w:hint="eastAsia"/>
        </w:rPr>
      </w:pPr>
      <w:r>
        <w:rPr>
          <w:spacing w:val="-9"/>
        </w:rPr>
        <w:t>以上申报数据视为公司董事、高级管理人员向深圳证券交易所和登记</w:t>
      </w:r>
      <w:r>
        <w:t>结算公司提交的将其所持本公司股份按规定予以管理的申请。</w:t>
      </w:r>
    </w:p>
    <w:p w14:paraId="0AFC672B">
      <w:pPr>
        <w:pStyle w:val="7"/>
        <w:numPr>
          <w:ilvl w:val="0"/>
          <w:numId w:val="1"/>
        </w:numPr>
        <w:spacing w:before="0" w:line="500" w:lineRule="exact"/>
        <w:jc w:val="both"/>
        <w:rPr>
          <w:rFonts w:hint="eastAsia"/>
        </w:rPr>
      </w:pPr>
      <w:r>
        <w:t xml:space="preserve"> 公司董事、高级管理人员在委托公司申报个人信息后，登记</w:t>
      </w:r>
      <w:r>
        <w:rPr>
          <w:spacing w:val="-8"/>
        </w:rPr>
        <w:t>结算公司根据其申报数据资料，对其身份证号项下开立的证券账户中已登记</w:t>
      </w:r>
      <w:r>
        <w:t>的本公司股份予以锁定。</w:t>
      </w:r>
    </w:p>
    <w:p w14:paraId="100E866F">
      <w:pPr>
        <w:pStyle w:val="7"/>
        <w:numPr>
          <w:ilvl w:val="0"/>
          <w:numId w:val="1"/>
        </w:numPr>
        <w:spacing w:before="0" w:line="500" w:lineRule="exact"/>
        <w:jc w:val="both"/>
        <w:rPr>
          <w:rFonts w:hint="eastAsia"/>
        </w:rPr>
      </w:pPr>
      <w:r>
        <w:rPr>
          <w:spacing w:val="-1"/>
        </w:rPr>
        <w:t xml:space="preserve"> 公司董事、高级管理人员拥有多个证券账户的，应当按照登</w:t>
      </w:r>
      <w:r>
        <w:rPr>
          <w:spacing w:val="-7"/>
        </w:rPr>
        <w:t>记结算公司的规定合并为一个账户，合并账户前，登记结算公司按相关规定对每</w:t>
      </w:r>
      <w:r>
        <w:t>个账户分别做锁定、解锁等相关处理。</w:t>
      </w:r>
    </w:p>
    <w:p w14:paraId="18481171">
      <w:pPr>
        <w:pStyle w:val="7"/>
        <w:numPr>
          <w:ilvl w:val="0"/>
          <w:numId w:val="1"/>
        </w:numPr>
        <w:spacing w:before="0" w:line="500" w:lineRule="exact"/>
        <w:jc w:val="both"/>
        <w:rPr>
          <w:rFonts w:hint="eastAsia"/>
        </w:rPr>
      </w:pPr>
      <w:r>
        <w:t xml:space="preserve"> 公司应当按照登记结算公司的要求，对公司董事、高级管理人员股份管理相关信息进行确认，并及时反馈确认结果。</w:t>
      </w:r>
    </w:p>
    <w:p w14:paraId="1FD1C99C">
      <w:pPr>
        <w:pStyle w:val="7"/>
        <w:numPr>
          <w:ilvl w:val="0"/>
          <w:numId w:val="1"/>
        </w:numPr>
        <w:spacing w:before="0" w:line="500" w:lineRule="exact"/>
        <w:jc w:val="both"/>
        <w:rPr>
          <w:rFonts w:hint="eastAsia"/>
        </w:rPr>
      </w:pPr>
      <w:r>
        <w:t xml:space="preserve"> 公司及其董事、高级管理人员应当保证其向深圳证券交易所</w:t>
      </w:r>
      <w:r>
        <w:rPr>
          <w:spacing w:val="-7"/>
        </w:rPr>
        <w:t>和登记结算公司申报数据的及时、真实、准确、完整，同意深圳证券交易所及时</w:t>
      </w:r>
      <w:r>
        <w:t>公布其买卖本公司股份及其衍生品种的情况，并承担由此产生的法律责任。</w:t>
      </w:r>
    </w:p>
    <w:p w14:paraId="4E3029EE">
      <w:pPr>
        <w:pStyle w:val="7"/>
        <w:numPr>
          <w:ilvl w:val="0"/>
          <w:numId w:val="1"/>
        </w:numPr>
        <w:spacing w:before="0" w:line="500" w:lineRule="exact"/>
        <w:jc w:val="both"/>
        <w:rPr>
          <w:rFonts w:hint="eastAsia"/>
        </w:rPr>
      </w:pPr>
      <w:r>
        <w:rPr>
          <w:spacing w:val="-6"/>
        </w:rPr>
        <w:t xml:space="preserve"> 因公司公开或非公开发行股份、实施股权激励计划等情形，对董事、</w:t>
      </w:r>
      <w:r>
        <w:rPr>
          <w:spacing w:val="-4"/>
        </w:rPr>
        <w:t>高级管理人员转让其所持本公司股份做出附加转让价格、附加业绩考核条</w:t>
      </w:r>
      <w:r>
        <w:rPr>
          <w:spacing w:val="-17"/>
        </w:rPr>
        <w:t>件、设定限售期等限制性条件的，公司应当在办理股份变更登记或行权等手续时，</w:t>
      </w:r>
      <w:r>
        <w:rPr>
          <w:spacing w:val="-5"/>
        </w:rPr>
        <w:t>向深圳证券交易所和登记结算公司申请将公司董事、高级管理人员所持本公司股份登记为有限售条件的股份。</w:t>
      </w:r>
    </w:p>
    <w:p w14:paraId="28C57B82">
      <w:pPr>
        <w:pStyle w:val="7"/>
        <w:numPr>
          <w:ilvl w:val="0"/>
          <w:numId w:val="1"/>
        </w:numPr>
        <w:spacing w:before="0" w:line="500" w:lineRule="exact"/>
        <w:jc w:val="both"/>
        <w:rPr>
          <w:rFonts w:hint="eastAsia"/>
        </w:rPr>
      </w:pPr>
      <w:r>
        <w:t xml:space="preserve"> 公司董事、高级管理人员</w:t>
      </w:r>
      <w:r>
        <w:rPr>
          <w:rFonts w:hint="eastAsia"/>
        </w:rPr>
        <w:t>所持本公司股份发生变动之日起的</w:t>
      </w:r>
      <w:r>
        <w:rPr>
          <w:rFonts w:ascii="Times New Roman" w:hAnsi="Times New Roman" w:cs="Times New Roman"/>
          <w:lang w:val="en-US"/>
        </w:rPr>
        <w:t>2</w:t>
      </w:r>
      <w:r>
        <w:rPr>
          <w:rFonts w:hint="eastAsia"/>
        </w:rPr>
        <w:t>个交易日内</w:t>
      </w:r>
      <w:r>
        <w:t>向公司</w:t>
      </w:r>
      <w:r>
        <w:rPr>
          <w:rFonts w:hint="eastAsia"/>
          <w:lang w:val="en-US"/>
        </w:rPr>
        <w:t>提交</w:t>
      </w:r>
      <w:r>
        <w:t>书面报告，并通过公司董事会向深圳证券交易所申报及在深圳证券交易所指定网站进行公告。公告内容</w:t>
      </w:r>
      <w:r>
        <w:rPr>
          <w:rFonts w:hint="eastAsia"/>
          <w:lang w:val="en-US"/>
        </w:rPr>
        <w:t>应当</w:t>
      </w:r>
      <w:r>
        <w:t>包括：</w:t>
      </w:r>
    </w:p>
    <w:p w14:paraId="3B200138">
      <w:pPr>
        <w:pStyle w:val="7"/>
        <w:spacing w:before="0" w:line="500" w:lineRule="exact"/>
        <w:ind w:left="0" w:firstLine="460" w:firstLineChars="200"/>
        <w:rPr>
          <w:rFonts w:hint="eastAsia"/>
          <w:spacing w:val="-5"/>
        </w:rPr>
      </w:pPr>
      <w:r>
        <w:rPr>
          <w:rFonts w:hint="eastAsia"/>
          <w:spacing w:val="-5"/>
        </w:rPr>
        <w:t>（</w:t>
      </w:r>
      <w:r>
        <w:rPr>
          <w:rFonts w:hint="eastAsia"/>
          <w:spacing w:val="-5"/>
          <w:lang w:val="en-US"/>
        </w:rPr>
        <w:t>一</w:t>
      </w:r>
      <w:r>
        <w:rPr>
          <w:rFonts w:hint="eastAsia"/>
          <w:spacing w:val="-5"/>
        </w:rPr>
        <w:t>）本次变动前持股数量；</w:t>
      </w:r>
    </w:p>
    <w:p w14:paraId="55DB96C3">
      <w:pPr>
        <w:pStyle w:val="7"/>
        <w:spacing w:before="0" w:line="500" w:lineRule="exact"/>
        <w:ind w:left="0" w:firstLine="460" w:firstLineChars="200"/>
        <w:rPr>
          <w:rFonts w:hint="eastAsia"/>
          <w:spacing w:val="-5"/>
        </w:rPr>
      </w:pPr>
      <w:r>
        <w:rPr>
          <w:rFonts w:hint="eastAsia"/>
          <w:spacing w:val="-5"/>
        </w:rPr>
        <w:t>（</w:t>
      </w:r>
      <w:r>
        <w:rPr>
          <w:rFonts w:hint="eastAsia"/>
          <w:spacing w:val="-5"/>
          <w:lang w:val="en-US"/>
        </w:rPr>
        <w:t>二</w:t>
      </w:r>
      <w:r>
        <w:rPr>
          <w:rFonts w:hint="eastAsia"/>
          <w:spacing w:val="-5"/>
        </w:rPr>
        <w:t xml:space="preserve">）本次股份变动的日期、数量、价格； </w:t>
      </w:r>
    </w:p>
    <w:p w14:paraId="64339360">
      <w:pPr>
        <w:pStyle w:val="7"/>
        <w:spacing w:before="0" w:line="500" w:lineRule="exact"/>
        <w:ind w:left="0" w:firstLine="480" w:firstLineChars="200"/>
        <w:rPr>
          <w:rFonts w:hint="eastAsia"/>
        </w:rPr>
      </w:pPr>
      <w:r>
        <w:t>（</w:t>
      </w:r>
      <w:r>
        <w:rPr>
          <w:rFonts w:hint="eastAsia"/>
          <w:lang w:val="en-US"/>
        </w:rPr>
        <w:t>三</w:t>
      </w:r>
      <w:r>
        <w:t>）</w:t>
      </w:r>
      <w:r>
        <w:rPr>
          <w:rFonts w:hint="eastAsia"/>
        </w:rPr>
        <w:t>本次</w:t>
      </w:r>
      <w:r>
        <w:t>变动后的持股数量；</w:t>
      </w:r>
    </w:p>
    <w:p w14:paraId="29A9B03B">
      <w:pPr>
        <w:pStyle w:val="7"/>
        <w:spacing w:before="0" w:line="500" w:lineRule="exact"/>
        <w:ind w:left="0" w:firstLine="480" w:firstLineChars="200"/>
        <w:rPr>
          <w:rFonts w:hint="eastAsia"/>
        </w:rPr>
      </w:pPr>
      <w:r>
        <w:t>（</w:t>
      </w:r>
      <w:r>
        <w:rPr>
          <w:rFonts w:hint="eastAsia"/>
          <w:lang w:val="en-US"/>
        </w:rPr>
        <w:t>四</w:t>
      </w:r>
      <w:r>
        <w:t>）深圳证券交易所要求披露的其他事项。</w:t>
      </w:r>
    </w:p>
    <w:p w14:paraId="6DDA7F8D">
      <w:pPr>
        <w:pStyle w:val="7"/>
        <w:spacing w:before="0" w:line="500" w:lineRule="exact"/>
        <w:ind w:left="0" w:firstLine="440" w:firstLineChars="200"/>
        <w:rPr>
          <w:rFonts w:hint="eastAsia"/>
        </w:rPr>
      </w:pPr>
      <w:r>
        <w:rPr>
          <w:spacing w:val="-10"/>
        </w:rPr>
        <w:t>公司董事、高级管理人员以及董事会拒不申报或者披露的，深圳证券</w:t>
      </w:r>
      <w:r>
        <w:t>交易所</w:t>
      </w:r>
      <w:r>
        <w:rPr>
          <w:rFonts w:hint="eastAsia"/>
          <w:lang w:val="en-US"/>
        </w:rPr>
        <w:t>将</w:t>
      </w:r>
      <w:r>
        <w:t>在其指定网站公开披露以上信息。</w:t>
      </w:r>
    </w:p>
    <w:p w14:paraId="725C464C">
      <w:pPr>
        <w:pStyle w:val="7"/>
        <w:numPr>
          <w:ilvl w:val="0"/>
          <w:numId w:val="1"/>
        </w:numPr>
        <w:tabs>
          <w:tab w:val="left" w:pos="0"/>
        </w:tabs>
        <w:spacing w:before="0" w:line="500" w:lineRule="exact"/>
        <w:jc w:val="both"/>
        <w:rPr>
          <w:rFonts w:hint="eastAsia"/>
        </w:rPr>
      </w:pPr>
      <w:r>
        <w:t xml:space="preserve"> 公司董事、高级管理人员持有本公司股份及其变动比例达</w:t>
      </w:r>
      <w:r>
        <w:rPr>
          <w:spacing w:val="-11"/>
        </w:rPr>
        <w:t>到《</w:t>
      </w:r>
      <w:r>
        <w:rPr>
          <w:rFonts w:hint="eastAsia"/>
          <w:spacing w:val="-11"/>
          <w:lang w:val="en-US"/>
        </w:rPr>
        <w:t>上市公司</w:t>
      </w:r>
      <w:r>
        <w:rPr>
          <w:rFonts w:hint="eastAsia"/>
          <w:spacing w:val="-11"/>
        </w:rPr>
        <w:t>收购管理办法</w:t>
      </w:r>
      <w:r>
        <w:rPr>
          <w:spacing w:val="-11"/>
        </w:rPr>
        <w:t>》</w:t>
      </w:r>
      <w:r>
        <w:rPr>
          <w:rFonts w:hint="eastAsia"/>
          <w:lang w:val="en-US" w:bidi="ar"/>
        </w:rPr>
        <w:t>（以下简称《收购管理办法》）</w:t>
      </w:r>
      <w:r>
        <w:rPr>
          <w:spacing w:val="-11"/>
        </w:rPr>
        <w:t>规定的，还应当按照《</w:t>
      </w:r>
      <w:r>
        <w:rPr>
          <w:rFonts w:hint="eastAsia"/>
          <w:spacing w:val="-11"/>
        </w:rPr>
        <w:t>收购管理办法</w:t>
      </w:r>
      <w:r>
        <w:rPr>
          <w:spacing w:val="-11"/>
        </w:rPr>
        <w:t>》等</w:t>
      </w:r>
      <w:r>
        <w:t>相关法律法规、部门规章和业务规则的规定履行报告和披露等义务。</w:t>
      </w:r>
    </w:p>
    <w:p w14:paraId="5901B809">
      <w:pPr>
        <w:pStyle w:val="7"/>
        <w:numPr>
          <w:ilvl w:val="0"/>
          <w:numId w:val="1"/>
        </w:numPr>
        <w:spacing w:before="0" w:line="500" w:lineRule="exact"/>
        <w:jc w:val="both"/>
        <w:rPr>
          <w:rFonts w:hint="eastAsia"/>
        </w:rPr>
      </w:pPr>
      <w:r>
        <w:t xml:space="preserve"> 公司董事、高级管理人员违反《证券法》第四十</w:t>
      </w:r>
      <w:r>
        <w:rPr>
          <w:rFonts w:hint="eastAsia"/>
          <w:lang w:val="en-US"/>
        </w:rPr>
        <w:t>四</w:t>
      </w:r>
      <w:r>
        <w:t>条的规</w:t>
      </w:r>
      <w:r>
        <w:rPr>
          <w:spacing w:val="-11"/>
        </w:rPr>
        <w:t>定，将其持有的本公司股票</w:t>
      </w:r>
      <w:r>
        <w:t>或者其他具有股权性质的证券</w:t>
      </w:r>
      <w:r>
        <w:rPr>
          <w:spacing w:val="-11"/>
        </w:rPr>
        <w:t>在买入后</w:t>
      </w:r>
      <w:r>
        <w:rPr>
          <w:rFonts w:ascii="Times New Roman" w:hAnsi="Times New Roman" w:cs="Times New Roman"/>
          <w:lang w:val="en-US"/>
        </w:rPr>
        <w:t>6</w:t>
      </w:r>
      <w:r>
        <w:rPr>
          <w:spacing w:val="-11"/>
        </w:rPr>
        <w:t>个月内卖出，或者在卖出后</w:t>
      </w:r>
      <w:r>
        <w:rPr>
          <w:rFonts w:ascii="Times New Roman" w:hAnsi="Times New Roman" w:cs="Times New Roman"/>
          <w:lang w:val="en-US"/>
        </w:rPr>
        <w:t>6</w:t>
      </w:r>
      <w:r>
        <w:rPr>
          <w:spacing w:val="-3"/>
        </w:rPr>
        <w:t>个月内又买入，</w:t>
      </w:r>
      <w:r>
        <w:rPr>
          <w:spacing w:val="-14"/>
        </w:rPr>
        <w:t>由此所得收益归公司所有，公司董事会将收回其所得收益，并及时披露以下内容：</w:t>
      </w:r>
    </w:p>
    <w:p w14:paraId="31FE16CC">
      <w:pPr>
        <w:pStyle w:val="7"/>
        <w:spacing w:before="0" w:line="500" w:lineRule="exact"/>
        <w:ind w:left="0" w:firstLine="480" w:firstLineChars="200"/>
        <w:rPr>
          <w:rFonts w:hint="eastAsia"/>
        </w:rPr>
      </w:pPr>
      <w:r>
        <w:t>（一）相关人员违规买卖股票的情况；</w:t>
      </w:r>
    </w:p>
    <w:p w14:paraId="7BBD6EAA">
      <w:pPr>
        <w:pStyle w:val="7"/>
        <w:spacing w:before="0" w:line="500" w:lineRule="exact"/>
        <w:ind w:left="0" w:firstLine="480" w:firstLineChars="200"/>
        <w:rPr>
          <w:rFonts w:hint="eastAsia"/>
        </w:rPr>
      </w:pPr>
      <w:r>
        <w:t>（二）公司采取的补救措施；</w:t>
      </w:r>
    </w:p>
    <w:p w14:paraId="2D4B78CE">
      <w:pPr>
        <w:pStyle w:val="7"/>
        <w:spacing w:before="0" w:line="500" w:lineRule="exact"/>
        <w:ind w:left="0" w:firstLine="480" w:firstLineChars="200"/>
        <w:rPr>
          <w:rFonts w:hint="eastAsia"/>
        </w:rPr>
      </w:pPr>
      <w:r>
        <w:t>（三）收益的计算方法和董事会收回收益的具体情况；</w:t>
      </w:r>
    </w:p>
    <w:p w14:paraId="436632DB">
      <w:pPr>
        <w:pStyle w:val="7"/>
        <w:spacing w:before="0" w:line="500" w:lineRule="exact"/>
        <w:ind w:left="0" w:firstLine="480" w:firstLineChars="200"/>
        <w:rPr>
          <w:rFonts w:hint="eastAsia"/>
        </w:rPr>
      </w:pPr>
      <w:r>
        <w:t>（四）深圳证券交易所要求披露的其他事项。</w:t>
      </w:r>
    </w:p>
    <w:p w14:paraId="42B9C1FE">
      <w:pPr>
        <w:pStyle w:val="7"/>
        <w:spacing w:before="0" w:line="500" w:lineRule="exact"/>
        <w:ind w:left="0" w:firstLine="480" w:firstLineChars="200"/>
        <w:rPr>
          <w:rFonts w:hint="eastAsia"/>
        </w:rPr>
      </w:pPr>
      <w:r>
        <w:t>前款所称董事、高级管理人员持有的股票或者其他具有股权性质的证券，包括其配偶、父母、子女持有的及利用他人账户持有的股票或者其他具有股权性质的证券。</w:t>
      </w:r>
    </w:p>
    <w:p w14:paraId="6B53FD38">
      <w:pPr>
        <w:pStyle w:val="7"/>
        <w:spacing w:before="0" w:line="500" w:lineRule="exact"/>
        <w:ind w:left="0" w:firstLine="480" w:firstLineChars="200"/>
        <w:rPr>
          <w:rFonts w:hint="eastAsia"/>
        </w:rPr>
      </w:pPr>
      <w:r>
        <w:t>上述“买入后</w:t>
      </w:r>
      <w:r>
        <w:rPr>
          <w:rFonts w:ascii="Times New Roman" w:hAnsi="Times New Roman" w:cs="Times New Roman"/>
          <w:lang w:val="en-US"/>
        </w:rPr>
        <w:t>6</w:t>
      </w:r>
      <w:r>
        <w:t>个月内卖出”是指最后一笔买入时点起算</w:t>
      </w:r>
      <w:r>
        <w:rPr>
          <w:rFonts w:ascii="Times New Roman" w:hAnsi="Times New Roman" w:cs="Times New Roman"/>
          <w:lang w:val="en-US"/>
        </w:rPr>
        <w:t>6</w:t>
      </w:r>
      <w:r>
        <w:t>个月内卖出的；“卖出后</w:t>
      </w:r>
      <w:r>
        <w:rPr>
          <w:rFonts w:ascii="Times New Roman" w:hAnsi="Times New Roman" w:cs="Times New Roman"/>
          <w:lang w:val="en-US"/>
        </w:rPr>
        <w:t>6</w:t>
      </w:r>
      <w:r>
        <w:t>个月内又买入”是指最后一笔卖出时点起算</w:t>
      </w:r>
      <w:r>
        <w:rPr>
          <w:rFonts w:ascii="Times New Roman" w:hAnsi="Times New Roman" w:cs="Times New Roman"/>
          <w:lang w:val="en-US"/>
        </w:rPr>
        <w:t>6</w:t>
      </w:r>
      <w:r>
        <w:t>个月内又买入的。</w:t>
      </w:r>
    </w:p>
    <w:p w14:paraId="10264648">
      <w:pPr>
        <w:pStyle w:val="7"/>
        <w:numPr>
          <w:ilvl w:val="0"/>
          <w:numId w:val="1"/>
        </w:numPr>
        <w:spacing w:before="0" w:line="500" w:lineRule="exact"/>
        <w:jc w:val="both"/>
        <w:rPr>
          <w:rFonts w:hint="eastAsia"/>
        </w:rPr>
      </w:pPr>
      <w:r>
        <w:t xml:space="preserve"> 公司董事、高级管理人员从事融资融券交易的，应当遵守相关规定并向深圳证券交易所申报。</w:t>
      </w:r>
    </w:p>
    <w:p w14:paraId="2762F23A">
      <w:pPr>
        <w:pStyle w:val="3"/>
        <w:spacing w:line="500" w:lineRule="exact"/>
        <w:ind w:left="0"/>
        <w:jc w:val="center"/>
        <w:rPr>
          <w:rFonts w:hint="eastAsia"/>
        </w:rPr>
      </w:pPr>
      <w:r>
        <w:t>第三章 股份变动管理</w:t>
      </w:r>
    </w:p>
    <w:p w14:paraId="19F36C25">
      <w:pPr>
        <w:pStyle w:val="7"/>
        <w:numPr>
          <w:ilvl w:val="0"/>
          <w:numId w:val="1"/>
        </w:numPr>
        <w:spacing w:before="0" w:line="500" w:lineRule="exact"/>
        <w:jc w:val="both"/>
        <w:rPr>
          <w:rFonts w:hint="eastAsia"/>
          <w:spacing w:val="-10"/>
        </w:rPr>
      </w:pPr>
      <w:r>
        <w:rPr>
          <w:rFonts w:hint="eastAsia"/>
          <w:b/>
          <w:bCs/>
          <w:lang w:val="en-US"/>
        </w:rPr>
        <w:t xml:space="preserve"> </w:t>
      </w:r>
      <w:r>
        <w:t>公司董事会秘书负责管理公司董事、高级管理人员的身份及所持本公司股份的数据，统一为董事、高级管理人员办理个人信息的网上申报，每季度检查董事、高级管理人员买卖本公司股票的披露情况。发现违法违规的，应当及时向中国证监会、</w:t>
      </w:r>
      <w:r>
        <w:rPr>
          <w:rFonts w:hint="eastAsia"/>
          <w:lang w:val="en-US"/>
        </w:rPr>
        <w:t>深圳</w:t>
      </w:r>
      <w:r>
        <w:t>证券交易所报告</w:t>
      </w:r>
      <w:r>
        <w:rPr>
          <w:rFonts w:hint="eastAsia"/>
        </w:rPr>
        <w:t>。</w:t>
      </w:r>
      <w:r>
        <w:t>公司董事、高级管理人员及前述人员的配偶在买卖本公司股票及其衍生品种</w:t>
      </w:r>
      <w:r>
        <w:rPr>
          <w:spacing w:val="-17"/>
        </w:rPr>
        <w:t>前，应将本人的买卖计划以书面方式通知董事会秘书，</w:t>
      </w:r>
      <w:r>
        <w:rPr>
          <w:spacing w:val="-4"/>
        </w:rPr>
        <w:t>董事会秘书应当核查公司信息披露及重大事项等进展情况</w:t>
      </w:r>
      <w:r>
        <w:rPr>
          <w:rFonts w:hint="eastAsia"/>
          <w:spacing w:val="-4"/>
        </w:rPr>
        <w:t>，</w:t>
      </w:r>
      <w:r>
        <w:rPr>
          <w:spacing w:val="-4"/>
        </w:rPr>
        <w:t>如该买卖行为可能违反法律法规、</w:t>
      </w:r>
      <w:r>
        <w:rPr>
          <w:rFonts w:hint="eastAsia"/>
          <w:spacing w:val="-4"/>
          <w:lang w:val="en-US"/>
        </w:rPr>
        <w:t>深圳</w:t>
      </w:r>
      <w:r>
        <w:rPr>
          <w:spacing w:val="-4"/>
        </w:rPr>
        <w:t>证券交易所相关规定和</w:t>
      </w:r>
      <w:r>
        <w:rPr>
          <w:rFonts w:hint="eastAsia"/>
          <w:spacing w:val="-4"/>
        </w:rPr>
        <w:t>《</w:t>
      </w:r>
      <w:r>
        <w:rPr>
          <w:spacing w:val="-4"/>
        </w:rPr>
        <w:t>公司章程</w:t>
      </w:r>
      <w:r>
        <w:rPr>
          <w:rFonts w:hint="eastAsia"/>
          <w:spacing w:val="-4"/>
        </w:rPr>
        <w:t>》</w:t>
      </w:r>
      <w:r>
        <w:rPr>
          <w:spacing w:val="-4"/>
        </w:rPr>
        <w:t>的，</w:t>
      </w:r>
      <w:r>
        <w:rPr>
          <w:spacing w:val="-10"/>
        </w:rPr>
        <w:t>董事会秘书应当及时书面通知</w:t>
      </w:r>
      <w:r>
        <w:rPr>
          <w:rFonts w:hint="eastAsia"/>
          <w:spacing w:val="-10"/>
          <w:lang w:val="en-US"/>
        </w:rPr>
        <w:t>拟进行买卖的相关董事、高级管理人员</w:t>
      </w:r>
      <w:r>
        <w:rPr>
          <w:spacing w:val="-10"/>
        </w:rPr>
        <w:t>，并提示相关风险。</w:t>
      </w:r>
    </w:p>
    <w:p w14:paraId="2A888F73">
      <w:pPr>
        <w:pStyle w:val="7"/>
        <w:numPr>
          <w:ilvl w:val="0"/>
          <w:numId w:val="1"/>
        </w:numPr>
        <w:spacing w:before="0" w:line="500" w:lineRule="exact"/>
        <w:jc w:val="both"/>
        <w:rPr>
          <w:rFonts w:hint="eastAsia"/>
        </w:rPr>
      </w:pPr>
      <w:r>
        <w:rPr>
          <w:spacing w:val="-8"/>
        </w:rPr>
        <w:t xml:space="preserve"> 公司董事、高级管理人员在</w:t>
      </w:r>
      <w:r>
        <w:t>其就任时确定的任期内和任期届满后</w:t>
      </w:r>
      <w:r>
        <w:rPr>
          <w:rFonts w:ascii="Times New Roman" w:hAnsi="Times New Roman" w:cs="Times New Roman"/>
          <w:lang w:val="en-US"/>
        </w:rPr>
        <w:t>6</w:t>
      </w:r>
      <w:r>
        <w:t>个月内</w:t>
      </w:r>
      <w:r>
        <w:rPr>
          <w:spacing w:val="-8"/>
        </w:rPr>
        <w:t>，每年通过集中竞价、</w:t>
      </w:r>
      <w:r>
        <w:t>大宗交易、协议转让等方式转让的股份</w:t>
      </w:r>
      <w:r>
        <w:rPr>
          <w:rFonts w:hint="eastAsia"/>
        </w:rPr>
        <w:t>，</w:t>
      </w:r>
      <w:r>
        <w:t>不得超过其所持本公司股份总数的</w:t>
      </w:r>
      <w:r>
        <w:rPr>
          <w:rFonts w:ascii="Times New Roman" w:hAnsi="Times New Roman" w:cs="Times New Roman"/>
        </w:rPr>
        <w:t>25%</w:t>
      </w:r>
      <w:r>
        <w:rPr>
          <w:rFonts w:hint="eastAsia" w:ascii="Times New Roman" w:hAnsi="Times New Roman" w:cs="Times New Roman"/>
        </w:rPr>
        <w:t>，</w:t>
      </w:r>
      <w:r>
        <w:t>因司法强制执行、继承、遗赠、依法分割财产等导致股份变动的除外。</w:t>
      </w:r>
    </w:p>
    <w:p w14:paraId="53F3F79B">
      <w:pPr>
        <w:pStyle w:val="7"/>
        <w:spacing w:before="0" w:line="500" w:lineRule="exact"/>
        <w:ind w:left="0" w:firstLine="480" w:firstLineChars="200"/>
        <w:rPr>
          <w:rFonts w:hint="eastAsia"/>
        </w:rPr>
      </w:pPr>
      <w:r>
        <w:t>公司董事、高级管理人员所持股份不超过</w:t>
      </w:r>
      <w:r>
        <w:rPr>
          <w:rFonts w:ascii="Times New Roman" w:hAnsi="Times New Roman" w:cs="Times New Roman"/>
        </w:rPr>
        <w:t>1,000</w:t>
      </w:r>
      <w:r>
        <w:t>股的，可一次全部转让，不受前款转让比例的限制。</w:t>
      </w:r>
    </w:p>
    <w:p w14:paraId="516EE46D">
      <w:pPr>
        <w:pStyle w:val="7"/>
        <w:numPr>
          <w:ilvl w:val="0"/>
          <w:numId w:val="1"/>
        </w:numPr>
        <w:spacing w:before="0" w:line="500" w:lineRule="exact"/>
        <w:rPr>
          <w:rFonts w:hint="eastAsia"/>
        </w:rPr>
      </w:pPr>
      <w:r>
        <w:rPr>
          <w:b/>
          <w:bCs/>
        </w:rPr>
        <w:t xml:space="preserve"> </w:t>
      </w:r>
      <w:r>
        <w:rPr>
          <w:rFonts w:hint="eastAsia"/>
        </w:rPr>
        <w:t>公司董事、高级管理人员以上年末其所持有本公司发行的股份为基数，计算其中可转让股份的数量。</w:t>
      </w:r>
    </w:p>
    <w:p w14:paraId="263E11C0">
      <w:pPr>
        <w:pStyle w:val="7"/>
        <w:spacing w:before="0" w:line="500" w:lineRule="exact"/>
        <w:ind w:left="0" w:firstLine="480" w:firstLineChars="200"/>
        <w:rPr>
          <w:rFonts w:hint="eastAsia"/>
          <w:lang w:val="en-US"/>
        </w:rPr>
      </w:pPr>
      <w:r>
        <w:rPr>
          <w:rFonts w:hint="eastAsia"/>
          <w:lang w:val="en-US"/>
        </w:rPr>
        <w:t>公司董事、高级管理人员在上述可转让股份数量范围内转让其所持有本公司股份的，还应遵守本制度第十七条的规定。</w:t>
      </w:r>
    </w:p>
    <w:p w14:paraId="363BB8A9">
      <w:pPr>
        <w:pStyle w:val="7"/>
        <w:numPr>
          <w:ilvl w:val="0"/>
          <w:numId w:val="1"/>
        </w:numPr>
        <w:spacing w:line="500" w:lineRule="exact"/>
        <w:rPr>
          <w:rFonts w:hint="eastAsia"/>
          <w:lang w:val="en-US"/>
        </w:rPr>
      </w:pPr>
      <w:r>
        <w:rPr>
          <w:lang w:val="en-US"/>
        </w:rPr>
        <w:t xml:space="preserve"> </w:t>
      </w:r>
      <w:r>
        <w:rPr>
          <w:rFonts w:hint="eastAsia"/>
          <w:lang w:val="en-US"/>
        </w:rPr>
        <w:t>因公司公开或非公开发行股份、实施股权激励计划，或因董事、高级管理人员在二级市场购买、可转债转股、行权、协议受让等各种年内新增股份，新增无限售条件股份当年可转让</w:t>
      </w:r>
      <w:r>
        <w:rPr>
          <w:rFonts w:ascii="Times New Roman" w:hAnsi="Times New Roman" w:cs="Times New Roman"/>
          <w:lang w:val="en-US"/>
        </w:rPr>
        <w:t>25%</w:t>
      </w:r>
      <w:r>
        <w:rPr>
          <w:rFonts w:hint="eastAsia"/>
          <w:lang w:val="en-US"/>
        </w:rPr>
        <w:t>，新增有限售条件的股份计入次年可转让股份的计算基数。</w:t>
      </w:r>
    </w:p>
    <w:p w14:paraId="2C27F0EE">
      <w:pPr>
        <w:pStyle w:val="7"/>
        <w:spacing w:before="0" w:line="500" w:lineRule="exact"/>
        <w:ind w:left="0" w:firstLine="480" w:firstLineChars="200"/>
        <w:rPr>
          <w:rFonts w:hint="eastAsia"/>
          <w:lang w:val="en-US"/>
        </w:rPr>
      </w:pPr>
      <w:r>
        <w:rPr>
          <w:rFonts w:hint="eastAsia"/>
          <w:lang w:val="en-US"/>
        </w:rPr>
        <w:t>公司董事、高级管理人员当年可转让但未转让的本公司股份，应当计入当年末其所持有本公司股份的总数，该总数作为次年可转让股份的计算基数。</w:t>
      </w:r>
    </w:p>
    <w:p w14:paraId="1352A385">
      <w:pPr>
        <w:pStyle w:val="7"/>
        <w:spacing w:before="0" w:line="500" w:lineRule="exact"/>
        <w:ind w:left="0" w:firstLine="480" w:firstLineChars="200"/>
        <w:rPr>
          <w:rFonts w:hint="eastAsia"/>
          <w:lang w:val="en-US"/>
        </w:rPr>
      </w:pPr>
      <w:r>
        <w:rPr>
          <w:rFonts w:hint="eastAsia"/>
          <w:lang w:val="en-US"/>
        </w:rPr>
        <w:t>因公司进行权益分派导致董事、高级管理人员所持本公司股份增加的，可同比例增加当年可转让数量。</w:t>
      </w:r>
    </w:p>
    <w:p w14:paraId="6457DC9D">
      <w:pPr>
        <w:pStyle w:val="7"/>
        <w:numPr>
          <w:ilvl w:val="0"/>
          <w:numId w:val="1"/>
        </w:numPr>
        <w:spacing w:before="0" w:line="500" w:lineRule="exact"/>
        <w:jc w:val="both"/>
        <w:rPr>
          <w:rFonts w:hint="eastAsia"/>
        </w:rPr>
      </w:pPr>
      <w:r>
        <w:t xml:space="preserve"> 公司董事、高级管理人员所持股份登记为有限售条件股份</w:t>
      </w:r>
      <w:r>
        <w:rPr>
          <w:spacing w:val="-11"/>
        </w:rPr>
        <w:t>的，当解除限售的条件满足后，董事、高级管理人员可委托公司向深圳证</w:t>
      </w:r>
      <w:r>
        <w:rPr>
          <w:spacing w:val="-6"/>
        </w:rPr>
        <w:t>券交易所和登记结算公司申请解除限售。解除限售后，登记结算公司自动对公司</w:t>
      </w:r>
      <w:r>
        <w:rPr>
          <w:spacing w:val="-10"/>
        </w:rPr>
        <w:t>董事、高级管理人员名下可转让股份剩余额度内的股份进行解锁，其余股</w:t>
      </w:r>
      <w:r>
        <w:t>份自动锁定。</w:t>
      </w:r>
    </w:p>
    <w:p w14:paraId="19B74ED3">
      <w:pPr>
        <w:pStyle w:val="7"/>
        <w:numPr>
          <w:ilvl w:val="0"/>
          <w:numId w:val="1"/>
        </w:numPr>
        <w:spacing w:before="0" w:line="500" w:lineRule="exact"/>
        <w:jc w:val="both"/>
        <w:rPr>
          <w:rFonts w:hint="eastAsia"/>
        </w:rPr>
      </w:pPr>
      <w:r>
        <w:t xml:space="preserve"> 在锁定期间，董事、高级管理人员所持本公司股份依法享有的收益权、表决权、优先配售权等相关权益不受影响。</w:t>
      </w:r>
    </w:p>
    <w:p w14:paraId="2857BBB0">
      <w:pPr>
        <w:pStyle w:val="7"/>
        <w:numPr>
          <w:ilvl w:val="0"/>
          <w:numId w:val="1"/>
        </w:numPr>
        <w:spacing w:before="0" w:line="500" w:lineRule="exact"/>
        <w:jc w:val="both"/>
        <w:rPr>
          <w:rFonts w:hint="eastAsia"/>
        </w:rPr>
      </w:pPr>
      <w:r>
        <w:rPr>
          <w:spacing w:val="-10"/>
        </w:rPr>
        <w:t xml:space="preserve"> 公司董事、高级管理人员在首次公开发行股票上市之日起</w:t>
      </w:r>
      <w:r>
        <w:rPr>
          <w:rFonts w:ascii="Times New Roman" w:hAnsi="Times New Roman" w:cs="Times New Roman"/>
        </w:rPr>
        <w:t>6</w:t>
      </w:r>
      <w:r>
        <w:t>个月内申报离职的，自申报离职之日起</w:t>
      </w:r>
      <w:r>
        <w:rPr>
          <w:rFonts w:ascii="Times New Roman" w:hAnsi="Times New Roman" w:cs="Times New Roman"/>
        </w:rPr>
        <w:t>18</w:t>
      </w:r>
      <w:r>
        <w:rPr>
          <w:rFonts w:ascii="Times New Roman" w:hAnsi="Times New Roman" w:cs="Times New Roman"/>
          <w:spacing w:val="-1"/>
        </w:rPr>
        <w:t>个</w:t>
      </w:r>
      <w:r>
        <w:rPr>
          <w:spacing w:val="-1"/>
        </w:rPr>
        <w:t>月内不得转让其直接持有的本公司</w:t>
      </w:r>
      <w:r>
        <w:t>股份；在首次公开发行股票上市之日起第</w:t>
      </w:r>
      <w:r>
        <w:rPr>
          <w:rFonts w:ascii="Times New Roman" w:hAnsi="Times New Roman" w:cs="Times New Roman"/>
        </w:rPr>
        <w:t>7个月至第12</w:t>
      </w:r>
      <w:r>
        <w:rPr>
          <w:spacing w:val="-1"/>
        </w:rPr>
        <w:t>个月之间申报离职的，自</w:t>
      </w:r>
      <w:r>
        <w:t>申报离职之日起</w:t>
      </w:r>
      <w:r>
        <w:rPr>
          <w:rFonts w:ascii="Times New Roman" w:hAnsi="Times New Roman" w:cs="Times New Roman"/>
        </w:rPr>
        <w:t>12</w:t>
      </w:r>
      <w:r>
        <w:rPr>
          <w:spacing w:val="-6"/>
        </w:rPr>
        <w:t>个月内不得转让其直接持有的本公司股份；在首次公开发行股</w:t>
      </w:r>
      <w:r>
        <w:t>票上市之日起第</w:t>
      </w:r>
      <w:r>
        <w:rPr>
          <w:rFonts w:ascii="Times New Roman" w:hAnsi="Times New Roman" w:cs="Times New Roman"/>
        </w:rPr>
        <w:t>12</w:t>
      </w:r>
      <w:r>
        <w:t>个月后申报离职的，自申报离职之日起</w:t>
      </w:r>
      <w:r>
        <w:rPr>
          <w:rFonts w:ascii="Times New Roman" w:hAnsi="Times New Roman" w:cs="Times New Roman"/>
        </w:rPr>
        <w:t>6</w:t>
      </w:r>
      <w:r>
        <w:rPr>
          <w:spacing w:val="-2"/>
        </w:rPr>
        <w:t>个月内不得转让其持</w:t>
      </w:r>
      <w:r>
        <w:rPr>
          <w:rFonts w:hint="eastAsia"/>
          <w:spacing w:val="-2"/>
        </w:rPr>
        <w:t>有的本公司股份。</w:t>
      </w:r>
    </w:p>
    <w:p w14:paraId="48C809E8">
      <w:pPr>
        <w:pStyle w:val="7"/>
        <w:spacing w:before="0" w:line="500" w:lineRule="exact"/>
        <w:ind w:left="0" w:firstLine="448" w:firstLineChars="200"/>
        <w:rPr>
          <w:rFonts w:hint="eastAsia"/>
        </w:rPr>
      </w:pPr>
      <w:r>
        <w:rPr>
          <w:spacing w:val="-8"/>
        </w:rPr>
        <w:t>因公司进行权益分派等导致董事、高级管理人员直接持有本公司股份</w:t>
      </w:r>
      <w:r>
        <w:t>发生变化的，仍应遵守上述规定。</w:t>
      </w:r>
    </w:p>
    <w:p w14:paraId="3D30E13F">
      <w:pPr>
        <w:pStyle w:val="7"/>
        <w:numPr>
          <w:ilvl w:val="0"/>
          <w:numId w:val="1"/>
        </w:numPr>
        <w:spacing w:before="0" w:line="500" w:lineRule="exact"/>
        <w:ind w:firstLine="480" w:firstLineChars="200"/>
        <w:jc w:val="both"/>
        <w:rPr>
          <w:rFonts w:hint="eastAsia"/>
        </w:rPr>
      </w:pPr>
      <w:r>
        <w:t xml:space="preserve"> 公司董事、高级管理人员离职时，应及时以书面形式委托公司向深圳证券交易所申报离职信息。</w:t>
      </w:r>
    </w:p>
    <w:p w14:paraId="173E112B">
      <w:pPr>
        <w:pStyle w:val="7"/>
        <w:spacing w:before="0" w:line="500" w:lineRule="exact"/>
        <w:ind w:left="0" w:firstLine="480" w:firstLineChars="200"/>
        <w:rPr>
          <w:rFonts w:hint="eastAsia"/>
        </w:rPr>
      </w:pPr>
      <w:r>
        <w:t>自公司向深圳证券交易所申报董事、高级管理人员离职信息之日起，离职人员所持股份将按规定予以锁定。</w:t>
      </w:r>
    </w:p>
    <w:p w14:paraId="43256BF2">
      <w:pPr>
        <w:pStyle w:val="7"/>
        <w:spacing w:before="0" w:line="500" w:lineRule="exact"/>
        <w:ind w:left="0" w:firstLine="456" w:firstLineChars="200"/>
        <w:rPr>
          <w:rFonts w:hint="eastAsia"/>
        </w:rPr>
      </w:pPr>
      <w:r>
        <w:rPr>
          <w:spacing w:val="-6"/>
        </w:rPr>
        <w:t>自离职人员的离职信息申报之日起</w:t>
      </w:r>
      <w:r>
        <w:rPr>
          <w:rFonts w:ascii="Times New Roman" w:hAnsi="Times New Roman" w:cs="Times New Roman"/>
          <w:spacing w:val="-6"/>
          <w:lang w:val="en-US"/>
        </w:rPr>
        <w:t>6</w:t>
      </w:r>
      <w:r>
        <w:rPr>
          <w:spacing w:val="-6"/>
        </w:rPr>
        <w:t>个月内，离职人员增持公司股份也将予</w:t>
      </w:r>
      <w:r>
        <w:t>以锁定。</w:t>
      </w:r>
    </w:p>
    <w:p w14:paraId="0DAB0E24">
      <w:pPr>
        <w:pStyle w:val="7"/>
        <w:spacing w:line="500" w:lineRule="exact"/>
        <w:ind w:left="0" w:firstLine="440" w:firstLineChars="200"/>
        <w:rPr>
          <w:rFonts w:hint="eastAsia"/>
        </w:rPr>
      </w:pPr>
      <w:r>
        <w:rPr>
          <w:spacing w:val="-10"/>
        </w:rPr>
        <w:t>公司董事、高级管理人员所持股份在解除限售的条件满足时，上述人</w:t>
      </w:r>
      <w:r>
        <w:t>员可委托公司向深圳证券交易所和登记结算公司申请解除锁定。</w:t>
      </w:r>
    </w:p>
    <w:p w14:paraId="764A2BC7">
      <w:pPr>
        <w:pStyle w:val="10"/>
        <w:widowControl/>
        <w:numPr>
          <w:ilvl w:val="0"/>
          <w:numId w:val="1"/>
        </w:numPr>
        <w:spacing w:beforeAutospacing="0" w:afterAutospacing="0" w:line="500" w:lineRule="exact"/>
        <w:ind w:firstLine="482" w:firstLineChars="200"/>
        <w:rPr>
          <w:rFonts w:hint="eastAsia"/>
        </w:rPr>
      </w:pPr>
      <w:r>
        <w:rPr>
          <w:rFonts w:hint="eastAsia"/>
          <w:b/>
          <w:bCs/>
        </w:rPr>
        <w:t xml:space="preserve"> </w:t>
      </w:r>
      <w:r>
        <w:t>公司董事、高级管理人员计划通过</w:t>
      </w:r>
      <w:r>
        <w:rPr>
          <w:rFonts w:hint="eastAsia"/>
        </w:rPr>
        <w:t>深圳</w:t>
      </w:r>
      <w:r>
        <w:t>证券交易所集中竞价交易或者大宗交易方式转让</w:t>
      </w:r>
      <w:r>
        <w:rPr>
          <w:rFonts w:hint="eastAsia"/>
        </w:rPr>
        <w:t>本公司</w:t>
      </w:r>
      <w:r>
        <w:t>股份的，应当在首次卖出前</w:t>
      </w:r>
      <w:r>
        <w:rPr>
          <w:rFonts w:ascii="Times New Roman" w:hAnsi="Times New Roman"/>
        </w:rPr>
        <w:t>15</w:t>
      </w:r>
      <w:r>
        <w:t>个交易日向</w:t>
      </w:r>
      <w:r>
        <w:rPr>
          <w:rFonts w:hint="eastAsia"/>
        </w:rPr>
        <w:t>深圳</w:t>
      </w:r>
      <w:r>
        <w:t>证券交易所报告减持计划</w:t>
      </w:r>
      <w:r>
        <w:rPr>
          <w:rFonts w:hint="eastAsia"/>
        </w:rPr>
        <w:t>，</w:t>
      </w:r>
      <w:r>
        <w:rPr>
          <w:rFonts w:cs="宋体"/>
          <w:szCs w:val="24"/>
        </w:rPr>
        <w:t>在</w:t>
      </w:r>
      <w:r>
        <w:rPr>
          <w:rFonts w:hint="eastAsia" w:cs="宋体"/>
          <w:szCs w:val="24"/>
        </w:rPr>
        <w:t>深圳</w:t>
      </w:r>
      <w:r>
        <w:rPr>
          <w:rFonts w:cs="宋体"/>
          <w:szCs w:val="24"/>
        </w:rPr>
        <w:t>证券交易所备案并予以公告</w:t>
      </w:r>
      <w:r>
        <w:t>。</w:t>
      </w:r>
    </w:p>
    <w:p w14:paraId="167E740C">
      <w:pPr>
        <w:pStyle w:val="7"/>
        <w:spacing w:line="500" w:lineRule="atLeast"/>
        <w:ind w:firstLine="480" w:firstLineChars="200"/>
        <w:jc w:val="both"/>
        <w:rPr>
          <w:rFonts w:hint="eastAsia"/>
        </w:rPr>
      </w:pPr>
      <w:r>
        <w:t>减持计划应当包括下列内容：</w:t>
      </w:r>
    </w:p>
    <w:p w14:paraId="0C36A27D">
      <w:pPr>
        <w:pStyle w:val="7"/>
        <w:spacing w:line="500" w:lineRule="exact"/>
        <w:ind w:firstLine="480" w:firstLineChars="200"/>
        <w:jc w:val="both"/>
        <w:rPr>
          <w:rFonts w:hint="eastAsia"/>
        </w:rPr>
      </w:pPr>
      <w:r>
        <w:t>（一）拟减持股份的数量、来源；</w:t>
      </w:r>
    </w:p>
    <w:p w14:paraId="27045CBE">
      <w:pPr>
        <w:pStyle w:val="7"/>
        <w:spacing w:line="500" w:lineRule="exact"/>
        <w:ind w:firstLine="480" w:firstLineChars="200"/>
        <w:jc w:val="both"/>
        <w:rPr>
          <w:rFonts w:hint="eastAsia"/>
        </w:rPr>
      </w:pPr>
      <w:r>
        <w:t>（二）减持时间区间、价格区间、方式和原因。减持时间区间应当符合</w:t>
      </w:r>
      <w:r>
        <w:rPr>
          <w:rFonts w:hint="eastAsia"/>
          <w:lang w:val="en-US"/>
        </w:rPr>
        <w:t>深圳</w:t>
      </w:r>
      <w:r>
        <w:t>证券交易所的规定；</w:t>
      </w:r>
    </w:p>
    <w:p w14:paraId="6D66BBDD">
      <w:pPr>
        <w:pStyle w:val="7"/>
        <w:spacing w:line="500" w:lineRule="exact"/>
        <w:ind w:firstLine="480" w:firstLineChars="200"/>
        <w:jc w:val="both"/>
        <w:rPr>
          <w:rFonts w:hint="eastAsia"/>
        </w:rPr>
      </w:pPr>
      <w:r>
        <w:t>（三）不存在本</w:t>
      </w:r>
      <w:r>
        <w:rPr>
          <w:rFonts w:hint="eastAsia"/>
          <w:lang w:val="en-US"/>
        </w:rPr>
        <w:t>制度</w:t>
      </w:r>
      <w:r>
        <w:t>第</w:t>
      </w:r>
      <w:r>
        <w:rPr>
          <w:rFonts w:hint="eastAsia"/>
          <w:lang w:val="en-US"/>
        </w:rPr>
        <w:t>二十五</w:t>
      </w:r>
      <w:r>
        <w:t>条</w:t>
      </w:r>
      <w:r>
        <w:rPr>
          <w:rFonts w:hint="eastAsia"/>
          <w:lang w:val="en-US"/>
        </w:rPr>
        <w:t>至第二十六条（如适用）</w:t>
      </w:r>
      <w:r>
        <w:t>规定情形的说明。</w:t>
      </w:r>
    </w:p>
    <w:p w14:paraId="1941FB22">
      <w:pPr>
        <w:pStyle w:val="7"/>
        <w:spacing w:line="500" w:lineRule="exact"/>
        <w:ind w:firstLine="480" w:firstLineChars="200"/>
        <w:jc w:val="both"/>
        <w:rPr>
          <w:rFonts w:hint="eastAsia"/>
        </w:rPr>
      </w:pPr>
      <w:r>
        <w:t>（四）</w:t>
      </w:r>
      <w:r>
        <w:rPr>
          <w:rFonts w:hint="eastAsia"/>
          <w:lang w:val="en-US"/>
        </w:rPr>
        <w:t>深圳</w:t>
      </w:r>
      <w:r>
        <w:t>证券交易所规定的其他内容。</w:t>
      </w:r>
    </w:p>
    <w:p w14:paraId="134C05EB">
      <w:pPr>
        <w:pStyle w:val="7"/>
        <w:spacing w:line="500" w:lineRule="exact"/>
        <w:ind w:firstLine="480" w:firstLineChars="200"/>
        <w:jc w:val="both"/>
        <w:rPr>
          <w:rFonts w:hint="eastAsia"/>
        </w:rPr>
      </w:pPr>
      <w:r>
        <w:rPr>
          <w:rFonts w:hint="eastAsia"/>
        </w:rPr>
        <w:t>在前款规定的减持时间区间内，公司发生高送转、并购重组等重大事项的，已披露减持计划但尚未披露减持计划完成公告的董事和高级管理人员应当同步披露减持进展情况，并说明本次减持与前述重大事项的关联性。</w:t>
      </w:r>
    </w:p>
    <w:p w14:paraId="668BD58C">
      <w:pPr>
        <w:pStyle w:val="7"/>
        <w:spacing w:line="500" w:lineRule="exact"/>
        <w:ind w:firstLine="480" w:firstLineChars="200"/>
        <w:jc w:val="both"/>
        <w:rPr>
          <w:rFonts w:hint="eastAsia"/>
        </w:rPr>
      </w:pPr>
      <w:r>
        <w:t>减持计划实施完毕后，董事、高级管理人员应当在</w:t>
      </w:r>
      <w:r>
        <w:rPr>
          <w:rFonts w:ascii="Times New Roman" w:hAnsi="Times New Roman" w:cs="Times New Roman"/>
          <w:lang w:val="en-US"/>
        </w:rPr>
        <w:t>2</w:t>
      </w:r>
      <w:r>
        <w:t>个交易日内向证券交易所报告，并予公告；在预先披露的减持时间区间内，未实施减持或者减持计划未实施完毕的，应当在减持时间区间届满后的</w:t>
      </w:r>
      <w:r>
        <w:rPr>
          <w:rFonts w:ascii="Times New Roman" w:hAnsi="Times New Roman" w:cs="Times New Roman"/>
          <w:lang w:val="en-US"/>
        </w:rPr>
        <w:t>2</w:t>
      </w:r>
      <w:r>
        <w:t>个交易日内向</w:t>
      </w:r>
      <w:r>
        <w:rPr>
          <w:rFonts w:hint="eastAsia"/>
          <w:lang w:val="en-US"/>
        </w:rPr>
        <w:t>深圳</w:t>
      </w:r>
      <w:r>
        <w:t>证券交易所报告，并予公告。</w:t>
      </w:r>
    </w:p>
    <w:p w14:paraId="1D8C3926">
      <w:pPr>
        <w:pStyle w:val="7"/>
        <w:spacing w:before="0" w:line="500" w:lineRule="exact"/>
        <w:ind w:left="0" w:firstLine="480" w:firstLineChars="200"/>
        <w:jc w:val="both"/>
        <w:rPr>
          <w:rFonts w:hint="eastAsia"/>
          <w:spacing w:val="-10"/>
        </w:rPr>
      </w:pPr>
      <w:r>
        <w:t>公司董事、高级管理人员所持本公司股份被人民法院通过</w:t>
      </w:r>
      <w:r>
        <w:rPr>
          <w:rFonts w:hint="eastAsia"/>
          <w:lang w:val="en-US"/>
        </w:rPr>
        <w:t>深圳</w:t>
      </w:r>
      <w:r>
        <w:t>证券交易所</w:t>
      </w:r>
      <w:r>
        <w:rPr>
          <w:rFonts w:hint="eastAsia"/>
          <w:lang w:val="en-US"/>
        </w:rPr>
        <w:t>以</w:t>
      </w:r>
      <w:r>
        <w:t>集中竞价交易或者大宗交易方式强制执行的，董事、高级管理人员应当在收到相关执行通知后</w:t>
      </w:r>
      <w:r>
        <w:rPr>
          <w:rFonts w:ascii="Times New Roman" w:hAnsi="Times New Roman" w:cs="Times New Roman"/>
          <w:lang w:val="en-US"/>
        </w:rPr>
        <w:t>2</w:t>
      </w:r>
      <w:r>
        <w:t>个交易日内披露</w:t>
      </w:r>
      <w:r>
        <w:rPr>
          <w:rFonts w:hint="eastAsia"/>
        </w:rPr>
        <w:t>；</w:t>
      </w:r>
      <w:r>
        <w:t>披露内容应当包括拟处置股份数量、来源、方式、时间区间等。</w:t>
      </w:r>
    </w:p>
    <w:p w14:paraId="27791FC1">
      <w:pPr>
        <w:pStyle w:val="7"/>
        <w:numPr>
          <w:ilvl w:val="0"/>
          <w:numId w:val="1"/>
        </w:numPr>
        <w:spacing w:line="500" w:lineRule="exact"/>
        <w:jc w:val="both"/>
        <w:rPr>
          <w:rFonts w:hint="eastAsia"/>
        </w:rPr>
      </w:pPr>
      <w:r>
        <w:t xml:space="preserve"> 存在下列情形之一的</w:t>
      </w:r>
      <w:r>
        <w:rPr>
          <w:rFonts w:hint="eastAsia"/>
        </w:rPr>
        <w:t>，公司董事、高级管理人员所持本公司股份不得转让：</w:t>
      </w:r>
    </w:p>
    <w:p w14:paraId="6CC3E463">
      <w:pPr>
        <w:pStyle w:val="7"/>
        <w:spacing w:line="500" w:lineRule="exact"/>
        <w:ind w:firstLine="480" w:firstLineChars="200"/>
        <w:jc w:val="both"/>
        <w:rPr>
          <w:rFonts w:hint="eastAsia"/>
        </w:rPr>
      </w:pPr>
      <w:r>
        <w:rPr>
          <w:rFonts w:hint="eastAsia"/>
        </w:rPr>
        <w:t>（一）公司股票上市交易之日起</w:t>
      </w:r>
      <w:r>
        <w:rPr>
          <w:rFonts w:ascii="Times New Roman" w:hAnsi="Times New Roman" w:cs="Times New Roman"/>
          <w:lang w:val="en-US"/>
        </w:rPr>
        <w:t>1</w:t>
      </w:r>
      <w:r>
        <w:rPr>
          <w:rFonts w:hint="eastAsia"/>
        </w:rPr>
        <w:t>年内；</w:t>
      </w:r>
    </w:p>
    <w:p w14:paraId="321D896D">
      <w:pPr>
        <w:pStyle w:val="7"/>
        <w:spacing w:line="500" w:lineRule="exact"/>
        <w:ind w:firstLine="480" w:firstLineChars="200"/>
        <w:jc w:val="both"/>
        <w:rPr>
          <w:rFonts w:hint="eastAsia"/>
        </w:rPr>
      </w:pPr>
      <w:r>
        <w:rPr>
          <w:rFonts w:hint="eastAsia"/>
        </w:rPr>
        <w:t>（二）董事、高级管理人员离职后半年内；</w:t>
      </w:r>
    </w:p>
    <w:p w14:paraId="322DDDF6">
      <w:pPr>
        <w:pStyle w:val="7"/>
        <w:spacing w:line="500" w:lineRule="exact"/>
        <w:ind w:firstLine="480" w:firstLineChars="200"/>
        <w:jc w:val="both"/>
        <w:rPr>
          <w:rFonts w:hint="eastAsia"/>
        </w:rPr>
      </w:pPr>
      <w:r>
        <w:t>（</w:t>
      </w:r>
      <w:r>
        <w:rPr>
          <w:rFonts w:hint="eastAsia"/>
        </w:rPr>
        <w:t>三</w:t>
      </w:r>
      <w:r>
        <w:t>）公司因涉嫌证券期货违法犯罪，被中国证监会立案调查或者被司法机关立案侦查，或者被行政处罚、判处刑罚未满</w:t>
      </w:r>
      <w:r>
        <w:rPr>
          <w:rFonts w:ascii="Times New Roman" w:hAnsi="Times New Roman" w:cs="Times New Roman"/>
          <w:spacing w:val="-6"/>
          <w:lang w:val="en-US"/>
        </w:rPr>
        <w:t>6</w:t>
      </w:r>
      <w:r>
        <w:t>个月的；</w:t>
      </w:r>
    </w:p>
    <w:p w14:paraId="24A8E529">
      <w:pPr>
        <w:pStyle w:val="7"/>
        <w:spacing w:line="500" w:lineRule="exact"/>
        <w:ind w:firstLine="480" w:firstLineChars="200"/>
        <w:jc w:val="both"/>
        <w:rPr>
          <w:rFonts w:hint="eastAsia"/>
        </w:rPr>
      </w:pPr>
      <w:r>
        <w:t>（</w:t>
      </w:r>
      <w:r>
        <w:rPr>
          <w:rFonts w:hint="eastAsia"/>
        </w:rPr>
        <w:t>四</w:t>
      </w:r>
      <w:r>
        <w:t>）</w:t>
      </w:r>
      <w:r>
        <w:rPr>
          <w:rFonts w:hint="eastAsia"/>
        </w:rPr>
        <w:t>董事、高级管理人员</w:t>
      </w:r>
      <w:r>
        <w:t>因涉嫌与公司有关的证券期货违法犯罪，被中国证监会立案调查或者被司法机关立案侦查，或者被行政处罚、判处刑罚未满</w:t>
      </w:r>
      <w:r>
        <w:rPr>
          <w:rFonts w:ascii="Times New Roman" w:hAnsi="Times New Roman" w:cs="Times New Roman"/>
          <w:spacing w:val="-6"/>
          <w:lang w:val="en-US"/>
        </w:rPr>
        <w:t>6</w:t>
      </w:r>
      <w:r>
        <w:t>个月的；</w:t>
      </w:r>
    </w:p>
    <w:p w14:paraId="7E6C119C">
      <w:pPr>
        <w:pStyle w:val="7"/>
        <w:spacing w:line="500" w:lineRule="exact"/>
        <w:ind w:firstLine="480" w:firstLineChars="200"/>
        <w:jc w:val="both"/>
        <w:rPr>
          <w:rFonts w:hint="eastAsia"/>
        </w:rPr>
      </w:pPr>
      <w:r>
        <w:t>（</w:t>
      </w:r>
      <w:r>
        <w:rPr>
          <w:rFonts w:hint="eastAsia"/>
        </w:rPr>
        <w:t>五</w:t>
      </w:r>
      <w:r>
        <w:t>）</w:t>
      </w:r>
      <w:r>
        <w:rPr>
          <w:rFonts w:hint="eastAsia"/>
        </w:rPr>
        <w:t>董事、高级管理人员</w:t>
      </w:r>
      <w:r>
        <w:t>因涉及证券期货违法，被中国证监会行政处罚，尚未足额缴纳罚没款的，但法律法规另有规定或者减持资金用于缴纳罚没款的除外；</w:t>
      </w:r>
    </w:p>
    <w:p w14:paraId="12EC84F6">
      <w:pPr>
        <w:pStyle w:val="7"/>
        <w:spacing w:line="500" w:lineRule="exact"/>
        <w:ind w:firstLine="480" w:firstLineChars="200"/>
        <w:jc w:val="both"/>
        <w:rPr>
          <w:rFonts w:hint="eastAsia"/>
        </w:rPr>
      </w:pPr>
      <w:r>
        <w:t>（</w:t>
      </w:r>
      <w:r>
        <w:rPr>
          <w:rFonts w:hint="eastAsia"/>
        </w:rPr>
        <w:t>六</w:t>
      </w:r>
      <w:r>
        <w:t>）</w:t>
      </w:r>
      <w:r>
        <w:rPr>
          <w:rFonts w:hint="eastAsia"/>
        </w:rPr>
        <w:t>董事、高级管理人员</w:t>
      </w:r>
      <w:r>
        <w:t>因涉及与公司有关的违法违规，被</w:t>
      </w:r>
      <w:r>
        <w:rPr>
          <w:rFonts w:hint="eastAsia"/>
          <w:lang w:val="en-US"/>
        </w:rPr>
        <w:t>深圳</w:t>
      </w:r>
      <w:r>
        <w:t>证券交易所公开谴责未满</w:t>
      </w:r>
      <w:r>
        <w:rPr>
          <w:rFonts w:ascii="Times New Roman" w:hAnsi="Times New Roman" w:cs="Times New Roman"/>
          <w:lang w:val="en-US"/>
        </w:rPr>
        <w:t>3</w:t>
      </w:r>
      <w:r>
        <w:t>个月的；</w:t>
      </w:r>
    </w:p>
    <w:p w14:paraId="16B58B71">
      <w:pPr>
        <w:pStyle w:val="7"/>
        <w:spacing w:line="500" w:lineRule="exact"/>
        <w:ind w:firstLine="480" w:firstLineChars="200"/>
        <w:jc w:val="both"/>
        <w:rPr>
          <w:rFonts w:hint="eastAsia"/>
        </w:rPr>
      </w:pPr>
      <w:r>
        <w:t>（</w:t>
      </w:r>
      <w:r>
        <w:rPr>
          <w:rFonts w:hint="eastAsia"/>
        </w:rPr>
        <w:t>七</w:t>
      </w:r>
      <w:r>
        <w:t>）公司可能触及本所业务规则规定的重大违法强制退市情形的，</w:t>
      </w:r>
      <w:r>
        <w:rPr>
          <w:rFonts w:hint="eastAsia"/>
        </w:rPr>
        <w:t>在证券交易所规定的限制转让期限内的；</w:t>
      </w:r>
    </w:p>
    <w:p w14:paraId="4DB318C2">
      <w:pPr>
        <w:pStyle w:val="7"/>
        <w:spacing w:before="0" w:line="500" w:lineRule="exact"/>
        <w:ind w:left="0" w:firstLine="480" w:firstLineChars="200"/>
        <w:jc w:val="both"/>
        <w:rPr>
          <w:rFonts w:hint="eastAsia"/>
        </w:rPr>
      </w:pPr>
      <w:r>
        <w:t>（</w:t>
      </w:r>
      <w:r>
        <w:rPr>
          <w:rFonts w:hint="eastAsia"/>
          <w:lang w:val="en-US"/>
        </w:rPr>
        <w:t>八</w:t>
      </w:r>
      <w:r>
        <w:t>）法律法规、中国证监会和</w:t>
      </w:r>
      <w:r>
        <w:rPr>
          <w:rFonts w:hint="eastAsia"/>
          <w:lang w:val="en-US"/>
        </w:rPr>
        <w:t>深圳</w:t>
      </w:r>
      <w:r>
        <w:t>证券交易所规则以及</w:t>
      </w:r>
      <w:r>
        <w:rPr>
          <w:rFonts w:hint="eastAsia"/>
        </w:rPr>
        <w:t>《</w:t>
      </w:r>
      <w:r>
        <w:t>公司章程</w:t>
      </w:r>
      <w:r>
        <w:rPr>
          <w:rFonts w:hint="eastAsia"/>
        </w:rPr>
        <w:t>》</w:t>
      </w:r>
      <w:r>
        <w:t>规定的其他情形。</w:t>
      </w:r>
    </w:p>
    <w:p w14:paraId="6AC9B8D8">
      <w:pPr>
        <w:pStyle w:val="7"/>
        <w:numPr>
          <w:ilvl w:val="0"/>
          <w:numId w:val="1"/>
        </w:numPr>
        <w:spacing w:before="0" w:line="500" w:lineRule="exact"/>
        <w:jc w:val="both"/>
        <w:rPr>
          <w:rFonts w:hint="eastAsia"/>
        </w:rPr>
      </w:pPr>
      <w:r>
        <w:t xml:space="preserve"> 公司董事、高级管理人员在下列期间不得买卖公司股票：</w:t>
      </w:r>
    </w:p>
    <w:p w14:paraId="57C525A9">
      <w:pPr>
        <w:pStyle w:val="7"/>
        <w:spacing w:before="0" w:line="500" w:lineRule="exact"/>
        <w:ind w:left="0" w:firstLine="460" w:firstLineChars="200"/>
        <w:rPr>
          <w:rFonts w:hint="eastAsia"/>
        </w:rPr>
      </w:pPr>
      <w:r>
        <w:rPr>
          <w:spacing w:val="-5"/>
        </w:rPr>
        <w:t>（一）公司年度报告、半年度报告公告前</w:t>
      </w:r>
      <w:r>
        <w:rPr>
          <w:rFonts w:ascii="Times New Roman" w:hAnsi="Times New Roman" w:cs="Times New Roman"/>
          <w:lang w:val="en-US"/>
        </w:rPr>
        <w:t>15</w:t>
      </w:r>
      <w:r>
        <w:rPr>
          <w:spacing w:val="-10"/>
        </w:rPr>
        <w:t>日内，因特</w:t>
      </w:r>
      <w:r>
        <w:t>殊原因推迟公告日期的，自原公告日前</w:t>
      </w:r>
      <w:r>
        <w:rPr>
          <w:rFonts w:ascii="Times New Roman" w:hAnsi="Times New Roman" w:cs="Times New Roman"/>
          <w:lang w:val="en-US"/>
        </w:rPr>
        <w:t>15</w:t>
      </w:r>
      <w:r>
        <w:t>日起</w:t>
      </w:r>
      <w:r>
        <w:rPr>
          <w:rFonts w:hint="eastAsia"/>
          <w:lang w:val="en-US"/>
        </w:rPr>
        <w:t>算</w:t>
      </w:r>
      <w:r>
        <w:t>；</w:t>
      </w:r>
    </w:p>
    <w:p w14:paraId="4142B383">
      <w:pPr>
        <w:pStyle w:val="7"/>
        <w:spacing w:before="0" w:line="500" w:lineRule="exact"/>
        <w:ind w:left="0" w:firstLine="480" w:firstLineChars="200"/>
        <w:rPr>
          <w:rFonts w:hint="eastAsia"/>
        </w:rPr>
      </w:pPr>
      <w:r>
        <w:t>（二）公司</w:t>
      </w:r>
      <w:r>
        <w:rPr>
          <w:rFonts w:hint="eastAsia"/>
          <w:lang w:val="en-US"/>
        </w:rPr>
        <w:t>季度报告、</w:t>
      </w:r>
      <w:r>
        <w:t>业绩预告、业绩快报公告前</w:t>
      </w:r>
      <w:r>
        <w:rPr>
          <w:rFonts w:ascii="Times New Roman" w:hAnsi="Times New Roman" w:cs="Times New Roman"/>
          <w:lang w:val="en-US"/>
        </w:rPr>
        <w:t>5</w:t>
      </w:r>
      <w:r>
        <w:t>日内；</w:t>
      </w:r>
    </w:p>
    <w:p w14:paraId="36ED90BE">
      <w:pPr>
        <w:pStyle w:val="7"/>
        <w:spacing w:before="0" w:line="500" w:lineRule="exact"/>
        <w:ind w:left="0" w:firstLine="480" w:firstLineChars="200"/>
        <w:rPr>
          <w:rFonts w:hint="eastAsia"/>
        </w:rPr>
      </w:pPr>
      <w:r>
        <w:t>（三）自可能对公司股票及其衍生品种交易价格产生重大影响的重大事项发生之日</w:t>
      </w:r>
      <w:r>
        <w:rPr>
          <w:rFonts w:hint="eastAsia"/>
          <w:lang w:val="en-US"/>
        </w:rPr>
        <w:t>起</w:t>
      </w:r>
      <w:r>
        <w:t>或</w:t>
      </w:r>
      <w:r>
        <w:rPr>
          <w:rFonts w:hint="eastAsia"/>
          <w:lang w:val="en-US"/>
        </w:rPr>
        <w:t>进入</w:t>
      </w:r>
      <w:r>
        <w:t>决策</w:t>
      </w:r>
      <w:r>
        <w:rPr>
          <w:lang w:val="en-US"/>
        </w:rPr>
        <w:t>过程</w:t>
      </w:r>
      <w:r>
        <w:rPr>
          <w:rFonts w:hint="eastAsia"/>
          <w:lang w:val="en-US"/>
        </w:rPr>
        <w:t>之日</w:t>
      </w:r>
      <w:r>
        <w:t>至依法披露</w:t>
      </w:r>
      <w:r>
        <w:rPr>
          <w:rFonts w:hint="eastAsia"/>
        </w:rPr>
        <w:t>之日内</w:t>
      </w:r>
      <w:r>
        <w:t>；</w:t>
      </w:r>
    </w:p>
    <w:p w14:paraId="52D68EEE">
      <w:pPr>
        <w:pStyle w:val="7"/>
        <w:spacing w:before="0" w:line="500" w:lineRule="exact"/>
        <w:ind w:left="0" w:firstLine="480" w:firstLineChars="200"/>
        <w:rPr>
          <w:rFonts w:hint="eastAsia"/>
        </w:rPr>
      </w:pPr>
      <w:r>
        <w:t>（四）</w:t>
      </w:r>
      <w:r>
        <w:rPr>
          <w:rFonts w:hint="eastAsia"/>
        </w:rPr>
        <w:t>中国证监会及</w:t>
      </w:r>
      <w:r>
        <w:t>深圳证券交易所规定的其他期间。</w:t>
      </w:r>
    </w:p>
    <w:p w14:paraId="0C362C5C">
      <w:pPr>
        <w:pStyle w:val="7"/>
        <w:numPr>
          <w:ilvl w:val="0"/>
          <w:numId w:val="1"/>
        </w:numPr>
        <w:spacing w:line="500" w:lineRule="atLeast"/>
        <w:rPr>
          <w:rFonts w:hint="eastAsia"/>
        </w:rPr>
      </w:pPr>
      <w:r>
        <w:t xml:space="preserve"> 公司董事、高级管理人员应当确保下列自然人、法人或者其他组织不发生因获知内幕信息而买卖本公司股份及其衍生品种的行为：</w:t>
      </w:r>
    </w:p>
    <w:p w14:paraId="15508E7B">
      <w:pPr>
        <w:pStyle w:val="7"/>
        <w:spacing w:before="0" w:line="500" w:lineRule="atLeast"/>
        <w:ind w:left="0" w:firstLine="480" w:firstLineChars="200"/>
        <w:jc w:val="both"/>
        <w:rPr>
          <w:rFonts w:hint="eastAsia"/>
        </w:rPr>
      </w:pPr>
      <w:r>
        <w:t>（一）董事、高级管理人员的配偶、父母、子女、兄弟姐妹；</w:t>
      </w:r>
    </w:p>
    <w:p w14:paraId="4E76BBFB">
      <w:pPr>
        <w:pStyle w:val="7"/>
        <w:spacing w:before="0" w:line="500" w:lineRule="atLeast"/>
        <w:ind w:left="0" w:firstLine="480" w:firstLineChars="200"/>
        <w:jc w:val="both"/>
        <w:rPr>
          <w:rFonts w:hint="eastAsia"/>
        </w:rPr>
      </w:pPr>
      <w:r>
        <w:t>（二）董事、高级管理人员控制的法人或者其他组织；</w:t>
      </w:r>
    </w:p>
    <w:p w14:paraId="3C1667F9">
      <w:pPr>
        <w:pStyle w:val="7"/>
        <w:numPr>
          <w:ilvl w:val="255"/>
          <w:numId w:val="0"/>
        </w:numPr>
        <w:spacing w:before="120" w:beforeLines="50" w:line="360" w:lineRule="auto"/>
        <w:ind w:firstLine="480" w:firstLineChars="200"/>
        <w:jc w:val="both"/>
        <w:rPr>
          <w:rFonts w:hint="eastAsia"/>
        </w:rPr>
      </w:pPr>
      <w:r>
        <w:t>（三）中国证监会、深圳证券交易所或者公司根据实质重于形式的原则认定的其他与公司或者公司董事、高级管理人员有特殊关系，可能获知内幕信息的自然人、法人或者其他组织。</w:t>
      </w:r>
    </w:p>
    <w:p w14:paraId="429F827D">
      <w:pPr>
        <w:pStyle w:val="3"/>
        <w:spacing w:before="120" w:beforeLines="50" w:line="360" w:lineRule="auto"/>
        <w:ind w:left="204"/>
        <w:jc w:val="center"/>
        <w:rPr>
          <w:rFonts w:hint="eastAsia"/>
          <w:lang w:val="en-US" w:bidi="ar"/>
        </w:rPr>
      </w:pPr>
      <w:r>
        <w:rPr>
          <w:rFonts w:hint="eastAsia"/>
          <w:lang w:val="en-US" w:bidi="ar"/>
        </w:rPr>
        <w:t>第四章 增持股份行为规范</w:t>
      </w:r>
    </w:p>
    <w:p w14:paraId="7C5DD6BD">
      <w:pPr>
        <w:pStyle w:val="7"/>
        <w:numPr>
          <w:ilvl w:val="0"/>
          <w:numId w:val="1"/>
        </w:numPr>
        <w:spacing w:line="500" w:lineRule="exact"/>
        <w:rPr>
          <w:rFonts w:hint="eastAsia"/>
          <w:lang w:val="en-US" w:bidi="ar"/>
        </w:rPr>
      </w:pPr>
      <w:r>
        <w:rPr>
          <w:rFonts w:hint="eastAsia"/>
          <w:lang w:val="en-US" w:bidi="ar"/>
        </w:rPr>
        <w:t xml:space="preserve"> 本制度规定适用于下列增持股份情形：</w:t>
      </w:r>
    </w:p>
    <w:p w14:paraId="37040EFD">
      <w:pPr>
        <w:pStyle w:val="7"/>
        <w:spacing w:line="500" w:lineRule="exact"/>
        <w:ind w:left="0" w:firstLine="480" w:firstLineChars="200"/>
        <w:rPr>
          <w:rFonts w:ascii="Times New Roman" w:hAnsi="Times New Roman" w:cs="Times New Roman"/>
        </w:rPr>
      </w:pPr>
      <w:r>
        <w:rPr>
          <w:rFonts w:ascii="Times New Roman" w:hAnsi="Times New Roman" w:cs="Times New Roman"/>
          <w:lang w:val="en-US" w:bidi="ar"/>
        </w:rPr>
        <w:t>（一）在公司中拥有权益的股份达到或者超过公司已发行股份的30%但未达到50%的，自上述事实发生之日起1年后，每12个月内增持不超过本公司已发行的2%的股份；</w:t>
      </w:r>
    </w:p>
    <w:p w14:paraId="31BFE357">
      <w:pPr>
        <w:pStyle w:val="7"/>
        <w:spacing w:line="500" w:lineRule="exact"/>
        <w:ind w:left="0" w:firstLine="480" w:firstLineChars="200"/>
        <w:rPr>
          <w:rFonts w:ascii="Times New Roman" w:hAnsi="Times New Roman" w:cs="Times New Roman"/>
          <w:lang w:val="en-US" w:bidi="ar"/>
        </w:rPr>
      </w:pPr>
      <w:r>
        <w:rPr>
          <w:rFonts w:ascii="Times New Roman" w:hAnsi="Times New Roman" w:cs="Times New Roman"/>
          <w:lang w:val="en-US" w:bidi="ar"/>
        </w:rPr>
        <w:t>（二）在公司中拥有权益的股份达到或者超过本公司已发行股份的50%的，继续增加其在本公司拥有的权益不影响本公司的上市地位；</w:t>
      </w:r>
    </w:p>
    <w:p w14:paraId="29815BDF">
      <w:pPr>
        <w:pStyle w:val="7"/>
        <w:spacing w:line="500" w:lineRule="exact"/>
        <w:ind w:left="0" w:firstLine="480" w:firstLineChars="200"/>
        <w:rPr>
          <w:rFonts w:ascii="Times New Roman" w:hAnsi="Times New Roman" w:cs="Times New Roman"/>
          <w:lang w:val="en-US" w:bidi="ar"/>
        </w:rPr>
      </w:pPr>
      <w:r>
        <w:rPr>
          <w:rFonts w:ascii="Times New Roman" w:hAnsi="Times New Roman" w:cs="Times New Roman"/>
          <w:lang w:val="en-US" w:bidi="ar"/>
        </w:rPr>
        <w:t>（三）公司</w:t>
      </w:r>
      <w:r>
        <w:rPr>
          <w:rFonts w:hint="eastAsia" w:ascii="Times New Roman" w:hAnsi="Times New Roman" w:cs="Times New Roman"/>
          <w:lang w:val="en-US" w:bidi="ar"/>
        </w:rPr>
        <w:t>控股股东、持股</w:t>
      </w:r>
      <w:r>
        <w:rPr>
          <w:rFonts w:ascii="Times New Roman" w:hAnsi="Times New Roman" w:cs="Times New Roman"/>
          <w:lang w:val="en-US" w:bidi="ar"/>
        </w:rPr>
        <w:t>5</w:t>
      </w:r>
      <w:r>
        <w:rPr>
          <w:rFonts w:hint="eastAsia" w:ascii="Times New Roman" w:hAnsi="Times New Roman" w:cs="Times New Roman"/>
          <w:lang w:val="en-US" w:bidi="ar"/>
        </w:rPr>
        <w:t>%以上股东、</w:t>
      </w:r>
      <w:r>
        <w:rPr>
          <w:rFonts w:ascii="Times New Roman" w:hAnsi="Times New Roman" w:cs="Times New Roman"/>
          <w:lang w:val="en-US" w:bidi="ar"/>
        </w:rPr>
        <w:t>董事和高级管理人员披露股份增持计划。</w:t>
      </w:r>
    </w:p>
    <w:p w14:paraId="62AE36A0">
      <w:pPr>
        <w:pStyle w:val="7"/>
        <w:numPr>
          <w:ilvl w:val="0"/>
          <w:numId w:val="1"/>
        </w:numPr>
        <w:spacing w:line="500" w:lineRule="exact"/>
        <w:rPr>
          <w:rFonts w:ascii="Times New Roman" w:hAnsi="Times New Roman" w:cs="Times New Roman"/>
          <w:lang w:val="en-US" w:bidi="ar"/>
        </w:rPr>
      </w:pPr>
      <w:r>
        <w:rPr>
          <w:rFonts w:hint="eastAsia" w:ascii="Times New Roman" w:hAnsi="Times New Roman" w:cs="Times New Roman"/>
          <w:b/>
          <w:bCs/>
          <w:lang w:val="en-US" w:bidi="ar"/>
        </w:rPr>
        <w:t xml:space="preserve"> </w:t>
      </w:r>
      <w:r>
        <w:rPr>
          <w:rFonts w:ascii="Times New Roman" w:hAnsi="Times New Roman" w:cs="Times New Roman"/>
          <w:lang w:val="en-US" w:bidi="ar"/>
        </w:rPr>
        <w:t>公司董事、高级管理人员在未披露股份增持计划的情况下，首次披露其股份增持情况并且拟继续增持的，应当披露其后续股份增持计划。</w:t>
      </w:r>
    </w:p>
    <w:p w14:paraId="5072964E">
      <w:pPr>
        <w:pStyle w:val="7"/>
        <w:numPr>
          <w:ilvl w:val="0"/>
          <w:numId w:val="1"/>
        </w:numPr>
        <w:spacing w:line="500" w:lineRule="exact"/>
        <w:rPr>
          <w:rFonts w:ascii="Times New Roman" w:hAnsi="Times New Roman" w:cs="Times New Roman"/>
          <w:lang w:val="en-US" w:bidi="ar"/>
        </w:rPr>
      </w:pPr>
      <w:r>
        <w:rPr>
          <w:rFonts w:hint="eastAsia" w:ascii="Times New Roman" w:hAnsi="Times New Roman" w:cs="Times New Roman"/>
          <w:b/>
          <w:bCs/>
          <w:lang w:val="en-US" w:bidi="ar"/>
        </w:rPr>
        <w:t xml:space="preserve"> </w:t>
      </w:r>
      <w:r>
        <w:rPr>
          <w:rFonts w:ascii="Times New Roman" w:hAnsi="Times New Roman" w:cs="Times New Roman"/>
          <w:lang w:val="en-US" w:bidi="ar"/>
        </w:rPr>
        <w:t>公司董事、高级管理人员按照本制度第</w:t>
      </w:r>
      <w:r>
        <w:rPr>
          <w:rFonts w:hint="eastAsia" w:ascii="Times New Roman" w:hAnsi="Times New Roman" w:cs="Times New Roman"/>
          <w:lang w:val="en-US" w:bidi="ar"/>
        </w:rPr>
        <w:t>二十九</w:t>
      </w:r>
      <w:r>
        <w:rPr>
          <w:rFonts w:ascii="Times New Roman" w:hAnsi="Times New Roman" w:cs="Times New Roman"/>
          <w:lang w:val="en-US" w:bidi="ar"/>
        </w:rPr>
        <w:t>条的规定披露股份增持计划或者自愿披露股份增持计划的，公告应当包括下列内容：</w:t>
      </w:r>
    </w:p>
    <w:p w14:paraId="56FD03AE">
      <w:pPr>
        <w:pStyle w:val="7"/>
        <w:numPr>
          <w:ilvl w:val="0"/>
          <w:numId w:val="2"/>
        </w:numPr>
        <w:spacing w:line="500" w:lineRule="exact"/>
        <w:rPr>
          <w:rFonts w:hint="eastAsia"/>
          <w:lang w:val="en-US" w:bidi="ar"/>
        </w:rPr>
      </w:pPr>
      <w:r>
        <w:rPr>
          <w:rFonts w:hint="eastAsia"/>
          <w:lang w:val="en-US" w:bidi="ar"/>
        </w:rPr>
        <w:t>相关增持主体的姓名或者名称，已持有本公司股份的数量、占公司总股本的比例；</w:t>
      </w:r>
    </w:p>
    <w:p w14:paraId="4382FFC7">
      <w:pPr>
        <w:pStyle w:val="7"/>
        <w:numPr>
          <w:ilvl w:val="0"/>
          <w:numId w:val="2"/>
        </w:numPr>
        <w:spacing w:line="500" w:lineRule="exact"/>
        <w:rPr>
          <w:rFonts w:hint="eastAsia"/>
        </w:rPr>
      </w:pPr>
      <w:r>
        <w:rPr>
          <w:rFonts w:hint="eastAsia"/>
          <w:lang w:val="en-US" w:bidi="ar"/>
        </w:rPr>
        <w:t>相关增持主体在本次公告前的</w:t>
      </w:r>
      <w:r>
        <w:rPr>
          <w:rFonts w:ascii="Times New Roman" w:hAnsi="Times New Roman" w:cs="Times New Roman"/>
          <w:lang w:val="en-US" w:bidi="ar"/>
        </w:rPr>
        <w:t>12</w:t>
      </w:r>
      <w:r>
        <w:rPr>
          <w:rFonts w:hint="eastAsia"/>
          <w:lang w:val="en-US" w:bidi="ar"/>
        </w:rPr>
        <w:t>个月内已披露增持计划的实施完成的情况（如有）；</w:t>
      </w:r>
    </w:p>
    <w:p w14:paraId="139B5FC5">
      <w:pPr>
        <w:pStyle w:val="7"/>
        <w:numPr>
          <w:ilvl w:val="0"/>
          <w:numId w:val="2"/>
        </w:numPr>
        <w:spacing w:line="500" w:lineRule="exact"/>
        <w:rPr>
          <w:rFonts w:hint="eastAsia"/>
        </w:rPr>
      </w:pPr>
      <w:r>
        <w:rPr>
          <w:rFonts w:hint="eastAsia"/>
          <w:lang w:val="en-US" w:bidi="ar"/>
        </w:rPr>
        <w:t>相关增持主体在本次公告前</w:t>
      </w:r>
      <w:r>
        <w:rPr>
          <w:rFonts w:ascii="Times New Roman" w:hAnsi="Times New Roman" w:cs="Times New Roman"/>
          <w:lang w:val="en-US" w:bidi="ar"/>
        </w:rPr>
        <w:t>6</w:t>
      </w:r>
      <w:r>
        <w:rPr>
          <w:rFonts w:hint="eastAsia"/>
          <w:lang w:val="en-US" w:bidi="ar"/>
        </w:rPr>
        <w:t>个月的减持情况（如有）；</w:t>
      </w:r>
    </w:p>
    <w:p w14:paraId="4AB5C050">
      <w:pPr>
        <w:pStyle w:val="7"/>
        <w:numPr>
          <w:ilvl w:val="0"/>
          <w:numId w:val="2"/>
        </w:numPr>
        <w:spacing w:line="500" w:lineRule="exact"/>
        <w:rPr>
          <w:rFonts w:hint="eastAsia"/>
        </w:rPr>
      </w:pPr>
      <w:r>
        <w:rPr>
          <w:rFonts w:hint="eastAsia"/>
          <w:lang w:val="en-US" w:bidi="ar"/>
        </w:rPr>
        <w:t>拟增持股份的目的；</w:t>
      </w:r>
    </w:p>
    <w:p w14:paraId="399F9C4C">
      <w:pPr>
        <w:pStyle w:val="7"/>
        <w:numPr>
          <w:ilvl w:val="0"/>
          <w:numId w:val="2"/>
        </w:numPr>
        <w:spacing w:line="500" w:lineRule="exact"/>
        <w:rPr>
          <w:rFonts w:hint="eastAsia"/>
        </w:rPr>
      </w:pPr>
      <w:r>
        <w:rPr>
          <w:rFonts w:hint="eastAsia"/>
          <w:lang w:val="en-US" w:bidi="ar"/>
        </w:rPr>
        <w:t>拟增持股份的数量或金额，明确下限或区间范围，且下限不得为零，区间范围应当具备合理性，且上限不得超出下限的一倍；</w:t>
      </w:r>
    </w:p>
    <w:p w14:paraId="3B3BE447">
      <w:pPr>
        <w:pStyle w:val="7"/>
        <w:numPr>
          <w:ilvl w:val="0"/>
          <w:numId w:val="2"/>
        </w:numPr>
        <w:spacing w:line="500" w:lineRule="exact"/>
        <w:rPr>
          <w:rFonts w:hint="eastAsia"/>
        </w:rPr>
      </w:pPr>
      <w:r>
        <w:rPr>
          <w:rFonts w:hint="eastAsia"/>
          <w:lang w:val="en-US" w:bidi="ar"/>
        </w:rPr>
        <w:t>拟增持股份的价格前提（如有）；</w:t>
      </w:r>
    </w:p>
    <w:p w14:paraId="03B15B60">
      <w:pPr>
        <w:pStyle w:val="7"/>
        <w:numPr>
          <w:ilvl w:val="0"/>
          <w:numId w:val="2"/>
        </w:numPr>
        <w:spacing w:line="500" w:lineRule="exact"/>
        <w:rPr>
          <w:rFonts w:hint="eastAsia"/>
        </w:rPr>
      </w:pPr>
      <w:r>
        <w:rPr>
          <w:rFonts w:hint="eastAsia"/>
          <w:lang w:val="en-US" w:bidi="ar"/>
        </w:rPr>
        <w:t>增持计划的实施期限，应结合敏感期等因素考虑可执行性，且自公告披露之日起不得超过</w:t>
      </w:r>
      <w:r>
        <w:rPr>
          <w:rFonts w:ascii="Times New Roman" w:hAnsi="Times New Roman" w:cs="Times New Roman"/>
          <w:lang w:val="en-US" w:bidi="ar"/>
        </w:rPr>
        <w:t>6</w:t>
      </w:r>
      <w:r>
        <w:rPr>
          <w:rFonts w:hint="eastAsia"/>
          <w:lang w:val="en-US" w:bidi="ar"/>
        </w:rPr>
        <w:t>个月；</w:t>
      </w:r>
    </w:p>
    <w:p w14:paraId="460B34B6">
      <w:pPr>
        <w:pStyle w:val="7"/>
        <w:numPr>
          <w:ilvl w:val="0"/>
          <w:numId w:val="2"/>
        </w:numPr>
        <w:spacing w:line="500" w:lineRule="exact"/>
        <w:rPr>
          <w:rFonts w:hint="eastAsia"/>
        </w:rPr>
      </w:pPr>
      <w:r>
        <w:rPr>
          <w:rFonts w:hint="eastAsia"/>
          <w:lang w:val="en-US" w:bidi="ar"/>
        </w:rPr>
        <w:t>拟增持股份的方式；</w:t>
      </w:r>
    </w:p>
    <w:p w14:paraId="36F204DB">
      <w:pPr>
        <w:pStyle w:val="7"/>
        <w:numPr>
          <w:ilvl w:val="0"/>
          <w:numId w:val="2"/>
        </w:numPr>
        <w:spacing w:line="500" w:lineRule="exact"/>
        <w:rPr>
          <w:rFonts w:hint="eastAsia"/>
        </w:rPr>
      </w:pPr>
      <w:r>
        <w:rPr>
          <w:rFonts w:hint="eastAsia"/>
          <w:lang w:val="en-US" w:bidi="ar"/>
        </w:rPr>
        <w:t>相关增持主体在增持期间及法定期限内不减持公司股份的承诺；</w:t>
      </w:r>
    </w:p>
    <w:p w14:paraId="7DB11E1F">
      <w:pPr>
        <w:pStyle w:val="7"/>
        <w:numPr>
          <w:ilvl w:val="0"/>
          <w:numId w:val="2"/>
        </w:numPr>
        <w:spacing w:line="500" w:lineRule="exact"/>
        <w:rPr>
          <w:rFonts w:hint="eastAsia"/>
        </w:rPr>
      </w:pPr>
      <w:r>
        <w:rPr>
          <w:rFonts w:hint="eastAsia"/>
          <w:lang w:val="en-US" w:bidi="ar"/>
        </w:rPr>
        <w:t>增持股份是否存在锁定安排；</w:t>
      </w:r>
    </w:p>
    <w:p w14:paraId="0EDD7FEE">
      <w:pPr>
        <w:pStyle w:val="7"/>
        <w:numPr>
          <w:ilvl w:val="0"/>
          <w:numId w:val="2"/>
        </w:numPr>
        <w:spacing w:line="500" w:lineRule="exact"/>
        <w:rPr>
          <w:rFonts w:hint="eastAsia"/>
        </w:rPr>
      </w:pPr>
      <w:r>
        <w:rPr>
          <w:rFonts w:hint="eastAsia"/>
          <w:lang w:val="en-US" w:bidi="ar"/>
        </w:rPr>
        <w:t>增持计划可能面临的不确定性风险及拟采取的应对措施；</w:t>
      </w:r>
    </w:p>
    <w:p w14:paraId="628179E4">
      <w:pPr>
        <w:pStyle w:val="7"/>
        <w:numPr>
          <w:ilvl w:val="0"/>
          <w:numId w:val="2"/>
        </w:numPr>
        <w:spacing w:line="500" w:lineRule="exact"/>
        <w:rPr>
          <w:rFonts w:hint="eastAsia"/>
          <w:lang w:val="en-US" w:bidi="ar"/>
        </w:rPr>
      </w:pPr>
      <w:r>
        <w:rPr>
          <w:rFonts w:hint="eastAsia"/>
          <w:lang w:val="en-US" w:bidi="ar"/>
        </w:rPr>
        <w:t>相关增持主体限定了最低增持价格或股份数量的，应明确说明在发生除权除息等事项时的调整方式；</w:t>
      </w:r>
    </w:p>
    <w:p w14:paraId="1C2E1505">
      <w:pPr>
        <w:pStyle w:val="7"/>
        <w:numPr>
          <w:ilvl w:val="0"/>
          <w:numId w:val="2"/>
        </w:numPr>
        <w:autoSpaceDE/>
        <w:autoSpaceDN/>
        <w:spacing w:line="500" w:lineRule="exact"/>
        <w:rPr>
          <w:rFonts w:hint="eastAsia"/>
          <w:lang w:val="en-US" w:bidi="ar"/>
        </w:rPr>
      </w:pPr>
      <w:r>
        <w:rPr>
          <w:rFonts w:hint="eastAsia"/>
          <w:lang w:val="en-US" w:bidi="ar"/>
        </w:rPr>
        <w:t>深圳证券交易所要求的其他内容。</w:t>
      </w:r>
    </w:p>
    <w:p w14:paraId="2EE91797">
      <w:pPr>
        <w:pStyle w:val="7"/>
        <w:numPr>
          <w:ilvl w:val="255"/>
          <w:numId w:val="0"/>
        </w:numPr>
        <w:autoSpaceDE/>
        <w:autoSpaceDN/>
        <w:spacing w:line="500" w:lineRule="exact"/>
        <w:ind w:firstLine="480" w:firstLineChars="200"/>
        <w:jc w:val="both"/>
        <w:rPr>
          <w:rFonts w:hint="eastAsia"/>
          <w:lang w:val="en-US" w:bidi="ar"/>
        </w:rPr>
      </w:pPr>
      <w:r>
        <w:rPr>
          <w:rFonts w:hint="eastAsia"/>
          <w:lang w:val="en-US" w:bidi="ar"/>
        </w:rPr>
        <w:t>披露上述增持计划的，相关增持主体应当同时作出承诺，将在上述实施期限内完成增持计划。</w:t>
      </w:r>
    </w:p>
    <w:p w14:paraId="3F3ACD3A">
      <w:pPr>
        <w:pStyle w:val="7"/>
        <w:numPr>
          <w:ilvl w:val="0"/>
          <w:numId w:val="1"/>
        </w:numPr>
        <w:spacing w:line="500" w:lineRule="exact"/>
        <w:rPr>
          <w:rFonts w:ascii="Times New Roman" w:hAnsi="Times New Roman" w:cs="Times New Roman"/>
          <w:lang w:val="en-US" w:bidi="ar"/>
        </w:rPr>
      </w:pPr>
      <w:r>
        <w:rPr>
          <w:rFonts w:hint="eastAsia"/>
          <w:lang w:val="en-US" w:bidi="ar"/>
        </w:rPr>
        <w:t xml:space="preserve"> 相关增持主体披露股份增持计划后，在拟定的增持计划实施期限过半时，应当在事实发生之日通知公司，委托公司在次一交易日前披露增持股份进展公告。公告应当包括下列内容：</w:t>
      </w:r>
    </w:p>
    <w:p w14:paraId="4DE00DF3">
      <w:pPr>
        <w:pStyle w:val="7"/>
        <w:numPr>
          <w:ilvl w:val="0"/>
          <w:numId w:val="3"/>
        </w:numPr>
        <w:spacing w:line="500" w:lineRule="exact"/>
        <w:rPr>
          <w:rFonts w:hint="eastAsia"/>
          <w:lang w:val="en-US" w:bidi="ar"/>
        </w:rPr>
      </w:pPr>
      <w:r>
        <w:rPr>
          <w:rFonts w:hint="eastAsia"/>
          <w:lang w:val="en-US" w:bidi="ar"/>
        </w:rPr>
        <w:t>概述增持计划的基本情况；</w:t>
      </w:r>
    </w:p>
    <w:p w14:paraId="278401FD">
      <w:pPr>
        <w:pStyle w:val="7"/>
        <w:numPr>
          <w:ilvl w:val="0"/>
          <w:numId w:val="3"/>
        </w:numPr>
        <w:spacing w:line="500" w:lineRule="exact"/>
        <w:rPr>
          <w:rFonts w:hint="eastAsia"/>
        </w:rPr>
      </w:pPr>
      <w:r>
        <w:rPr>
          <w:rFonts w:hint="eastAsia"/>
          <w:lang w:val="en-US" w:bidi="ar"/>
        </w:rPr>
        <w:t>已增持股份的数量及比例、增持方式（如集中竞价、大宗交易等）；</w:t>
      </w:r>
    </w:p>
    <w:p w14:paraId="0E4D112B">
      <w:pPr>
        <w:pStyle w:val="7"/>
        <w:numPr>
          <w:ilvl w:val="0"/>
          <w:numId w:val="3"/>
        </w:numPr>
        <w:spacing w:line="500" w:lineRule="exact"/>
        <w:rPr>
          <w:rFonts w:hint="eastAsia"/>
        </w:rPr>
      </w:pPr>
      <w:r>
        <w:rPr>
          <w:rFonts w:hint="eastAsia"/>
          <w:lang w:val="en-US" w:bidi="ar"/>
        </w:rPr>
        <w:t>如增持计划实施期限过半时仍未实施增持的，应当详细披露原因及后续安排；</w:t>
      </w:r>
    </w:p>
    <w:p w14:paraId="3D985252">
      <w:pPr>
        <w:pStyle w:val="7"/>
        <w:numPr>
          <w:ilvl w:val="0"/>
          <w:numId w:val="3"/>
        </w:numPr>
        <w:spacing w:line="500" w:lineRule="exact"/>
        <w:rPr>
          <w:rFonts w:hint="eastAsia"/>
        </w:rPr>
      </w:pPr>
      <w:r>
        <w:rPr>
          <w:rFonts w:hint="eastAsia"/>
          <w:lang w:val="en-US" w:bidi="ar"/>
        </w:rPr>
        <w:t>增持行为将严格遵守《证券法》《收购管理办法》等法律法规、深圳证券交易所相关规定的说明；</w:t>
      </w:r>
    </w:p>
    <w:p w14:paraId="179AFA5E">
      <w:pPr>
        <w:pStyle w:val="7"/>
        <w:numPr>
          <w:ilvl w:val="0"/>
          <w:numId w:val="3"/>
        </w:numPr>
        <w:spacing w:line="500" w:lineRule="exact"/>
        <w:ind w:left="0"/>
        <w:rPr>
          <w:rFonts w:ascii="Times New Roman" w:hAnsi="Times New Roman" w:cs="Times New Roman"/>
          <w:lang w:val="en-US" w:bidi="ar"/>
        </w:rPr>
      </w:pPr>
      <w:r>
        <w:rPr>
          <w:rFonts w:hint="eastAsia"/>
          <w:lang w:val="en-US" w:bidi="ar"/>
        </w:rPr>
        <w:t>深圳证券交易所要求的其他内容。</w:t>
      </w:r>
    </w:p>
    <w:p w14:paraId="2F83B52D">
      <w:pPr>
        <w:pStyle w:val="7"/>
        <w:numPr>
          <w:ilvl w:val="0"/>
          <w:numId w:val="1"/>
        </w:numPr>
        <w:spacing w:line="500" w:lineRule="exact"/>
        <w:rPr>
          <w:rFonts w:hint="eastAsia"/>
          <w:lang w:val="en-US" w:bidi="ar"/>
        </w:rPr>
      </w:pPr>
      <w:r>
        <w:rPr>
          <w:rFonts w:hint="eastAsia" w:ascii="Times New Roman" w:hAnsi="Times New Roman" w:cs="Times New Roman"/>
          <w:lang w:val="en-US" w:bidi="ar"/>
        </w:rPr>
        <w:t xml:space="preserve"> </w:t>
      </w:r>
      <w:r>
        <w:rPr>
          <w:rFonts w:hint="eastAsia"/>
          <w:lang w:val="en-US" w:bidi="ar"/>
        </w:rPr>
        <w:t>属</w:t>
      </w:r>
      <w:r>
        <w:rPr>
          <w:rFonts w:ascii="Times New Roman" w:hAnsi="Times New Roman" w:cs="Times New Roman"/>
          <w:lang w:val="en-US" w:bidi="ar"/>
        </w:rPr>
        <w:t>于本制度第二十</w:t>
      </w:r>
      <w:r>
        <w:rPr>
          <w:rFonts w:hint="eastAsia" w:ascii="Times New Roman" w:hAnsi="Times New Roman" w:cs="Times New Roman"/>
          <w:lang w:val="en-US" w:bidi="ar"/>
        </w:rPr>
        <w:t>八</w:t>
      </w:r>
      <w:r>
        <w:rPr>
          <w:rFonts w:ascii="Times New Roman" w:hAnsi="Times New Roman" w:cs="Times New Roman"/>
          <w:lang w:val="en-US" w:bidi="ar"/>
        </w:rPr>
        <w:t>条第（一）项情形的，应当在增持股份比例达到公司已发行股份的2%时，或者在全部增持计划完成时或者实施期限届满时（如适用），按孰早时点，及时通知公司，聘请律师就本次股份增持行为是否符合《证券法》《收购管理办法》等有关规定发表专项核查意见，并委</w:t>
      </w:r>
      <w:r>
        <w:rPr>
          <w:rFonts w:hint="eastAsia"/>
          <w:lang w:val="en-US" w:bidi="ar"/>
        </w:rPr>
        <w:t>托公司在增持行为完成后</w:t>
      </w:r>
      <w:r>
        <w:rPr>
          <w:rFonts w:ascii="Times New Roman" w:hAnsi="Times New Roman" w:cs="Times New Roman"/>
          <w:lang w:val="en-US" w:bidi="ar"/>
        </w:rPr>
        <w:t>3</w:t>
      </w:r>
      <w:r>
        <w:rPr>
          <w:rFonts w:hint="eastAsia"/>
          <w:lang w:val="en-US" w:bidi="ar"/>
        </w:rPr>
        <w:t>日内披露股份增持结果公告和律师核查意见。</w:t>
      </w:r>
    </w:p>
    <w:p w14:paraId="6ACA4EB2">
      <w:pPr>
        <w:pStyle w:val="7"/>
        <w:numPr>
          <w:ilvl w:val="0"/>
          <w:numId w:val="1"/>
        </w:numPr>
        <w:spacing w:line="500" w:lineRule="exact"/>
        <w:rPr>
          <w:rFonts w:hint="eastAsia"/>
          <w:lang w:val="en-US" w:bidi="ar"/>
        </w:rPr>
      </w:pPr>
      <w:r>
        <w:rPr>
          <w:rFonts w:hint="eastAsia"/>
          <w:lang w:val="en-US" w:bidi="ar"/>
        </w:rPr>
        <w:t xml:space="preserve"> 属于本制度第二十</w:t>
      </w:r>
      <w:r>
        <w:rPr>
          <w:rFonts w:hint="eastAsia" w:ascii="Times New Roman" w:hAnsi="Times New Roman" w:cs="Times New Roman"/>
          <w:lang w:val="en-US" w:bidi="ar"/>
        </w:rPr>
        <w:t>八</w:t>
      </w:r>
      <w:r>
        <w:rPr>
          <w:rFonts w:hint="eastAsia"/>
          <w:lang w:val="en-US" w:bidi="ar"/>
        </w:rPr>
        <w:t>条第（二）项情形的，应当在增持行为完成时，及时通知公司，聘请律师就本次股份增持行为是否符合《证券法》《收购管理办法》等有关规定发表专项核查意见，并委托公司在增持行为完成后</w:t>
      </w:r>
      <w:r>
        <w:rPr>
          <w:rFonts w:ascii="Times New Roman" w:hAnsi="Times New Roman" w:cs="Times New Roman"/>
          <w:lang w:val="en-US" w:bidi="ar"/>
        </w:rPr>
        <w:t>3</w:t>
      </w:r>
      <w:r>
        <w:rPr>
          <w:rFonts w:hint="eastAsia"/>
          <w:lang w:val="en-US" w:bidi="ar"/>
        </w:rPr>
        <w:t>日内披露股份增持结果公告和律师核查意见。</w:t>
      </w:r>
    </w:p>
    <w:p w14:paraId="6E39EA36">
      <w:pPr>
        <w:pStyle w:val="7"/>
        <w:numPr>
          <w:ilvl w:val="255"/>
          <w:numId w:val="0"/>
        </w:numPr>
        <w:spacing w:line="500" w:lineRule="exact"/>
        <w:ind w:firstLine="480" w:firstLineChars="200"/>
        <w:rPr>
          <w:rFonts w:hint="eastAsia"/>
          <w:lang w:val="en-US" w:bidi="ar"/>
        </w:rPr>
      </w:pPr>
      <w:r>
        <w:rPr>
          <w:rFonts w:hint="eastAsia"/>
          <w:lang w:val="en-US" w:bidi="ar"/>
        </w:rPr>
        <w:t>属于本制度第二十</w:t>
      </w:r>
      <w:r>
        <w:rPr>
          <w:rFonts w:hint="eastAsia" w:ascii="Times New Roman" w:hAnsi="Times New Roman" w:cs="Times New Roman"/>
          <w:lang w:val="en-US" w:bidi="ar"/>
        </w:rPr>
        <w:t>八</w:t>
      </w:r>
      <w:r>
        <w:rPr>
          <w:rFonts w:hint="eastAsia"/>
          <w:lang w:val="en-US" w:bidi="ar"/>
        </w:rPr>
        <w:t>条第（二）项情形的，通过集中竞价方式每累计增持股份比例达到公司已</w:t>
      </w:r>
      <w:r>
        <w:rPr>
          <w:rFonts w:ascii="Times New Roman" w:hAnsi="Times New Roman" w:cs="Times New Roman"/>
          <w:lang w:val="en-US" w:bidi="ar"/>
        </w:rPr>
        <w:t>发行股份的2%的，应当披露股份增持</w:t>
      </w:r>
      <w:r>
        <w:rPr>
          <w:rFonts w:hint="eastAsia"/>
          <w:lang w:val="en-US" w:bidi="ar"/>
        </w:rPr>
        <w:t>进展公告。在事实发生之日起至公司披露股份增持进展公告日，不得再行增持公司股份。</w:t>
      </w:r>
    </w:p>
    <w:p w14:paraId="3EDB1B05">
      <w:pPr>
        <w:pStyle w:val="7"/>
        <w:numPr>
          <w:ilvl w:val="0"/>
          <w:numId w:val="1"/>
        </w:numPr>
        <w:spacing w:line="500" w:lineRule="exact"/>
        <w:rPr>
          <w:rFonts w:hint="eastAsia"/>
          <w:lang w:val="en-US" w:bidi="ar"/>
        </w:rPr>
      </w:pPr>
      <w:r>
        <w:rPr>
          <w:rFonts w:hint="eastAsia"/>
          <w:lang w:val="en-US" w:bidi="ar"/>
        </w:rPr>
        <w:t xml:space="preserve"> 本制度第三十二条、第三十三条第一款规定的股份增持结果公告应当包括下列内容：</w:t>
      </w:r>
    </w:p>
    <w:p w14:paraId="76A85CF7">
      <w:pPr>
        <w:pStyle w:val="7"/>
        <w:numPr>
          <w:ilvl w:val="0"/>
          <w:numId w:val="4"/>
        </w:numPr>
        <w:spacing w:line="500" w:lineRule="exact"/>
        <w:rPr>
          <w:rFonts w:hint="eastAsia"/>
          <w:lang w:val="en-US" w:bidi="ar"/>
        </w:rPr>
      </w:pPr>
      <w:r>
        <w:rPr>
          <w:rFonts w:hint="eastAsia"/>
          <w:lang w:val="en-US" w:bidi="ar"/>
        </w:rPr>
        <w:t>相关增持主体姓名或者名称；</w:t>
      </w:r>
    </w:p>
    <w:p w14:paraId="34035AE1">
      <w:pPr>
        <w:pStyle w:val="7"/>
        <w:numPr>
          <w:ilvl w:val="0"/>
          <w:numId w:val="4"/>
        </w:numPr>
        <w:spacing w:line="500" w:lineRule="exact"/>
        <w:rPr>
          <w:rFonts w:hint="eastAsia"/>
        </w:rPr>
      </w:pPr>
      <w:r>
        <w:rPr>
          <w:rFonts w:hint="eastAsia"/>
          <w:lang w:val="en-US" w:bidi="ar"/>
        </w:rPr>
        <w:t>首次披露增持公告的时间（如适用）；</w:t>
      </w:r>
    </w:p>
    <w:p w14:paraId="7FC239FC">
      <w:pPr>
        <w:pStyle w:val="7"/>
        <w:numPr>
          <w:ilvl w:val="0"/>
          <w:numId w:val="4"/>
        </w:numPr>
        <w:spacing w:line="500" w:lineRule="exact"/>
        <w:rPr>
          <w:rFonts w:hint="eastAsia"/>
        </w:rPr>
      </w:pPr>
      <w:r>
        <w:rPr>
          <w:rFonts w:hint="eastAsia"/>
          <w:lang w:val="en-US" w:bidi="ar"/>
        </w:rPr>
        <w:t>增持具体情况，包括增持期间、增持方式、增持股份的数量及比例、增持前后的持股数量及比例；</w:t>
      </w:r>
    </w:p>
    <w:p w14:paraId="593766FD">
      <w:pPr>
        <w:pStyle w:val="7"/>
        <w:numPr>
          <w:ilvl w:val="0"/>
          <w:numId w:val="4"/>
        </w:numPr>
        <w:spacing w:line="500" w:lineRule="exact"/>
        <w:rPr>
          <w:rFonts w:hint="eastAsia"/>
        </w:rPr>
      </w:pPr>
      <w:r>
        <w:rPr>
          <w:rFonts w:hint="eastAsia"/>
          <w:lang w:val="en-US" w:bidi="ar"/>
        </w:rPr>
        <w:t>增持计划的具体内容及履行情况（如适用）；</w:t>
      </w:r>
    </w:p>
    <w:p w14:paraId="3D76EE39">
      <w:pPr>
        <w:pStyle w:val="7"/>
        <w:numPr>
          <w:ilvl w:val="0"/>
          <w:numId w:val="4"/>
        </w:numPr>
        <w:spacing w:line="500" w:lineRule="exact"/>
        <w:rPr>
          <w:rFonts w:hint="eastAsia"/>
        </w:rPr>
      </w:pPr>
      <w:r>
        <w:rPr>
          <w:rFonts w:hint="eastAsia"/>
          <w:lang w:val="en-US" w:bidi="ar"/>
        </w:rPr>
        <w:t>对于增持期间届满仍未达到计划增持数量或金额下限的，应当公告说明原因（如适用）；</w:t>
      </w:r>
    </w:p>
    <w:p w14:paraId="169DD348">
      <w:pPr>
        <w:pStyle w:val="7"/>
        <w:numPr>
          <w:ilvl w:val="0"/>
          <w:numId w:val="4"/>
        </w:numPr>
        <w:spacing w:line="500" w:lineRule="exact"/>
        <w:rPr>
          <w:rFonts w:hint="eastAsia"/>
        </w:rPr>
      </w:pPr>
      <w:r>
        <w:rPr>
          <w:rFonts w:hint="eastAsia"/>
          <w:lang w:val="en-US" w:bidi="ar"/>
        </w:rPr>
        <w:t>说明增持行为是否存在违反《证券法》《收购管理办法》等法律法规、深圳证券交易所相关规定的情况，是否满足《收购管理办法》规定的免于发出要约的条件以及律师出具的专项核查意见；</w:t>
      </w:r>
    </w:p>
    <w:p w14:paraId="3FBF2B13">
      <w:pPr>
        <w:pStyle w:val="7"/>
        <w:numPr>
          <w:ilvl w:val="0"/>
          <w:numId w:val="4"/>
        </w:numPr>
        <w:spacing w:line="500" w:lineRule="exact"/>
        <w:rPr>
          <w:rFonts w:hint="eastAsia"/>
        </w:rPr>
      </w:pPr>
      <w:r>
        <w:rPr>
          <w:rFonts w:hint="eastAsia"/>
          <w:lang w:val="en-US" w:bidi="ar"/>
        </w:rPr>
        <w:t>相关增持主体在法定期限内不减持公司股份的承诺；</w:t>
      </w:r>
    </w:p>
    <w:p w14:paraId="23E46167">
      <w:pPr>
        <w:pStyle w:val="7"/>
        <w:numPr>
          <w:ilvl w:val="0"/>
          <w:numId w:val="4"/>
        </w:numPr>
        <w:spacing w:line="500" w:lineRule="exact"/>
        <w:rPr>
          <w:rFonts w:hint="eastAsia"/>
        </w:rPr>
      </w:pPr>
      <w:r>
        <w:rPr>
          <w:rFonts w:hint="eastAsia"/>
          <w:lang w:val="en-US" w:bidi="ar"/>
        </w:rPr>
        <w:t>增持行为是否会导致公司股权分布不符合上市条件，是否会导致公司控制权发生变化；</w:t>
      </w:r>
    </w:p>
    <w:p w14:paraId="0B797CAB">
      <w:pPr>
        <w:pStyle w:val="7"/>
        <w:numPr>
          <w:ilvl w:val="0"/>
          <w:numId w:val="4"/>
        </w:numPr>
        <w:spacing w:line="500" w:lineRule="exact"/>
        <w:rPr>
          <w:rFonts w:hint="eastAsia"/>
        </w:rPr>
      </w:pPr>
      <w:r>
        <w:rPr>
          <w:rFonts w:hint="eastAsia"/>
          <w:lang w:val="en-US" w:bidi="ar"/>
        </w:rPr>
        <w:t>深圳证券交易所或者公司认为必要的其他内容。</w:t>
      </w:r>
    </w:p>
    <w:p w14:paraId="4EB07434">
      <w:pPr>
        <w:pStyle w:val="7"/>
        <w:numPr>
          <w:ilvl w:val="255"/>
          <w:numId w:val="0"/>
        </w:numPr>
        <w:autoSpaceDE/>
        <w:autoSpaceDN/>
        <w:spacing w:line="500" w:lineRule="exact"/>
        <w:ind w:firstLine="480" w:firstLineChars="200"/>
        <w:rPr>
          <w:rFonts w:hint="eastAsia"/>
          <w:lang w:val="en-US" w:bidi="ar"/>
        </w:rPr>
      </w:pPr>
      <w:r>
        <w:rPr>
          <w:rFonts w:hint="eastAsia"/>
          <w:lang w:val="en-US" w:bidi="ar"/>
        </w:rPr>
        <w:t>相关增持主体完成其披露的增持计划，或者在增持计划实施期限内拟提前终止增持计划的，应当比照前款要求，通知本公司及时履行信息披露义务。</w:t>
      </w:r>
    </w:p>
    <w:p w14:paraId="6266BEB0">
      <w:pPr>
        <w:pStyle w:val="7"/>
        <w:numPr>
          <w:ilvl w:val="0"/>
          <w:numId w:val="1"/>
        </w:numPr>
        <w:spacing w:line="500" w:lineRule="exact"/>
        <w:rPr>
          <w:rFonts w:hint="eastAsia"/>
          <w:lang w:val="en-US" w:bidi="ar"/>
        </w:rPr>
      </w:pPr>
      <w:r>
        <w:rPr>
          <w:rFonts w:hint="eastAsia"/>
          <w:lang w:val="en-US" w:bidi="ar"/>
        </w:rPr>
        <w:t xml:space="preserve"> 公司按照规定发布定期报告时，相关增持主体的增持计划尚未实施完毕，或其实施期限尚未届满的，公司应在定期报告中披露相关增持主体增持计划的实施情况。</w:t>
      </w:r>
    </w:p>
    <w:p w14:paraId="1AAE50F0">
      <w:pPr>
        <w:pStyle w:val="7"/>
        <w:numPr>
          <w:ilvl w:val="0"/>
          <w:numId w:val="1"/>
        </w:numPr>
        <w:autoSpaceDE/>
        <w:autoSpaceDN/>
        <w:spacing w:before="120" w:beforeLines="50" w:line="360" w:lineRule="auto"/>
        <w:rPr>
          <w:rFonts w:hint="eastAsia"/>
        </w:rPr>
      </w:pPr>
      <w:r>
        <w:rPr>
          <w:rFonts w:hint="eastAsia"/>
          <w:lang w:val="en-US" w:bidi="ar"/>
        </w:rPr>
        <w:t xml:space="preserve"> 在公司发布相关增持主体增持计划实施完毕公告前，该增持主体不得减持本公司股份。</w:t>
      </w:r>
    </w:p>
    <w:p w14:paraId="2C63C95A">
      <w:pPr>
        <w:pStyle w:val="3"/>
        <w:autoSpaceDE/>
        <w:autoSpaceDN/>
        <w:spacing w:before="120" w:beforeLines="50" w:line="360" w:lineRule="auto"/>
        <w:ind w:left="0" w:firstLine="482" w:firstLineChars="200"/>
        <w:jc w:val="center"/>
        <w:rPr>
          <w:rFonts w:hint="eastAsia"/>
        </w:rPr>
      </w:pPr>
      <w:r>
        <w:rPr>
          <w:rFonts w:hint="eastAsia"/>
        </w:rPr>
        <w:t>第</w:t>
      </w:r>
      <w:r>
        <w:rPr>
          <w:rFonts w:hint="eastAsia"/>
          <w:lang w:val="en-US"/>
        </w:rPr>
        <w:t>五</w:t>
      </w:r>
      <w:r>
        <w:rPr>
          <w:rFonts w:hint="eastAsia"/>
        </w:rPr>
        <w:t>章 责任与处罚</w:t>
      </w:r>
    </w:p>
    <w:p w14:paraId="0B304416">
      <w:pPr>
        <w:pStyle w:val="7"/>
        <w:numPr>
          <w:ilvl w:val="0"/>
          <w:numId w:val="1"/>
        </w:numPr>
        <w:spacing w:before="0" w:line="500" w:lineRule="exact"/>
        <w:rPr>
          <w:rFonts w:hint="eastAsia"/>
        </w:rPr>
      </w:pPr>
      <w:r>
        <w:t xml:space="preserve"> </w:t>
      </w:r>
      <w:r>
        <w:rPr>
          <w:rFonts w:hint="eastAsia"/>
        </w:rPr>
        <w:t>公司董事、高级管理人员持有本公司股份及买卖本公司股票的行为应接受深圳证券交易所的日常监管。</w:t>
      </w:r>
    </w:p>
    <w:p w14:paraId="55B0B0EB">
      <w:pPr>
        <w:pStyle w:val="7"/>
        <w:numPr>
          <w:ilvl w:val="0"/>
          <w:numId w:val="1"/>
        </w:numPr>
        <w:spacing w:before="0" w:line="500" w:lineRule="exact"/>
        <w:rPr>
          <w:rFonts w:hint="eastAsia"/>
        </w:rPr>
      </w:pPr>
      <w:r>
        <w:rPr>
          <w:rFonts w:hint="eastAsia"/>
        </w:rPr>
        <w:t>深圳证券交易所通过发出问询函、约见谈话等方式对上述人员持有本公司股份及买卖本公司股票的行为进行问询时，相关人员应积极配合。</w:t>
      </w:r>
    </w:p>
    <w:p w14:paraId="768018A9">
      <w:pPr>
        <w:pStyle w:val="7"/>
        <w:numPr>
          <w:ilvl w:val="0"/>
          <w:numId w:val="1"/>
        </w:numPr>
        <w:spacing w:before="0" w:line="500" w:lineRule="exact"/>
        <w:rPr>
          <w:rFonts w:hint="eastAsia"/>
        </w:rPr>
      </w:pPr>
      <w:r>
        <w:t xml:space="preserve"> </w:t>
      </w:r>
      <w:r>
        <w:rPr>
          <w:rFonts w:hint="eastAsia"/>
        </w:rPr>
        <w:t>公司董事、高级管理人员违反本制度规定的，除非有关当事人向公司提供充分证据，使得公司确信，有关违反本制度规定的交易行为并非当事人真实意思的表示（如证券账户被他人非法冒用等情形），公司可以通过以下方式（包括但不限于）追究当事人的责任：</w:t>
      </w:r>
    </w:p>
    <w:p w14:paraId="2B3EFDD0">
      <w:pPr>
        <w:pStyle w:val="7"/>
        <w:numPr>
          <w:ilvl w:val="0"/>
          <w:numId w:val="5"/>
        </w:numPr>
        <w:spacing w:before="0" w:line="500" w:lineRule="exact"/>
        <w:rPr>
          <w:rFonts w:hint="eastAsia"/>
        </w:rPr>
      </w:pPr>
      <w:r>
        <w:rPr>
          <w:rFonts w:hint="eastAsia"/>
        </w:rPr>
        <w:t>视情节轻重给予责任人警告、通报批评、降职、撤职、建议董事会、股东会或者职工代表大会予以撤换等形式的处分；</w:t>
      </w:r>
    </w:p>
    <w:p w14:paraId="2A9BD620">
      <w:pPr>
        <w:pStyle w:val="7"/>
        <w:numPr>
          <w:ilvl w:val="0"/>
          <w:numId w:val="5"/>
        </w:numPr>
        <w:spacing w:before="0" w:line="500" w:lineRule="exact"/>
        <w:rPr>
          <w:rFonts w:hint="eastAsia"/>
        </w:rPr>
      </w:pPr>
      <w:r>
        <w:rPr>
          <w:rFonts w:hint="eastAsia"/>
        </w:rPr>
        <w:t xml:space="preserve">对于董事、高级管理人员违反本制度规定，在禁止买卖本公司股票期间内买卖本公司股票的，公司视情节轻重给予处分，给公司造成损失的，依法追究其相应责任； </w:t>
      </w:r>
    </w:p>
    <w:p w14:paraId="377260FE">
      <w:pPr>
        <w:pStyle w:val="7"/>
        <w:numPr>
          <w:ilvl w:val="0"/>
          <w:numId w:val="5"/>
        </w:numPr>
        <w:spacing w:before="0" w:line="500" w:lineRule="exact"/>
        <w:rPr>
          <w:rFonts w:hint="eastAsia"/>
        </w:rPr>
      </w:pPr>
      <w:r>
        <w:rPr>
          <w:rFonts w:hint="eastAsia"/>
        </w:rPr>
        <w:t>对于董事、高级管理人员违反本制度规定，将其所持本公司股票买入后</w:t>
      </w:r>
      <w:r>
        <w:rPr>
          <w:rFonts w:ascii="Times New Roman" w:hAnsi="Times New Roman" w:cs="Times New Roman"/>
          <w:lang w:val="en-US"/>
        </w:rPr>
        <w:t>6</w:t>
      </w:r>
      <w:r>
        <w:rPr>
          <w:rFonts w:hint="eastAsia"/>
        </w:rPr>
        <w:t>个月内卖出，或者在卖出后</w:t>
      </w:r>
      <w:r>
        <w:rPr>
          <w:rFonts w:ascii="Times New Roman" w:hAnsi="Times New Roman" w:cs="Times New Roman"/>
          <w:lang w:val="en-US"/>
        </w:rPr>
        <w:t>6</w:t>
      </w:r>
      <w:r>
        <w:rPr>
          <w:rFonts w:hint="eastAsia"/>
        </w:rPr>
        <w:t>个月内又买入的，公司知悉该等事项后，按照《证券法》第四十</w:t>
      </w:r>
      <w:r>
        <w:rPr>
          <w:rFonts w:hint="eastAsia"/>
          <w:lang w:val="en-US"/>
        </w:rPr>
        <w:t>四</w:t>
      </w:r>
      <w:r>
        <w:rPr>
          <w:rFonts w:hint="eastAsia"/>
        </w:rPr>
        <w:t>条规定，董事会收回其所得收益并及时披露相关事项；</w:t>
      </w:r>
    </w:p>
    <w:p w14:paraId="39FFC22C">
      <w:pPr>
        <w:pStyle w:val="7"/>
        <w:numPr>
          <w:ilvl w:val="0"/>
          <w:numId w:val="5"/>
        </w:numPr>
        <w:spacing w:before="0" w:line="500" w:lineRule="exact"/>
        <w:rPr>
          <w:rFonts w:hint="eastAsia"/>
        </w:rPr>
      </w:pPr>
      <w:r>
        <w:rPr>
          <w:rFonts w:hint="eastAsia"/>
        </w:rPr>
        <w:t>给公司造成重大影响或损失的，公司可要求其承担民事赔偿责任；</w:t>
      </w:r>
    </w:p>
    <w:p w14:paraId="23C8D9EB">
      <w:pPr>
        <w:pStyle w:val="7"/>
        <w:numPr>
          <w:ilvl w:val="0"/>
          <w:numId w:val="5"/>
        </w:numPr>
        <w:spacing w:before="0" w:line="500" w:lineRule="exact"/>
        <w:rPr>
          <w:rFonts w:hint="eastAsia"/>
        </w:rPr>
      </w:pPr>
      <w:r>
        <w:rPr>
          <w:rFonts w:hint="eastAsia"/>
        </w:rPr>
        <w:t>触犯国家有关法律法规的，可依法移送司法机关，追究其刑事责任。</w:t>
      </w:r>
    </w:p>
    <w:p w14:paraId="6B5CCE3B">
      <w:pPr>
        <w:pStyle w:val="3"/>
        <w:autoSpaceDE/>
        <w:autoSpaceDN/>
        <w:spacing w:before="120" w:beforeLines="50" w:line="360" w:lineRule="auto"/>
        <w:ind w:left="0"/>
        <w:jc w:val="center"/>
        <w:rPr>
          <w:rFonts w:hint="eastAsia"/>
        </w:rPr>
      </w:pPr>
      <w:r>
        <w:rPr>
          <w:rFonts w:hint="eastAsia"/>
        </w:rPr>
        <w:t>第</w:t>
      </w:r>
      <w:r>
        <w:rPr>
          <w:rFonts w:hint="eastAsia"/>
          <w:lang w:val="en-US"/>
        </w:rPr>
        <w:t>六</w:t>
      </w:r>
      <w:r>
        <w:rPr>
          <w:rFonts w:hint="eastAsia"/>
        </w:rPr>
        <w:t>章 附 则</w:t>
      </w:r>
    </w:p>
    <w:p w14:paraId="6260A0AC">
      <w:pPr>
        <w:pStyle w:val="7"/>
        <w:numPr>
          <w:ilvl w:val="0"/>
          <w:numId w:val="1"/>
        </w:numPr>
        <w:spacing w:line="500" w:lineRule="exact"/>
        <w:rPr>
          <w:rFonts w:hint="eastAsia"/>
          <w:lang w:val="en-US"/>
        </w:rPr>
      </w:pPr>
      <w:r>
        <w:rPr>
          <w:lang w:val="en-US"/>
        </w:rPr>
        <w:t xml:space="preserve"> </w:t>
      </w:r>
      <w:r>
        <w:rPr>
          <w:rFonts w:hint="eastAsia"/>
          <w:lang w:val="en-US"/>
        </w:rPr>
        <w:t>本制度下列术语是指：</w:t>
      </w:r>
    </w:p>
    <w:p w14:paraId="3000CE69">
      <w:pPr>
        <w:pStyle w:val="7"/>
        <w:spacing w:before="0" w:line="500" w:lineRule="exact"/>
        <w:ind w:left="0" w:firstLine="480" w:firstLineChars="200"/>
        <w:rPr>
          <w:rFonts w:hint="eastAsia"/>
          <w:lang w:val="en-US"/>
        </w:rPr>
      </w:pPr>
      <w:r>
        <w:rPr>
          <w:rFonts w:hint="eastAsia"/>
          <w:lang w:val="en-US"/>
        </w:rPr>
        <w:t>（一）股份总数，是指公司人民币普通股票</w:t>
      </w:r>
      <w:r>
        <w:rPr>
          <w:rFonts w:ascii="Times New Roman" w:hAnsi="Times New Roman" w:cs="Times New Roman"/>
          <w:lang w:val="en-US"/>
        </w:rPr>
        <w:t>A</w:t>
      </w:r>
      <w:r>
        <w:rPr>
          <w:rFonts w:hint="eastAsia"/>
          <w:lang w:val="en-US"/>
        </w:rPr>
        <w:t>股的股份数量之和；</w:t>
      </w:r>
    </w:p>
    <w:p w14:paraId="29FB6983">
      <w:pPr>
        <w:pStyle w:val="7"/>
        <w:spacing w:before="0" w:line="500" w:lineRule="exact"/>
        <w:ind w:left="0" w:firstLine="480" w:firstLineChars="200"/>
        <w:rPr>
          <w:rFonts w:hint="eastAsia"/>
          <w:lang w:val="en-US"/>
        </w:rPr>
      </w:pPr>
      <w:r>
        <w:rPr>
          <w:rFonts w:hint="eastAsia"/>
          <w:lang w:val="en-US"/>
        </w:rPr>
        <w:t>（二）减持股份，是指公司股东减持公司</w:t>
      </w:r>
      <w:r>
        <w:rPr>
          <w:rFonts w:ascii="Times New Roman" w:hAnsi="Times New Roman" w:cs="Times New Roman"/>
          <w:lang w:val="en-US"/>
        </w:rPr>
        <w:t>A</w:t>
      </w:r>
      <w:r>
        <w:rPr>
          <w:rFonts w:hint="eastAsia"/>
          <w:lang w:val="en-US"/>
        </w:rPr>
        <w:t>股的行为；</w:t>
      </w:r>
    </w:p>
    <w:p w14:paraId="2D0B987D">
      <w:pPr>
        <w:pStyle w:val="7"/>
        <w:spacing w:before="0" w:line="500" w:lineRule="exact"/>
        <w:ind w:left="0" w:firstLine="480" w:firstLineChars="200"/>
        <w:rPr>
          <w:rFonts w:hint="eastAsia"/>
          <w:highlight w:val="yellow"/>
        </w:rPr>
      </w:pPr>
      <w:r>
        <w:rPr>
          <w:rFonts w:hint="eastAsia"/>
          <w:lang w:val="en-US"/>
        </w:rPr>
        <w:t>（三）以上，是指本数以上(含本数)。</w:t>
      </w:r>
    </w:p>
    <w:p w14:paraId="30E5BB58">
      <w:pPr>
        <w:pStyle w:val="7"/>
        <w:numPr>
          <w:ilvl w:val="0"/>
          <w:numId w:val="1"/>
        </w:numPr>
        <w:spacing w:before="0" w:line="500" w:lineRule="exact"/>
        <w:rPr>
          <w:rFonts w:hint="eastAsia"/>
        </w:rPr>
      </w:pPr>
      <w:r>
        <w:rPr>
          <w:lang w:val="en-US"/>
        </w:rPr>
        <w:t xml:space="preserve"> </w:t>
      </w:r>
      <w:r>
        <w:rPr>
          <w:rFonts w:hint="eastAsia"/>
          <w:lang w:val="en-US"/>
        </w:rPr>
        <w:t>本制度未尽事宜，按国家法律法规、规范性文件及《公司章程》的有关规定执行。</w:t>
      </w:r>
    </w:p>
    <w:p w14:paraId="7850E0D4">
      <w:pPr>
        <w:pStyle w:val="7"/>
        <w:numPr>
          <w:ilvl w:val="0"/>
          <w:numId w:val="1"/>
        </w:numPr>
        <w:spacing w:before="0" w:line="500" w:lineRule="exact"/>
        <w:rPr>
          <w:rFonts w:hint="eastAsia"/>
          <w:lang w:val="en-US"/>
        </w:rPr>
      </w:pPr>
      <w:r>
        <w:rPr>
          <w:rFonts w:hint="eastAsia"/>
          <w:lang w:val="en-US"/>
        </w:rPr>
        <w:t xml:space="preserve"> 本制度自公司董事会审议通过后生效。</w:t>
      </w:r>
    </w:p>
    <w:sectPr>
      <w:footerReference r:id="rId3" w:type="default"/>
      <w:pgSz w:w="11910" w:h="16840"/>
      <w:pgMar w:top="1460" w:right="1560" w:bottom="1200" w:left="1680" w:header="0" w:footer="101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BBF8">
    <w:pPr>
      <w:pStyle w:val="7"/>
      <w:spacing w:before="0" w:line="240" w:lineRule="auto"/>
      <w:ind w:left="0" w:firstLine="0"/>
      <w:rPr>
        <w:rFonts w:hint="eastAsia"/>
        <w:sz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B2D60">
                          <w:pPr>
                            <w:pStyle w:val="8"/>
                            <w:rPr>
                              <w:rFonts w:hint="default" w:ascii="Times New Roman" w:hAnsi="Times New Roman" w:cs="Times New Roman"/>
                            </w:rP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EB2D60">
                    <w:pPr>
                      <w:pStyle w:val="8"/>
                      <w:rPr>
                        <w:rFonts w:hint="default" w:ascii="Times New Roman" w:hAnsi="Times New Roman" w:cs="Times New Roman"/>
                      </w:rPr>
                    </w:pPr>
                    <w:r>
                      <w:fldChar w:fldCharType="begin"/>
                    </w:r>
                    <w:r>
                      <w:instrText xml:space="preserve"> PAGE  \* MERGEFORMAT </w:instrText>
                    </w:r>
                    <w:r>
                      <w:fldChar w:fldCharType="separate"/>
                    </w:r>
                    <w:r>
                      <w:t>11</w:t>
                    </w:r>
                    <w: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579DD">
                          <w:pPr>
                            <w:rPr>
                              <w:rFonts w:hint="default"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E579DD">
                    <w:pPr>
                      <w:rPr>
                        <w:rFonts w:hint="default" w:ascii="Times New Roman" w:hAnsi="Times New Roman" w:cs="Times New Roman"/>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26553">
                          <w:pPr>
                            <w:pStyle w:val="8"/>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D26553">
                    <w:pPr>
                      <w:pStyle w:val="8"/>
                      <w:rPr>
                        <w:rFonts w:ascii="Times New Roman" w:hAnsi="Times New Roman" w:cs="Times New Roma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F874A"/>
    <w:multiLevelType w:val="singleLevel"/>
    <w:tmpl w:val="95BF874A"/>
    <w:lvl w:ilvl="0" w:tentative="0">
      <w:start w:val="1"/>
      <w:numFmt w:val="chineseCounting"/>
      <w:suff w:val="nothing"/>
      <w:lvlText w:val="（%1）"/>
      <w:lvlJc w:val="left"/>
      <w:pPr>
        <w:ind w:left="120" w:firstLine="379"/>
      </w:pPr>
      <w:rPr>
        <w:rFonts w:hint="eastAsia"/>
      </w:rPr>
    </w:lvl>
  </w:abstractNum>
  <w:abstractNum w:abstractNumId="1">
    <w:nsid w:val="A8D9D7B2"/>
    <w:multiLevelType w:val="singleLevel"/>
    <w:tmpl w:val="A8D9D7B2"/>
    <w:lvl w:ilvl="0" w:tentative="0">
      <w:start w:val="1"/>
      <w:numFmt w:val="chineseCounting"/>
      <w:suff w:val="nothing"/>
      <w:lvlText w:val="（%1）"/>
      <w:lvlJc w:val="left"/>
      <w:pPr>
        <w:ind w:left="0" w:firstLine="499"/>
      </w:pPr>
      <w:rPr>
        <w:rFonts w:hint="eastAsia"/>
      </w:rPr>
    </w:lvl>
  </w:abstractNum>
  <w:abstractNum w:abstractNumId="2">
    <w:nsid w:val="E864A461"/>
    <w:multiLevelType w:val="singleLevel"/>
    <w:tmpl w:val="E864A461"/>
    <w:lvl w:ilvl="0" w:tentative="0">
      <w:start w:val="1"/>
      <w:numFmt w:val="chineseCounting"/>
      <w:suff w:val="space"/>
      <w:lvlText w:val="第%1条"/>
      <w:lvlJc w:val="left"/>
      <w:pPr>
        <w:ind w:left="0" w:firstLine="420"/>
      </w:pPr>
      <w:rPr>
        <w:rFonts w:hint="eastAsia" w:ascii="宋体" w:hAnsi="宋体" w:eastAsia="宋体" w:cs="宋体"/>
        <w:b/>
        <w:bCs/>
      </w:rPr>
    </w:lvl>
  </w:abstractNum>
  <w:abstractNum w:abstractNumId="3">
    <w:nsid w:val="118345F8"/>
    <w:multiLevelType w:val="singleLevel"/>
    <w:tmpl w:val="118345F8"/>
    <w:lvl w:ilvl="0" w:tentative="0">
      <w:start w:val="1"/>
      <w:numFmt w:val="chineseCounting"/>
      <w:suff w:val="nothing"/>
      <w:lvlText w:val="（%1）"/>
      <w:lvlJc w:val="left"/>
      <w:pPr>
        <w:ind w:left="0" w:firstLine="420"/>
      </w:pPr>
      <w:rPr>
        <w:rFonts w:hint="eastAsia"/>
      </w:rPr>
    </w:lvl>
  </w:abstractNum>
  <w:abstractNum w:abstractNumId="4">
    <w:nsid w:val="4339B34A"/>
    <w:multiLevelType w:val="singleLevel"/>
    <w:tmpl w:val="4339B34A"/>
    <w:lvl w:ilvl="0" w:tentative="0">
      <w:start w:val="1"/>
      <w:numFmt w:val="chineseCounting"/>
      <w:suff w:val="nothing"/>
      <w:lvlText w:val="（%1）"/>
      <w:lvlJc w:val="left"/>
      <w:pPr>
        <w:ind w:left="120" w:firstLine="379"/>
      </w:pPr>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OTk1ZDM4MjkzZjgxMjZiN2M3ZjNmNDQ5NGIzZGYifQ=="/>
  </w:docVars>
  <w:rsids>
    <w:rsidRoot w:val="009A50B7"/>
    <w:rsid w:val="00041D2A"/>
    <w:rsid w:val="00067C6A"/>
    <w:rsid w:val="00071CB8"/>
    <w:rsid w:val="00077E5C"/>
    <w:rsid w:val="000B2F97"/>
    <w:rsid w:val="000C2A18"/>
    <w:rsid w:val="000E3F75"/>
    <w:rsid w:val="00125050"/>
    <w:rsid w:val="00136F46"/>
    <w:rsid w:val="00155518"/>
    <w:rsid w:val="001F12A5"/>
    <w:rsid w:val="00271B1A"/>
    <w:rsid w:val="00272BFB"/>
    <w:rsid w:val="00286C43"/>
    <w:rsid w:val="002A364C"/>
    <w:rsid w:val="002E08FC"/>
    <w:rsid w:val="00301187"/>
    <w:rsid w:val="00307E55"/>
    <w:rsid w:val="00340942"/>
    <w:rsid w:val="003E2DE5"/>
    <w:rsid w:val="004008DE"/>
    <w:rsid w:val="004B0350"/>
    <w:rsid w:val="004E327F"/>
    <w:rsid w:val="00505461"/>
    <w:rsid w:val="005401A3"/>
    <w:rsid w:val="00553413"/>
    <w:rsid w:val="00565889"/>
    <w:rsid w:val="005705B9"/>
    <w:rsid w:val="005C0272"/>
    <w:rsid w:val="005E4F15"/>
    <w:rsid w:val="005F2F9E"/>
    <w:rsid w:val="00641F8B"/>
    <w:rsid w:val="006C01C7"/>
    <w:rsid w:val="006D6DE2"/>
    <w:rsid w:val="00743E5C"/>
    <w:rsid w:val="00826C78"/>
    <w:rsid w:val="008814CB"/>
    <w:rsid w:val="00911371"/>
    <w:rsid w:val="0093006C"/>
    <w:rsid w:val="009A50B7"/>
    <w:rsid w:val="009B33E7"/>
    <w:rsid w:val="00A77543"/>
    <w:rsid w:val="00AC1988"/>
    <w:rsid w:val="00B2596D"/>
    <w:rsid w:val="00BC11CF"/>
    <w:rsid w:val="00C13D34"/>
    <w:rsid w:val="00C17043"/>
    <w:rsid w:val="00C87FAE"/>
    <w:rsid w:val="00D5581E"/>
    <w:rsid w:val="00D97155"/>
    <w:rsid w:val="00EA48D9"/>
    <w:rsid w:val="00EA7C05"/>
    <w:rsid w:val="00ED3135"/>
    <w:rsid w:val="00F95399"/>
    <w:rsid w:val="00FC2E39"/>
    <w:rsid w:val="00FD704A"/>
    <w:rsid w:val="01AF7DD1"/>
    <w:rsid w:val="029C1412"/>
    <w:rsid w:val="02A964DB"/>
    <w:rsid w:val="04423654"/>
    <w:rsid w:val="09447B20"/>
    <w:rsid w:val="10246EEB"/>
    <w:rsid w:val="11507807"/>
    <w:rsid w:val="13AB3189"/>
    <w:rsid w:val="15971E41"/>
    <w:rsid w:val="1A002777"/>
    <w:rsid w:val="1BDE2FDE"/>
    <w:rsid w:val="1CC0247E"/>
    <w:rsid w:val="211D63CE"/>
    <w:rsid w:val="241237D2"/>
    <w:rsid w:val="241678C4"/>
    <w:rsid w:val="25C10531"/>
    <w:rsid w:val="2612250D"/>
    <w:rsid w:val="29575B78"/>
    <w:rsid w:val="2AD967C7"/>
    <w:rsid w:val="2F1F0358"/>
    <w:rsid w:val="319264EF"/>
    <w:rsid w:val="33A832D4"/>
    <w:rsid w:val="34AE30A3"/>
    <w:rsid w:val="35CB6D46"/>
    <w:rsid w:val="39A950EF"/>
    <w:rsid w:val="3C1771A5"/>
    <w:rsid w:val="3D984062"/>
    <w:rsid w:val="3F4B17B2"/>
    <w:rsid w:val="41917AF2"/>
    <w:rsid w:val="437B23A2"/>
    <w:rsid w:val="44B76D9E"/>
    <w:rsid w:val="45120AE5"/>
    <w:rsid w:val="4CC30C94"/>
    <w:rsid w:val="4E926BC7"/>
    <w:rsid w:val="4F366C31"/>
    <w:rsid w:val="50D47ECC"/>
    <w:rsid w:val="52BE5BF8"/>
    <w:rsid w:val="539355C6"/>
    <w:rsid w:val="545E5D08"/>
    <w:rsid w:val="54671CC0"/>
    <w:rsid w:val="56454343"/>
    <w:rsid w:val="59A276BD"/>
    <w:rsid w:val="5E3A3C6F"/>
    <w:rsid w:val="621F0129"/>
    <w:rsid w:val="65EF7814"/>
    <w:rsid w:val="66C86A64"/>
    <w:rsid w:val="67517C2C"/>
    <w:rsid w:val="6ED74769"/>
    <w:rsid w:val="6F2723DC"/>
    <w:rsid w:val="6F295A02"/>
    <w:rsid w:val="7371064C"/>
    <w:rsid w:val="765C3F19"/>
    <w:rsid w:val="778B42C3"/>
    <w:rsid w:val="77EB1CF3"/>
    <w:rsid w:val="7996502F"/>
    <w:rsid w:val="7E4723B5"/>
    <w:rsid w:val="7EE4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204" w:right="323"/>
      <w:jc w:val="center"/>
      <w:outlineLvl w:val="0"/>
    </w:pPr>
    <w:rPr>
      <w:rFonts w:ascii="黑体" w:hAnsi="黑体" w:eastAsia="黑体" w:cs="黑体"/>
      <w:sz w:val="30"/>
      <w:szCs w:val="30"/>
    </w:rPr>
  </w:style>
  <w:style w:type="paragraph" w:styleId="3">
    <w:name w:val="heading 2"/>
    <w:basedOn w:val="1"/>
    <w:next w:val="1"/>
    <w:qFormat/>
    <w:uiPriority w:val="1"/>
    <w:pPr>
      <w:ind w:left="205"/>
      <w:outlineLvl w:val="1"/>
    </w:pPr>
    <w:rPr>
      <w:b/>
      <w:bCs/>
      <w:sz w:val="24"/>
      <w:szCs w:val="24"/>
    </w:rPr>
  </w:style>
  <w:style w:type="paragraph" w:styleId="4">
    <w:name w:val="heading 3"/>
    <w:basedOn w:val="1"/>
    <w:next w:val="1"/>
    <w:semiHidden/>
    <w:unhideWhenUsed/>
    <w:qFormat/>
    <w:uiPriority w:val="0"/>
    <w:pPr>
      <w:spacing w:beforeAutospacing="1" w:afterAutospacing="1"/>
      <w:outlineLvl w:val="2"/>
    </w:pPr>
    <w:rPr>
      <w:rFonts w:hint="eastAsia" w:cs="Times New Roman"/>
      <w:b/>
      <w:sz w:val="27"/>
      <w:szCs w:val="27"/>
      <w:lang w:val="en-US" w:bidi="ar-SA"/>
    </w:rPr>
  </w:style>
  <w:style w:type="paragraph" w:styleId="5">
    <w:name w:val="heading 4"/>
    <w:basedOn w:val="1"/>
    <w:next w:val="1"/>
    <w:semiHidden/>
    <w:unhideWhenUsed/>
    <w:qFormat/>
    <w:uiPriority w:val="0"/>
    <w:pPr>
      <w:spacing w:beforeAutospacing="1" w:afterAutospacing="1"/>
      <w:jc w:val="center"/>
      <w:outlineLvl w:val="3"/>
    </w:pPr>
    <w:rPr>
      <w:rFonts w:hint="eastAsia" w:cs="Times New Roman"/>
      <w:b/>
      <w:sz w:val="36"/>
      <w:szCs w:val="36"/>
      <w:lang w:val="en-US"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Body Text"/>
    <w:basedOn w:val="1"/>
    <w:qFormat/>
    <w:uiPriority w:val="1"/>
    <w:pPr>
      <w:spacing w:before="1"/>
      <w:ind w:left="120" w:firstLine="479"/>
    </w:pPr>
    <w:rPr>
      <w:sz w:val="24"/>
      <w:szCs w:val="24"/>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line="360" w:lineRule="auto"/>
      <w:ind w:firstLine="420"/>
    </w:pPr>
    <w:rPr>
      <w:rFonts w:cs="Times New Roman"/>
      <w:sz w:val="24"/>
      <w:lang w:val="en-US" w:bidi="ar-SA"/>
    </w:rPr>
  </w:style>
  <w:style w:type="character" w:styleId="13">
    <w:name w:val="page number"/>
    <w:basedOn w:val="12"/>
    <w:qFormat/>
    <w:uiPriority w:val="0"/>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修订1"/>
    <w:hidden/>
    <w:unhideWhenUsed/>
    <w:qFormat/>
    <w:uiPriority w:val="99"/>
    <w:rPr>
      <w:rFonts w:ascii="宋体" w:hAnsi="宋体" w:eastAsia="宋体" w:cs="宋体"/>
      <w:sz w:val="22"/>
      <w:szCs w:val="22"/>
      <w:lang w:val="zh-CN" w:eastAsia="zh-CN" w:bidi="zh-CN"/>
    </w:rPr>
  </w:style>
  <w:style w:type="character" w:customStyle="1" w:styleId="18">
    <w:name w:val="页眉 字符"/>
    <w:basedOn w:val="12"/>
    <w:link w:val="9"/>
    <w:qFormat/>
    <w:uiPriority w:val="0"/>
    <w:rPr>
      <w:rFonts w:ascii="宋体" w:hAnsi="宋体" w:cs="宋体"/>
      <w:sz w:val="18"/>
      <w:szCs w:val="18"/>
      <w:lang w:val="zh-CN" w:bidi="zh-CN"/>
    </w:rPr>
  </w:style>
  <w:style w:type="character" w:customStyle="1" w:styleId="19">
    <w:name w:val="页脚 字符"/>
    <w:basedOn w:val="12"/>
    <w:link w:val="8"/>
    <w:qFormat/>
    <w:uiPriority w:val="0"/>
    <w:rPr>
      <w:rFonts w:ascii="宋体" w:hAnsi="宋体" w:cs="宋体"/>
      <w:sz w:val="18"/>
      <w:szCs w:val="18"/>
      <w:lang w:val="zh-CN" w:bidi="zh-CN"/>
    </w:rPr>
  </w:style>
  <w:style w:type="paragraph" w:customStyle="1" w:styleId="20">
    <w:name w:val="修订2"/>
    <w:hidden/>
    <w:unhideWhenUsed/>
    <w:qFormat/>
    <w:uiPriority w:val="99"/>
    <w:rPr>
      <w:rFonts w:ascii="宋体" w:hAnsi="宋体" w:eastAsia="宋体" w:cs="宋体"/>
      <w:sz w:val="22"/>
      <w:szCs w:val="22"/>
      <w:lang w:val="zh-CN" w:eastAsia="zh-CN" w:bidi="zh-CN"/>
    </w:rPr>
  </w:style>
  <w:style w:type="paragraph" w:customStyle="1" w:styleId="21">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7131</Words>
  <Characters>7160</Characters>
  <Lines>141</Lines>
  <Paragraphs>136</Paragraphs>
  <TotalTime>12</TotalTime>
  <ScaleCrop>false</ScaleCrop>
  <LinksUpToDate>false</LinksUpToDate>
  <CharactersWithSpaces>7211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2022-12-15T01:15:00Z</dcterms:created>
  <dc:creator>84688</dc:creator>
  <cp:lastModifiedBy>李群</cp:lastModifiedBy>
  <cp:lastPrinted>2024-07-01T01:30:00Z</cp:lastPrinted>
  <dcterms:modified xsi:type="dcterms:W3CDTF">2025-08-25T10:10:36Z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2014-09-11T00:00:00Z</vt:filetime>
  </property>
  <property fmtid="{D5CDD505-2E9C-101B-9397-08002B2CF9AE}" pid="3" name="Creator">
    <vt:lpwstr>Microsoft® Word 2010</vt:lpwstr>
  </property>
  <property fmtid="{D5CDD505-2E9C-101B-9397-08002B2CF9AE}" pid="4" name="LastSaved">
    <vt:filetime>2022-12-15T00:00:00Z</vt:filetime>
  </property>
  <property fmtid="{D5CDD505-2E9C-101B-9397-08002B2CF9AE}" pid="5" name="KSOProductBuildVer">
    <vt:lpwstr>2052-12.1.0.22529</vt:lpwstr>
  </property>
  <property fmtid="{D5CDD505-2E9C-101B-9397-08002B2CF9AE}" pid="6" name="ICV">
    <vt:lpwstr>BC12F9225312417D8686B07B6F2B31C8_13</vt:lpwstr>
  </property>
  <property fmtid="{D5CDD505-2E9C-101B-9397-08002B2CF9AE}" pid="7" name="KSOTemplateDocerSaveRecord">
    <vt:lpwstr>eyJoZGlkIjoiYWRlOTk1ZDM4MjkzZjgxMjZiN2M3ZjNmNDQ5NGIzZGYiLCJ1c2VySWQiOiIzNDI3ODI2OTEifQ==</vt:lpwstr>
  </property>
</Properties>
</file>