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85490">
      <w:pPr>
        <w:spacing w:before="200" w:after="1000" w:line="560" w:lineRule="exact"/>
        <w:jc w:val="center"/>
        <w:rPr>
          <w:rFonts w:hint="eastAsia" w:ascii="宋体" w:hAnsi="宋体" w:cs="宋体"/>
          <w:sz w:val="24"/>
          <w:szCs w:val="24"/>
        </w:rPr>
      </w:pPr>
      <w:r>
        <w:rPr>
          <w:rFonts w:ascii="宋体" w:hAnsi="宋体" w:cs="宋体"/>
          <w:sz w:val="24"/>
          <w:szCs w:val="24"/>
        </w:rPr>
        <w:t>证券代码：</w:t>
      </w:r>
      <w:r>
        <w:rPr>
          <w:sz w:val="24"/>
          <w:szCs w:val="24"/>
        </w:rPr>
        <w:t>300238</w:t>
      </w:r>
      <w:r>
        <w:rPr>
          <w:rFonts w:ascii="宋体" w:hAnsi="宋体" w:cs="宋体"/>
          <w:sz w:val="24"/>
          <w:szCs w:val="24"/>
        </w:rPr>
        <w:t xml:space="preserve">             证券简称：冠昊生物             公告编号：</w:t>
      </w:r>
      <w:r>
        <w:rPr>
          <w:sz w:val="24"/>
          <w:szCs w:val="24"/>
        </w:rPr>
        <w:t>2025</w:t>
      </w:r>
      <w:r>
        <w:rPr>
          <w:rFonts w:ascii="宋体" w:hAnsi="宋体" w:cs="宋体"/>
          <w:sz w:val="24"/>
          <w:szCs w:val="24"/>
        </w:rPr>
        <w:t>-</w:t>
      </w:r>
      <w:r>
        <w:rPr>
          <w:sz w:val="24"/>
          <w:szCs w:val="24"/>
        </w:rPr>
        <w:t>049</w:t>
      </w:r>
    </w:p>
    <w:p w14:paraId="7B5456CE">
      <w:pPr>
        <w:spacing w:after="1000" w:line="400" w:lineRule="exact"/>
        <w:jc w:val="center"/>
        <w:rPr>
          <w:rFonts w:hint="eastAsia" w:ascii="宋体" w:hAnsi="宋体" w:cs="宋体"/>
          <w:b/>
          <w:bCs/>
          <w:sz w:val="36"/>
          <w:szCs w:val="36"/>
        </w:rPr>
      </w:pPr>
      <w:r>
        <w:rPr>
          <w:rFonts w:ascii="宋体" w:hAnsi="宋体" w:cs="宋体"/>
          <w:b/>
          <w:bCs/>
          <w:sz w:val="36"/>
          <w:szCs w:val="36"/>
        </w:rPr>
        <w:t>冠昊生物科技股份有限公司</w:t>
      </w:r>
      <w:r>
        <w:rPr>
          <w:b/>
          <w:bCs/>
          <w:sz w:val="36"/>
          <w:szCs w:val="36"/>
        </w:rPr>
        <w:t>2025</w:t>
      </w:r>
      <w:r>
        <w:rPr>
          <w:rFonts w:ascii="宋体" w:hAnsi="宋体" w:cs="宋体"/>
          <w:b/>
          <w:bCs/>
          <w:sz w:val="36"/>
          <w:szCs w:val="36"/>
        </w:rPr>
        <w:t>年半年度报告摘要</w:t>
      </w:r>
    </w:p>
    <w:p w14:paraId="34BF41BC">
      <w:pPr>
        <w:keepNext/>
        <w:keepLines/>
        <w:spacing w:before="300" w:after="300" w:line="320" w:lineRule="exact"/>
        <w:jc w:val="left"/>
        <w:outlineLvl w:val="1"/>
        <w:rPr>
          <w:rFonts w:hint="eastAsia" w:ascii="宋体" w:hAnsi="宋体" w:cs="宋体"/>
          <w:b/>
          <w:bCs/>
          <w:sz w:val="24"/>
          <w:szCs w:val="24"/>
        </w:rPr>
      </w:pPr>
      <w:bookmarkStart w:id="0" w:name="_Toc988889"/>
      <w:r>
        <w:rPr>
          <w:rFonts w:ascii="宋体" w:hAnsi="宋体" w:cs="宋体"/>
          <w:b/>
          <w:bCs/>
          <w:sz w:val="24"/>
          <w:szCs w:val="24"/>
        </w:rPr>
        <w:t>一、重要提示</w:t>
      </w:r>
      <w:bookmarkEnd w:id="0"/>
    </w:p>
    <w:p w14:paraId="3BBCE7D4">
      <w:pPr>
        <w:spacing w:line="240" w:lineRule="exact"/>
        <w:jc w:val="left"/>
        <w:rPr>
          <w:rFonts w:hint="eastAsia" w:ascii="宋体" w:hAnsi="宋体" w:cs="宋体"/>
          <w:sz w:val="18"/>
          <w:szCs w:val="18"/>
        </w:rPr>
      </w:pPr>
      <w:r>
        <w:rPr>
          <w:rFonts w:ascii="宋体" w:hAnsi="宋体" w:cs="宋体"/>
          <w:sz w:val="18"/>
          <w:szCs w:val="18"/>
        </w:rPr>
        <w:t>本半年度报告摘要来自半年度报告全文，为全面了解本公司的经营成果、财务状况及未来发展规划，投资者应当到证监会指定媒体仔细阅读半年度报告全文。</w:t>
      </w:r>
    </w:p>
    <w:p w14:paraId="3473AD3C">
      <w:pPr>
        <w:spacing w:line="240" w:lineRule="exact"/>
        <w:jc w:val="left"/>
        <w:rPr>
          <w:rFonts w:hint="eastAsia" w:ascii="宋体" w:hAnsi="宋体" w:cs="宋体"/>
          <w:sz w:val="18"/>
          <w:szCs w:val="18"/>
        </w:rPr>
      </w:pPr>
      <w:r>
        <w:rPr>
          <w:rFonts w:ascii="宋体" w:hAnsi="宋体" w:cs="宋体"/>
          <w:sz w:val="18"/>
          <w:szCs w:val="18"/>
        </w:rPr>
        <w:t>所有董事均已出席了审议本报告的董事会会议。</w:t>
      </w:r>
    </w:p>
    <w:p w14:paraId="03D4B50E">
      <w:pPr>
        <w:spacing w:line="240" w:lineRule="exact"/>
        <w:jc w:val="left"/>
        <w:rPr>
          <w:rFonts w:hint="eastAsia" w:ascii="宋体" w:hAnsi="宋体" w:cs="宋体"/>
          <w:sz w:val="18"/>
          <w:szCs w:val="18"/>
        </w:rPr>
      </w:pPr>
      <w:r>
        <w:rPr>
          <w:rFonts w:ascii="宋体" w:hAnsi="宋体" w:cs="宋体"/>
          <w:sz w:val="18"/>
          <w:szCs w:val="18"/>
        </w:rPr>
        <w:t>非标准审计意见提示</w:t>
      </w:r>
    </w:p>
    <w:p w14:paraId="57B0C8F8">
      <w:pPr>
        <w:spacing w:before="100" w:after="10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32E7B5DE">
      <w:pPr>
        <w:spacing w:line="240" w:lineRule="exact"/>
        <w:jc w:val="left"/>
        <w:rPr>
          <w:rFonts w:hint="eastAsia" w:ascii="宋体" w:hAnsi="宋体" w:cs="宋体"/>
          <w:sz w:val="18"/>
          <w:szCs w:val="18"/>
        </w:rPr>
      </w:pPr>
      <w:r>
        <w:rPr>
          <w:rFonts w:ascii="宋体" w:hAnsi="宋体" w:cs="宋体"/>
          <w:sz w:val="18"/>
          <w:szCs w:val="18"/>
        </w:rPr>
        <w:t>董事会审议的报告期利润分配预案或公积金转增股本预案</w:t>
      </w:r>
    </w:p>
    <w:p w14:paraId="0A449945">
      <w:pPr>
        <w:spacing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65F171F3">
      <w:pPr>
        <w:spacing w:line="240" w:lineRule="exact"/>
        <w:jc w:val="left"/>
        <w:rPr>
          <w:rFonts w:hint="eastAsia" w:ascii="宋体" w:hAnsi="宋体" w:cs="宋体"/>
          <w:sz w:val="18"/>
          <w:szCs w:val="18"/>
        </w:rPr>
      </w:pPr>
      <w:r>
        <w:rPr>
          <w:rFonts w:ascii="宋体" w:hAnsi="宋体" w:cs="宋体"/>
          <w:sz w:val="18"/>
          <w:szCs w:val="18"/>
        </w:rPr>
        <w:t>公司计划不派发现金红利，不送红股，不以公积金转增股本。</w:t>
      </w:r>
    </w:p>
    <w:p w14:paraId="483A90A1">
      <w:pPr>
        <w:spacing w:line="240" w:lineRule="exact"/>
        <w:jc w:val="left"/>
        <w:rPr>
          <w:rFonts w:hint="eastAsia" w:ascii="宋体" w:hAnsi="宋体" w:cs="宋体"/>
          <w:sz w:val="18"/>
          <w:szCs w:val="18"/>
        </w:rPr>
      </w:pPr>
      <w:r>
        <w:rPr>
          <w:rFonts w:ascii="宋体" w:hAnsi="宋体" w:cs="宋体"/>
          <w:sz w:val="18"/>
          <w:szCs w:val="18"/>
        </w:rPr>
        <w:t>董事会决议通过的本报告期优先股利润分配预案</w:t>
      </w:r>
    </w:p>
    <w:p w14:paraId="0A7F9CBE">
      <w:pPr>
        <w:spacing w:before="100" w:after="10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4AC249B2">
      <w:pPr>
        <w:keepNext/>
        <w:keepLines/>
        <w:spacing w:before="300" w:after="300" w:line="320" w:lineRule="exact"/>
        <w:jc w:val="left"/>
        <w:outlineLvl w:val="1"/>
        <w:rPr>
          <w:rFonts w:hint="eastAsia" w:ascii="宋体" w:hAnsi="宋体" w:cs="宋体"/>
          <w:b/>
          <w:bCs/>
          <w:sz w:val="24"/>
          <w:szCs w:val="24"/>
        </w:rPr>
      </w:pPr>
      <w:bookmarkStart w:id="1" w:name="_Toc988890"/>
      <w:r>
        <w:rPr>
          <w:rFonts w:ascii="宋体" w:hAnsi="宋体" w:cs="宋体"/>
          <w:b/>
          <w:bCs/>
          <w:sz w:val="24"/>
          <w:szCs w:val="24"/>
        </w:rPr>
        <w:t>二、公司基本情况</w:t>
      </w:r>
      <w:bookmarkEnd w:id="1"/>
    </w:p>
    <w:p w14:paraId="7E070EF8">
      <w:pPr>
        <w:keepNext/>
        <w:keepLines/>
        <w:spacing w:before="300" w:after="300" w:line="280" w:lineRule="exact"/>
        <w:jc w:val="left"/>
        <w:outlineLvl w:val="2"/>
        <w:rPr>
          <w:rFonts w:hint="eastAsia" w:ascii="宋体" w:hAnsi="宋体" w:cs="宋体"/>
          <w:b/>
          <w:bCs/>
          <w:szCs w:val="21"/>
        </w:rPr>
      </w:pPr>
      <w:bookmarkStart w:id="2" w:name="_Toc988891"/>
      <w:r>
        <w:rPr>
          <w:b/>
          <w:bCs/>
          <w:szCs w:val="21"/>
        </w:rPr>
        <w:t>1</w:t>
      </w:r>
      <w:r>
        <w:rPr>
          <w:rFonts w:ascii="宋体" w:hAnsi="宋体" w:cs="宋体"/>
          <w:b/>
          <w:bCs/>
          <w:szCs w:val="21"/>
        </w:rPr>
        <w:t>、公司简介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142"/>
        <w:gridCol w:w="1071"/>
        <w:gridCol w:w="1071"/>
        <w:gridCol w:w="2142"/>
      </w:tblGrid>
      <w:tr w14:paraId="702A0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07911E">
            <w:pPr>
              <w:spacing w:before="40" w:after="40" w:line="240" w:lineRule="exact"/>
              <w:jc w:val="left"/>
              <w:rPr>
                <w:rFonts w:hint="eastAsia" w:ascii="宋体" w:hAnsi="宋体" w:cs="宋体"/>
                <w:sz w:val="18"/>
                <w:szCs w:val="18"/>
              </w:rPr>
            </w:pPr>
            <w:r>
              <w:rPr>
                <w:rFonts w:ascii="宋体" w:hAnsi="宋体" w:cs="宋体"/>
                <w:sz w:val="18"/>
                <w:szCs w:val="18"/>
              </w:rPr>
              <w:t>股票简称</w:t>
            </w:r>
          </w:p>
        </w:tc>
        <w:tc>
          <w:tcPr>
            <w:tcW w:w="2142" w:type="dxa"/>
            <w:tcBorders>
              <w:top w:val="single" w:color="auto" w:sz="2" w:space="0"/>
              <w:left w:val="single" w:color="auto" w:sz="2" w:space="0"/>
              <w:bottom w:val="single" w:color="auto" w:sz="2" w:space="0"/>
              <w:right w:val="single" w:color="auto" w:sz="2" w:space="0"/>
            </w:tcBorders>
            <w:vAlign w:val="center"/>
          </w:tcPr>
          <w:p w14:paraId="79D01C6E">
            <w:pPr>
              <w:spacing w:line="240" w:lineRule="exact"/>
              <w:jc w:val="left"/>
              <w:rPr>
                <w:rFonts w:hint="eastAsia" w:ascii="宋体" w:hAnsi="宋体" w:cs="宋体"/>
                <w:sz w:val="18"/>
                <w:szCs w:val="18"/>
              </w:rPr>
            </w:pPr>
            <w:r>
              <w:rPr>
                <w:rFonts w:ascii="宋体" w:hAnsi="宋体" w:cs="宋体"/>
                <w:sz w:val="18"/>
                <w:szCs w:val="18"/>
              </w:rPr>
              <w:t>冠昊生物</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CEB34B1">
            <w:pPr>
              <w:spacing w:before="40" w:after="40" w:line="240" w:lineRule="exact"/>
              <w:jc w:val="left"/>
              <w:rPr>
                <w:rFonts w:hint="eastAsia" w:ascii="宋体" w:hAnsi="宋体" w:cs="宋体"/>
                <w:sz w:val="18"/>
                <w:szCs w:val="18"/>
              </w:rPr>
            </w:pPr>
            <w:r>
              <w:rPr>
                <w:rFonts w:ascii="宋体" w:hAnsi="宋体" w:cs="宋体"/>
                <w:sz w:val="18"/>
                <w:szCs w:val="18"/>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14:paraId="30F08D39">
            <w:pPr>
              <w:spacing w:line="240" w:lineRule="exact"/>
              <w:jc w:val="left"/>
              <w:rPr>
                <w:rFonts w:hint="eastAsia" w:ascii="宋体" w:hAnsi="宋体" w:cs="宋体"/>
                <w:sz w:val="18"/>
                <w:szCs w:val="18"/>
              </w:rPr>
            </w:pPr>
            <w:r>
              <w:rPr>
                <w:sz w:val="18"/>
                <w:szCs w:val="18"/>
              </w:rPr>
              <w:t>300238</w:t>
            </w:r>
          </w:p>
        </w:tc>
      </w:tr>
      <w:tr w14:paraId="10EE6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A4C1A2">
            <w:pPr>
              <w:spacing w:before="40" w:after="40" w:line="240" w:lineRule="exact"/>
              <w:jc w:val="left"/>
              <w:rPr>
                <w:rFonts w:hint="eastAsia" w:ascii="宋体" w:hAnsi="宋体" w:cs="宋体"/>
                <w:sz w:val="18"/>
                <w:szCs w:val="18"/>
              </w:rPr>
            </w:pPr>
            <w:r>
              <w:rPr>
                <w:rFonts w:ascii="宋体" w:hAnsi="宋体" w:cs="宋体"/>
                <w:sz w:val="18"/>
                <w:szCs w:val="18"/>
              </w:rPr>
              <w:t>股票上市交易所</w:t>
            </w:r>
          </w:p>
        </w:tc>
        <w:tc>
          <w:tcPr>
            <w:tcW w:w="6426" w:type="dxa"/>
            <w:gridSpan w:val="4"/>
            <w:tcBorders>
              <w:top w:val="single" w:color="auto" w:sz="2" w:space="0"/>
              <w:left w:val="single" w:color="auto" w:sz="2" w:space="0"/>
              <w:bottom w:val="single" w:color="auto" w:sz="2" w:space="0"/>
              <w:right w:val="single" w:color="auto" w:sz="2" w:space="0"/>
            </w:tcBorders>
            <w:vAlign w:val="center"/>
          </w:tcPr>
          <w:p w14:paraId="4D5E6C39">
            <w:pPr>
              <w:spacing w:line="240" w:lineRule="exact"/>
              <w:jc w:val="left"/>
              <w:rPr>
                <w:rFonts w:hint="eastAsia" w:ascii="宋体" w:hAnsi="宋体" w:cs="宋体"/>
                <w:sz w:val="18"/>
                <w:szCs w:val="18"/>
              </w:rPr>
            </w:pPr>
            <w:r>
              <w:rPr>
                <w:rFonts w:ascii="宋体" w:hAnsi="宋体" w:cs="宋体"/>
                <w:sz w:val="18"/>
                <w:szCs w:val="18"/>
              </w:rPr>
              <w:t>深圳证券交易所</w:t>
            </w:r>
          </w:p>
        </w:tc>
      </w:tr>
      <w:tr w14:paraId="7C76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76FC9F">
            <w:pPr>
              <w:spacing w:before="40" w:after="40" w:line="240" w:lineRule="exact"/>
              <w:jc w:val="center"/>
              <w:rPr>
                <w:rFonts w:hint="eastAsia" w:ascii="宋体" w:hAnsi="宋体" w:cs="宋体"/>
                <w:sz w:val="18"/>
                <w:szCs w:val="18"/>
              </w:rPr>
            </w:pPr>
            <w:r>
              <w:rPr>
                <w:rFonts w:ascii="宋体" w:hAnsi="宋体" w:cs="宋体"/>
                <w:sz w:val="18"/>
                <w:szCs w:val="18"/>
              </w:rPr>
              <w:t>联系人和联系方式</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12E587F">
            <w:pPr>
              <w:spacing w:before="40" w:after="40" w:line="240" w:lineRule="exact"/>
              <w:jc w:val="center"/>
              <w:rPr>
                <w:rFonts w:hint="eastAsia" w:ascii="宋体" w:hAnsi="宋体" w:cs="宋体"/>
                <w:sz w:val="18"/>
                <w:szCs w:val="18"/>
              </w:rPr>
            </w:pPr>
            <w:r>
              <w:rPr>
                <w:rFonts w:ascii="宋体" w:hAnsi="宋体" w:cs="宋体"/>
                <w:sz w:val="18"/>
                <w:szCs w:val="18"/>
              </w:rPr>
              <w:t>董事会秘书</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9170C8A">
            <w:pPr>
              <w:spacing w:before="40" w:after="40" w:line="240" w:lineRule="exact"/>
              <w:jc w:val="center"/>
              <w:rPr>
                <w:rFonts w:hint="eastAsia" w:ascii="宋体" w:hAnsi="宋体" w:cs="宋体"/>
                <w:sz w:val="18"/>
                <w:szCs w:val="18"/>
              </w:rPr>
            </w:pPr>
            <w:r>
              <w:rPr>
                <w:rFonts w:ascii="宋体" w:hAnsi="宋体" w:cs="宋体"/>
                <w:sz w:val="18"/>
                <w:szCs w:val="18"/>
              </w:rPr>
              <w:t>证券事务代表</w:t>
            </w:r>
          </w:p>
        </w:tc>
      </w:tr>
      <w:tr w14:paraId="7E832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F9F265">
            <w:pPr>
              <w:spacing w:before="40" w:after="40" w:line="240" w:lineRule="exact"/>
              <w:jc w:val="left"/>
              <w:rPr>
                <w:rFonts w:hint="eastAsia" w:ascii="宋体" w:hAnsi="宋体" w:cs="宋体"/>
                <w:sz w:val="18"/>
                <w:szCs w:val="18"/>
              </w:rPr>
            </w:pPr>
            <w:r>
              <w:rPr>
                <w:rFonts w:ascii="宋体" w:hAnsi="宋体" w:cs="宋体"/>
                <w:sz w:val="18"/>
                <w:szCs w:val="18"/>
              </w:rPr>
              <w:t>姓名</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0DA5E30A">
            <w:pPr>
              <w:spacing w:line="240" w:lineRule="exact"/>
              <w:jc w:val="left"/>
              <w:rPr>
                <w:rFonts w:hint="eastAsia" w:ascii="宋体" w:hAnsi="宋体" w:cs="宋体"/>
                <w:sz w:val="18"/>
                <w:szCs w:val="18"/>
              </w:rPr>
            </w:pPr>
            <w:r>
              <w:rPr>
                <w:rFonts w:ascii="宋体" w:hAnsi="宋体" w:cs="宋体"/>
                <w:sz w:val="18"/>
                <w:szCs w:val="18"/>
              </w:rPr>
              <w:t>徐庆荣</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1710EFB9">
            <w:pPr>
              <w:spacing w:line="240" w:lineRule="exact"/>
              <w:jc w:val="left"/>
              <w:rPr>
                <w:rFonts w:hint="eastAsia" w:ascii="宋体" w:hAnsi="宋体" w:cs="宋体"/>
                <w:sz w:val="18"/>
                <w:szCs w:val="18"/>
              </w:rPr>
            </w:pPr>
            <w:r>
              <w:rPr>
                <w:rFonts w:ascii="宋体" w:hAnsi="宋体" w:cs="宋体"/>
                <w:sz w:val="18"/>
                <w:szCs w:val="18"/>
              </w:rPr>
              <w:t>李群</w:t>
            </w:r>
          </w:p>
        </w:tc>
      </w:tr>
      <w:tr w14:paraId="077E2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C24558">
            <w:pPr>
              <w:spacing w:before="40" w:after="40" w:line="240" w:lineRule="exact"/>
              <w:jc w:val="left"/>
              <w:rPr>
                <w:rFonts w:hint="eastAsia" w:ascii="宋体" w:hAnsi="宋体" w:cs="宋体"/>
                <w:sz w:val="18"/>
                <w:szCs w:val="18"/>
              </w:rPr>
            </w:pPr>
            <w:r>
              <w:rPr>
                <w:rFonts w:ascii="宋体" w:hAnsi="宋体" w:cs="宋体"/>
                <w:sz w:val="18"/>
                <w:szCs w:val="18"/>
              </w:rPr>
              <w:t>电话</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60BF4191">
            <w:pPr>
              <w:spacing w:line="240" w:lineRule="exact"/>
              <w:jc w:val="left"/>
              <w:rPr>
                <w:rFonts w:hint="eastAsia" w:ascii="宋体" w:hAnsi="宋体" w:cs="宋体"/>
                <w:sz w:val="18"/>
                <w:szCs w:val="18"/>
              </w:rPr>
            </w:pPr>
            <w:r>
              <w:rPr>
                <w:sz w:val="18"/>
                <w:szCs w:val="18"/>
              </w:rPr>
              <w:t>020</w:t>
            </w:r>
            <w:r>
              <w:rPr>
                <w:rFonts w:ascii="宋体" w:hAnsi="宋体" w:cs="宋体"/>
                <w:sz w:val="18"/>
                <w:szCs w:val="18"/>
              </w:rPr>
              <w:t>-</w:t>
            </w:r>
            <w:r>
              <w:rPr>
                <w:sz w:val="18"/>
                <w:szCs w:val="18"/>
              </w:rPr>
              <w:t>32052295</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558D6644">
            <w:pPr>
              <w:spacing w:line="240" w:lineRule="exact"/>
              <w:jc w:val="left"/>
              <w:rPr>
                <w:rFonts w:hint="eastAsia" w:ascii="宋体" w:hAnsi="宋体" w:cs="宋体"/>
                <w:sz w:val="18"/>
                <w:szCs w:val="18"/>
              </w:rPr>
            </w:pPr>
            <w:r>
              <w:rPr>
                <w:sz w:val="18"/>
                <w:szCs w:val="18"/>
              </w:rPr>
              <w:t>020</w:t>
            </w:r>
            <w:r>
              <w:rPr>
                <w:rFonts w:ascii="宋体" w:hAnsi="宋体" w:cs="宋体"/>
                <w:sz w:val="18"/>
                <w:szCs w:val="18"/>
              </w:rPr>
              <w:t>-</w:t>
            </w:r>
            <w:r>
              <w:rPr>
                <w:sz w:val="18"/>
                <w:szCs w:val="18"/>
              </w:rPr>
              <w:t>32052295</w:t>
            </w:r>
          </w:p>
        </w:tc>
      </w:tr>
      <w:tr w14:paraId="0A0FE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69E95C">
            <w:pPr>
              <w:spacing w:before="40" w:after="40" w:line="240" w:lineRule="exact"/>
              <w:jc w:val="left"/>
              <w:rPr>
                <w:rFonts w:hint="eastAsia" w:ascii="宋体" w:hAnsi="宋体" w:cs="宋体"/>
                <w:sz w:val="18"/>
                <w:szCs w:val="18"/>
              </w:rPr>
            </w:pPr>
            <w:r>
              <w:rPr>
                <w:rFonts w:ascii="宋体" w:hAnsi="宋体" w:cs="宋体"/>
                <w:sz w:val="18"/>
                <w:szCs w:val="18"/>
              </w:rPr>
              <w:t>办公地址</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3861D197">
            <w:pPr>
              <w:spacing w:line="240" w:lineRule="exact"/>
              <w:jc w:val="left"/>
              <w:rPr>
                <w:rFonts w:hint="eastAsia" w:ascii="宋体" w:hAnsi="宋体" w:cs="宋体"/>
                <w:sz w:val="18"/>
                <w:szCs w:val="18"/>
              </w:rPr>
            </w:pPr>
            <w:r>
              <w:rPr>
                <w:rFonts w:ascii="宋体" w:hAnsi="宋体" w:cs="宋体"/>
                <w:sz w:val="18"/>
                <w:szCs w:val="18"/>
              </w:rPr>
              <w:t>广州市黄埔区玉岩路</w:t>
            </w:r>
            <w:r>
              <w:rPr>
                <w:sz w:val="18"/>
                <w:szCs w:val="18"/>
              </w:rPr>
              <w:t>12</w:t>
            </w:r>
            <w:r>
              <w:rPr>
                <w:rFonts w:ascii="宋体" w:hAnsi="宋体" w:cs="宋体"/>
                <w:sz w:val="18"/>
                <w:szCs w:val="18"/>
              </w:rPr>
              <w:t>号</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3217356A">
            <w:pPr>
              <w:spacing w:line="240" w:lineRule="exact"/>
              <w:jc w:val="left"/>
              <w:rPr>
                <w:rFonts w:hint="eastAsia" w:ascii="宋体" w:hAnsi="宋体" w:cs="宋体"/>
                <w:sz w:val="18"/>
                <w:szCs w:val="18"/>
              </w:rPr>
            </w:pPr>
            <w:r>
              <w:rPr>
                <w:rFonts w:ascii="宋体" w:hAnsi="宋体" w:cs="宋体"/>
                <w:sz w:val="18"/>
                <w:szCs w:val="18"/>
              </w:rPr>
              <w:t>广州市黄埔区玉岩路</w:t>
            </w:r>
            <w:r>
              <w:rPr>
                <w:sz w:val="18"/>
                <w:szCs w:val="18"/>
              </w:rPr>
              <w:t>12</w:t>
            </w:r>
            <w:r>
              <w:rPr>
                <w:rFonts w:ascii="宋体" w:hAnsi="宋体" w:cs="宋体"/>
                <w:sz w:val="18"/>
                <w:szCs w:val="18"/>
              </w:rPr>
              <w:t>号</w:t>
            </w:r>
          </w:p>
        </w:tc>
      </w:tr>
      <w:tr w14:paraId="2D89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B09790">
            <w:pPr>
              <w:spacing w:before="40" w:after="40" w:line="240" w:lineRule="exact"/>
              <w:jc w:val="left"/>
              <w:rPr>
                <w:rFonts w:hint="eastAsia" w:ascii="宋体" w:hAnsi="宋体" w:cs="宋体"/>
                <w:sz w:val="18"/>
                <w:szCs w:val="18"/>
              </w:rPr>
            </w:pPr>
            <w:r>
              <w:rPr>
                <w:rFonts w:ascii="宋体" w:hAnsi="宋体" w:cs="宋体"/>
                <w:sz w:val="18"/>
                <w:szCs w:val="18"/>
              </w:rPr>
              <w:t>电子信箱</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0D35219A">
            <w:pPr>
              <w:spacing w:line="240" w:lineRule="exact"/>
              <w:jc w:val="left"/>
              <w:rPr>
                <w:rFonts w:hint="eastAsia" w:ascii="宋体" w:hAnsi="宋体" w:cs="宋体"/>
                <w:sz w:val="18"/>
                <w:szCs w:val="18"/>
              </w:rPr>
            </w:pPr>
            <w:r>
              <w:rPr>
                <w:sz w:val="18"/>
                <w:szCs w:val="18"/>
              </w:rPr>
              <w:t>ir</w:t>
            </w:r>
            <w:r>
              <w:rPr>
                <w:rFonts w:ascii="宋体" w:hAnsi="宋体" w:cs="宋体"/>
                <w:sz w:val="18"/>
                <w:szCs w:val="18"/>
              </w:rPr>
              <w:t>@</w:t>
            </w:r>
            <w:r>
              <w:rPr>
                <w:sz w:val="18"/>
                <w:szCs w:val="18"/>
              </w:rPr>
              <w:t>guanhaobio</w:t>
            </w:r>
            <w:r>
              <w:rPr>
                <w:rFonts w:ascii="宋体" w:hAnsi="宋体" w:cs="宋体"/>
                <w:sz w:val="18"/>
                <w:szCs w:val="18"/>
              </w:rPr>
              <w:t>.</w:t>
            </w:r>
            <w:r>
              <w:rPr>
                <w:sz w:val="18"/>
                <w:szCs w:val="18"/>
              </w:rPr>
              <w:t>com</w:t>
            </w:r>
          </w:p>
        </w:tc>
        <w:tc>
          <w:tcPr>
            <w:tcW w:w="3213" w:type="dxa"/>
            <w:gridSpan w:val="2"/>
            <w:tcBorders>
              <w:top w:val="single" w:color="auto" w:sz="2" w:space="0"/>
              <w:left w:val="single" w:color="auto" w:sz="2" w:space="0"/>
              <w:bottom w:val="single" w:color="auto" w:sz="2" w:space="0"/>
              <w:right w:val="single" w:color="auto" w:sz="2" w:space="0"/>
            </w:tcBorders>
            <w:vAlign w:val="center"/>
          </w:tcPr>
          <w:p w14:paraId="1FCAB925">
            <w:pPr>
              <w:spacing w:line="240" w:lineRule="exact"/>
              <w:jc w:val="left"/>
              <w:rPr>
                <w:rFonts w:hint="eastAsia" w:ascii="宋体" w:hAnsi="宋体" w:cs="宋体"/>
                <w:sz w:val="18"/>
                <w:szCs w:val="18"/>
              </w:rPr>
            </w:pPr>
            <w:r>
              <w:rPr>
                <w:sz w:val="18"/>
                <w:szCs w:val="18"/>
              </w:rPr>
              <w:t>ir</w:t>
            </w:r>
            <w:r>
              <w:rPr>
                <w:rFonts w:ascii="宋体" w:hAnsi="宋体" w:cs="宋体"/>
                <w:sz w:val="18"/>
                <w:szCs w:val="18"/>
              </w:rPr>
              <w:t>@</w:t>
            </w:r>
            <w:r>
              <w:rPr>
                <w:sz w:val="18"/>
                <w:szCs w:val="18"/>
              </w:rPr>
              <w:t>guanhaobio</w:t>
            </w:r>
            <w:r>
              <w:rPr>
                <w:rFonts w:ascii="宋体" w:hAnsi="宋体" w:cs="宋体"/>
                <w:sz w:val="18"/>
                <w:szCs w:val="18"/>
              </w:rPr>
              <w:t>.</w:t>
            </w:r>
            <w:r>
              <w:rPr>
                <w:sz w:val="18"/>
                <w:szCs w:val="18"/>
              </w:rPr>
              <w:t>com</w:t>
            </w:r>
          </w:p>
        </w:tc>
      </w:tr>
    </w:tbl>
    <w:p w14:paraId="51876600">
      <w:pPr>
        <w:keepNext/>
        <w:keepLines/>
        <w:spacing w:before="300" w:after="300" w:line="280" w:lineRule="exact"/>
        <w:jc w:val="left"/>
        <w:outlineLvl w:val="2"/>
        <w:rPr>
          <w:rFonts w:hint="eastAsia" w:ascii="宋体" w:hAnsi="宋体" w:cs="宋体"/>
          <w:b/>
          <w:bCs/>
          <w:szCs w:val="21"/>
        </w:rPr>
      </w:pPr>
      <w:bookmarkStart w:id="3" w:name="_Toc988892"/>
      <w:r>
        <w:rPr>
          <w:b/>
          <w:bCs/>
          <w:szCs w:val="21"/>
        </w:rPr>
        <w:t>2</w:t>
      </w:r>
      <w:r>
        <w:rPr>
          <w:rFonts w:ascii="宋体" w:hAnsi="宋体" w:cs="宋体"/>
          <w:b/>
          <w:bCs/>
          <w:szCs w:val="21"/>
        </w:rPr>
        <w:t>、主要会计数据和财务指标</w:t>
      </w:r>
      <w:bookmarkEnd w:id="3"/>
    </w:p>
    <w:p w14:paraId="55878D01">
      <w:pPr>
        <w:spacing w:line="240" w:lineRule="exact"/>
        <w:jc w:val="left"/>
        <w:rPr>
          <w:rFonts w:hint="eastAsia" w:ascii="宋体" w:hAnsi="宋体" w:cs="宋体"/>
          <w:sz w:val="18"/>
          <w:szCs w:val="18"/>
        </w:rPr>
      </w:pPr>
      <w:r>
        <w:rPr>
          <w:rFonts w:ascii="宋体" w:hAnsi="宋体" w:cs="宋体"/>
          <w:sz w:val="18"/>
          <w:szCs w:val="18"/>
        </w:rPr>
        <w:t>公司是否需追溯调整或重述以前年度会计数据</w:t>
      </w:r>
    </w:p>
    <w:p w14:paraId="48D39A12">
      <w:pPr>
        <w:spacing w:before="100" w:after="100" w:line="240" w:lineRule="exact"/>
        <w:jc w:val="lef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55"/>
        <w:gridCol w:w="1928"/>
        <w:gridCol w:w="1928"/>
        <w:gridCol w:w="1928"/>
      </w:tblGrid>
      <w:tr w14:paraId="7CDAE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8CCBBE8"/>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6275C7">
            <w:pPr>
              <w:spacing w:before="40" w:after="40" w:line="240" w:lineRule="exact"/>
              <w:jc w:val="center"/>
              <w:rPr>
                <w:sz w:val="18"/>
                <w:szCs w:val="18"/>
              </w:rPr>
            </w:pPr>
            <w:r>
              <w:rPr>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B2847F">
            <w:pPr>
              <w:spacing w:before="40" w:after="40" w:line="240" w:lineRule="exact"/>
              <w:jc w:val="center"/>
              <w:rPr>
                <w:sz w:val="18"/>
                <w:szCs w:val="18"/>
              </w:rPr>
            </w:pPr>
            <w:r>
              <w:rPr>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BA6A30">
            <w:pPr>
              <w:spacing w:before="40" w:after="40" w:line="240" w:lineRule="exact"/>
              <w:jc w:val="center"/>
              <w:rPr>
                <w:sz w:val="18"/>
                <w:szCs w:val="18"/>
              </w:rPr>
            </w:pPr>
            <w:r>
              <w:rPr>
                <w:sz w:val="18"/>
                <w:szCs w:val="18"/>
              </w:rPr>
              <w:t>本报告期比上年同期增减</w:t>
            </w:r>
          </w:p>
        </w:tc>
      </w:tr>
      <w:tr w14:paraId="536FA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4B040626">
            <w:pPr>
              <w:spacing w:before="40" w:after="40" w:line="240" w:lineRule="exact"/>
              <w:jc w:val="left"/>
              <w:rPr>
                <w:sz w:val="18"/>
                <w:szCs w:val="18"/>
              </w:rPr>
            </w:pPr>
            <w:r>
              <w:rPr>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61603787">
            <w:pPr>
              <w:spacing w:line="240" w:lineRule="exact"/>
              <w:jc w:val="right"/>
              <w:rPr>
                <w:sz w:val="18"/>
                <w:szCs w:val="18"/>
              </w:rPr>
            </w:pPr>
            <w:r>
              <w:rPr>
                <w:sz w:val="18"/>
                <w:szCs w:val="18"/>
              </w:rPr>
              <w:t>200,869,647.98</w:t>
            </w:r>
          </w:p>
        </w:tc>
        <w:tc>
          <w:tcPr>
            <w:tcW w:w="1928" w:type="dxa"/>
            <w:tcBorders>
              <w:top w:val="single" w:color="auto" w:sz="2" w:space="0"/>
              <w:left w:val="single" w:color="auto" w:sz="2" w:space="0"/>
              <w:bottom w:val="single" w:color="auto" w:sz="2" w:space="0"/>
              <w:right w:val="single" w:color="auto" w:sz="2" w:space="0"/>
            </w:tcBorders>
            <w:vAlign w:val="center"/>
          </w:tcPr>
          <w:p w14:paraId="1BFC9641">
            <w:pPr>
              <w:spacing w:line="240" w:lineRule="exact"/>
              <w:jc w:val="right"/>
              <w:rPr>
                <w:sz w:val="18"/>
                <w:szCs w:val="18"/>
              </w:rPr>
            </w:pPr>
            <w:r>
              <w:rPr>
                <w:sz w:val="18"/>
                <w:szCs w:val="18"/>
              </w:rPr>
              <w:t>189,698,181.61</w:t>
            </w:r>
          </w:p>
        </w:tc>
        <w:tc>
          <w:tcPr>
            <w:tcW w:w="1928" w:type="dxa"/>
            <w:tcBorders>
              <w:top w:val="single" w:color="auto" w:sz="2" w:space="0"/>
              <w:left w:val="single" w:color="auto" w:sz="2" w:space="0"/>
              <w:bottom w:val="single" w:color="auto" w:sz="2" w:space="0"/>
              <w:right w:val="single" w:color="auto" w:sz="2" w:space="0"/>
            </w:tcBorders>
            <w:vAlign w:val="center"/>
          </w:tcPr>
          <w:p w14:paraId="450FCD12">
            <w:pPr>
              <w:spacing w:line="240" w:lineRule="exact"/>
              <w:jc w:val="right"/>
              <w:rPr>
                <w:sz w:val="18"/>
                <w:szCs w:val="18"/>
              </w:rPr>
            </w:pPr>
            <w:r>
              <w:rPr>
                <w:sz w:val="18"/>
                <w:szCs w:val="18"/>
              </w:rPr>
              <w:t>5.89%</w:t>
            </w:r>
          </w:p>
        </w:tc>
      </w:tr>
      <w:tr w14:paraId="2B1CD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6D74085">
            <w:pPr>
              <w:spacing w:before="40" w:after="40" w:line="240" w:lineRule="exact"/>
              <w:jc w:val="left"/>
              <w:rPr>
                <w:sz w:val="18"/>
                <w:szCs w:val="18"/>
              </w:rPr>
            </w:pPr>
            <w:r>
              <w:rPr>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19CBEC2E">
            <w:pPr>
              <w:spacing w:line="240" w:lineRule="exact"/>
              <w:jc w:val="right"/>
              <w:rPr>
                <w:sz w:val="18"/>
                <w:szCs w:val="18"/>
              </w:rPr>
            </w:pPr>
            <w:r>
              <w:rPr>
                <w:sz w:val="18"/>
                <w:szCs w:val="18"/>
              </w:rPr>
              <w:t>20,404,091.44</w:t>
            </w:r>
          </w:p>
        </w:tc>
        <w:tc>
          <w:tcPr>
            <w:tcW w:w="1928" w:type="dxa"/>
            <w:tcBorders>
              <w:top w:val="single" w:color="auto" w:sz="2" w:space="0"/>
              <w:left w:val="single" w:color="auto" w:sz="2" w:space="0"/>
              <w:bottom w:val="single" w:color="auto" w:sz="2" w:space="0"/>
              <w:right w:val="single" w:color="auto" w:sz="2" w:space="0"/>
            </w:tcBorders>
            <w:vAlign w:val="center"/>
          </w:tcPr>
          <w:p w14:paraId="5996AA9C">
            <w:pPr>
              <w:spacing w:line="240" w:lineRule="exact"/>
              <w:jc w:val="right"/>
              <w:rPr>
                <w:sz w:val="18"/>
                <w:szCs w:val="18"/>
              </w:rPr>
            </w:pPr>
            <w:r>
              <w:rPr>
                <w:sz w:val="18"/>
                <w:szCs w:val="18"/>
              </w:rPr>
              <w:t>20,148,444.33</w:t>
            </w:r>
          </w:p>
        </w:tc>
        <w:tc>
          <w:tcPr>
            <w:tcW w:w="1928" w:type="dxa"/>
            <w:tcBorders>
              <w:top w:val="single" w:color="auto" w:sz="2" w:space="0"/>
              <w:left w:val="single" w:color="auto" w:sz="2" w:space="0"/>
              <w:bottom w:val="single" w:color="auto" w:sz="2" w:space="0"/>
              <w:right w:val="single" w:color="auto" w:sz="2" w:space="0"/>
            </w:tcBorders>
            <w:vAlign w:val="center"/>
          </w:tcPr>
          <w:p w14:paraId="766E7E20">
            <w:pPr>
              <w:spacing w:line="240" w:lineRule="exact"/>
              <w:jc w:val="right"/>
              <w:rPr>
                <w:sz w:val="18"/>
                <w:szCs w:val="18"/>
              </w:rPr>
            </w:pPr>
            <w:r>
              <w:rPr>
                <w:sz w:val="18"/>
                <w:szCs w:val="18"/>
              </w:rPr>
              <w:t>1.27%</w:t>
            </w:r>
          </w:p>
        </w:tc>
      </w:tr>
      <w:tr w14:paraId="48249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C07A2CB">
            <w:pPr>
              <w:spacing w:before="40" w:after="40" w:line="240" w:lineRule="exact"/>
              <w:jc w:val="left"/>
              <w:rPr>
                <w:sz w:val="18"/>
                <w:szCs w:val="18"/>
              </w:rPr>
            </w:pPr>
            <w:r>
              <w:rPr>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70766218">
            <w:pPr>
              <w:spacing w:line="240" w:lineRule="exact"/>
              <w:jc w:val="right"/>
              <w:rPr>
                <w:sz w:val="18"/>
                <w:szCs w:val="18"/>
              </w:rPr>
            </w:pPr>
            <w:r>
              <w:rPr>
                <w:sz w:val="18"/>
                <w:szCs w:val="18"/>
              </w:rPr>
              <w:t>19,803,890.16</w:t>
            </w:r>
          </w:p>
        </w:tc>
        <w:tc>
          <w:tcPr>
            <w:tcW w:w="1928" w:type="dxa"/>
            <w:tcBorders>
              <w:top w:val="single" w:color="auto" w:sz="2" w:space="0"/>
              <w:left w:val="single" w:color="auto" w:sz="2" w:space="0"/>
              <w:bottom w:val="single" w:color="auto" w:sz="2" w:space="0"/>
              <w:right w:val="single" w:color="auto" w:sz="2" w:space="0"/>
            </w:tcBorders>
            <w:vAlign w:val="center"/>
          </w:tcPr>
          <w:p w14:paraId="763D7C4E">
            <w:pPr>
              <w:spacing w:line="240" w:lineRule="exact"/>
              <w:jc w:val="right"/>
              <w:rPr>
                <w:sz w:val="18"/>
                <w:szCs w:val="18"/>
              </w:rPr>
            </w:pPr>
            <w:r>
              <w:rPr>
                <w:sz w:val="18"/>
                <w:szCs w:val="18"/>
              </w:rPr>
              <w:t>18,923,033.40</w:t>
            </w:r>
          </w:p>
        </w:tc>
        <w:tc>
          <w:tcPr>
            <w:tcW w:w="1928" w:type="dxa"/>
            <w:tcBorders>
              <w:top w:val="single" w:color="auto" w:sz="2" w:space="0"/>
              <w:left w:val="single" w:color="auto" w:sz="2" w:space="0"/>
              <w:bottom w:val="single" w:color="auto" w:sz="2" w:space="0"/>
              <w:right w:val="single" w:color="auto" w:sz="2" w:space="0"/>
            </w:tcBorders>
            <w:vAlign w:val="center"/>
          </w:tcPr>
          <w:p w14:paraId="00C2FAC8">
            <w:pPr>
              <w:spacing w:line="240" w:lineRule="exact"/>
              <w:jc w:val="right"/>
              <w:rPr>
                <w:sz w:val="18"/>
                <w:szCs w:val="18"/>
              </w:rPr>
            </w:pPr>
            <w:r>
              <w:rPr>
                <w:sz w:val="18"/>
                <w:szCs w:val="18"/>
              </w:rPr>
              <w:t>4.65%</w:t>
            </w:r>
          </w:p>
        </w:tc>
      </w:tr>
      <w:tr w14:paraId="528BF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54556787">
            <w:pPr>
              <w:spacing w:before="40" w:after="40" w:line="240" w:lineRule="exact"/>
              <w:jc w:val="left"/>
              <w:rPr>
                <w:sz w:val="18"/>
                <w:szCs w:val="18"/>
              </w:rPr>
            </w:pPr>
            <w:r>
              <w:rPr>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14:paraId="1476766B">
            <w:pPr>
              <w:spacing w:line="240" w:lineRule="exact"/>
              <w:jc w:val="right"/>
              <w:rPr>
                <w:sz w:val="18"/>
                <w:szCs w:val="18"/>
              </w:rPr>
            </w:pPr>
            <w:r>
              <w:rPr>
                <w:sz w:val="18"/>
                <w:szCs w:val="18"/>
              </w:rPr>
              <w:t>39,279,128.25</w:t>
            </w:r>
          </w:p>
        </w:tc>
        <w:tc>
          <w:tcPr>
            <w:tcW w:w="1928" w:type="dxa"/>
            <w:tcBorders>
              <w:top w:val="single" w:color="auto" w:sz="2" w:space="0"/>
              <w:left w:val="single" w:color="auto" w:sz="2" w:space="0"/>
              <w:bottom w:val="single" w:color="auto" w:sz="2" w:space="0"/>
              <w:right w:val="single" w:color="auto" w:sz="2" w:space="0"/>
            </w:tcBorders>
            <w:vAlign w:val="center"/>
          </w:tcPr>
          <w:p w14:paraId="5DF77759">
            <w:pPr>
              <w:spacing w:line="240" w:lineRule="exact"/>
              <w:jc w:val="right"/>
              <w:rPr>
                <w:sz w:val="18"/>
                <w:szCs w:val="18"/>
              </w:rPr>
            </w:pPr>
            <w:r>
              <w:rPr>
                <w:sz w:val="18"/>
                <w:szCs w:val="18"/>
              </w:rPr>
              <w:t>34,779,054.24</w:t>
            </w:r>
          </w:p>
        </w:tc>
        <w:tc>
          <w:tcPr>
            <w:tcW w:w="1928" w:type="dxa"/>
            <w:tcBorders>
              <w:top w:val="single" w:color="auto" w:sz="2" w:space="0"/>
              <w:left w:val="single" w:color="auto" w:sz="2" w:space="0"/>
              <w:bottom w:val="single" w:color="auto" w:sz="2" w:space="0"/>
              <w:right w:val="single" w:color="auto" w:sz="2" w:space="0"/>
            </w:tcBorders>
            <w:vAlign w:val="center"/>
          </w:tcPr>
          <w:p w14:paraId="40B04C6B">
            <w:pPr>
              <w:spacing w:line="240" w:lineRule="exact"/>
              <w:jc w:val="right"/>
              <w:rPr>
                <w:sz w:val="18"/>
                <w:szCs w:val="18"/>
              </w:rPr>
            </w:pPr>
            <w:r>
              <w:rPr>
                <w:sz w:val="18"/>
                <w:szCs w:val="18"/>
              </w:rPr>
              <w:t>12.94%</w:t>
            </w:r>
          </w:p>
        </w:tc>
      </w:tr>
      <w:tr w14:paraId="3792D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09369BB6">
            <w:pPr>
              <w:spacing w:before="40" w:after="40" w:line="240" w:lineRule="exact"/>
              <w:jc w:val="left"/>
              <w:rPr>
                <w:sz w:val="18"/>
                <w:szCs w:val="18"/>
              </w:rPr>
            </w:pPr>
            <w:r>
              <w:rPr>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268420E6">
            <w:pPr>
              <w:spacing w:line="240" w:lineRule="exact"/>
              <w:jc w:val="right"/>
              <w:rPr>
                <w:sz w:val="18"/>
                <w:szCs w:val="18"/>
              </w:rPr>
            </w:pPr>
            <w:r>
              <w:rPr>
                <w:sz w:val="18"/>
                <w:szCs w:val="18"/>
              </w:rPr>
              <w:t>0.08</w:t>
            </w:r>
          </w:p>
        </w:tc>
        <w:tc>
          <w:tcPr>
            <w:tcW w:w="1928" w:type="dxa"/>
            <w:tcBorders>
              <w:top w:val="single" w:color="auto" w:sz="2" w:space="0"/>
              <w:left w:val="single" w:color="auto" w:sz="2" w:space="0"/>
              <w:bottom w:val="single" w:color="auto" w:sz="2" w:space="0"/>
              <w:right w:val="single" w:color="auto" w:sz="2" w:space="0"/>
            </w:tcBorders>
            <w:vAlign w:val="center"/>
          </w:tcPr>
          <w:p w14:paraId="36A179E9">
            <w:pPr>
              <w:spacing w:line="240" w:lineRule="exact"/>
              <w:jc w:val="right"/>
              <w:rPr>
                <w:sz w:val="18"/>
                <w:szCs w:val="18"/>
              </w:rPr>
            </w:pPr>
            <w:r>
              <w:rPr>
                <w:sz w:val="18"/>
                <w:szCs w:val="18"/>
              </w:rPr>
              <w:t>0.08</w:t>
            </w:r>
          </w:p>
        </w:tc>
        <w:tc>
          <w:tcPr>
            <w:tcW w:w="1928" w:type="dxa"/>
            <w:tcBorders>
              <w:top w:val="single" w:color="auto" w:sz="2" w:space="0"/>
              <w:left w:val="single" w:color="auto" w:sz="2" w:space="0"/>
              <w:bottom w:val="single" w:color="auto" w:sz="2" w:space="0"/>
              <w:right w:val="single" w:color="auto" w:sz="2" w:space="0"/>
            </w:tcBorders>
            <w:vAlign w:val="center"/>
          </w:tcPr>
          <w:p w14:paraId="1585D5B1">
            <w:pPr>
              <w:spacing w:line="240" w:lineRule="exact"/>
              <w:jc w:val="right"/>
              <w:rPr>
                <w:sz w:val="18"/>
                <w:szCs w:val="18"/>
              </w:rPr>
            </w:pPr>
            <w:r>
              <w:rPr>
                <w:sz w:val="18"/>
                <w:szCs w:val="18"/>
              </w:rPr>
              <w:t>0.00%</w:t>
            </w:r>
          </w:p>
        </w:tc>
      </w:tr>
      <w:tr w14:paraId="2A0F9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87FBAA7">
            <w:pPr>
              <w:spacing w:before="40" w:after="40" w:line="240" w:lineRule="exact"/>
              <w:jc w:val="left"/>
              <w:rPr>
                <w:sz w:val="18"/>
                <w:szCs w:val="18"/>
              </w:rPr>
            </w:pPr>
            <w:r>
              <w:rPr>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4DEE458B">
            <w:pPr>
              <w:spacing w:line="240" w:lineRule="exact"/>
              <w:jc w:val="right"/>
              <w:rPr>
                <w:sz w:val="18"/>
                <w:szCs w:val="18"/>
              </w:rPr>
            </w:pPr>
            <w:r>
              <w:rPr>
                <w:sz w:val="18"/>
                <w:szCs w:val="18"/>
              </w:rPr>
              <w:t>0.08</w:t>
            </w:r>
          </w:p>
        </w:tc>
        <w:tc>
          <w:tcPr>
            <w:tcW w:w="1928" w:type="dxa"/>
            <w:tcBorders>
              <w:top w:val="single" w:color="auto" w:sz="2" w:space="0"/>
              <w:left w:val="single" w:color="auto" w:sz="2" w:space="0"/>
              <w:bottom w:val="single" w:color="auto" w:sz="2" w:space="0"/>
              <w:right w:val="single" w:color="auto" w:sz="2" w:space="0"/>
            </w:tcBorders>
            <w:vAlign w:val="center"/>
          </w:tcPr>
          <w:p w14:paraId="697CF4EC">
            <w:pPr>
              <w:spacing w:line="240" w:lineRule="exact"/>
              <w:jc w:val="right"/>
              <w:rPr>
                <w:sz w:val="18"/>
                <w:szCs w:val="18"/>
              </w:rPr>
            </w:pPr>
            <w:r>
              <w:rPr>
                <w:sz w:val="18"/>
                <w:szCs w:val="18"/>
              </w:rPr>
              <w:t>0.08</w:t>
            </w:r>
          </w:p>
        </w:tc>
        <w:tc>
          <w:tcPr>
            <w:tcW w:w="1928" w:type="dxa"/>
            <w:tcBorders>
              <w:top w:val="single" w:color="auto" w:sz="2" w:space="0"/>
              <w:left w:val="single" w:color="auto" w:sz="2" w:space="0"/>
              <w:bottom w:val="single" w:color="auto" w:sz="2" w:space="0"/>
              <w:right w:val="single" w:color="auto" w:sz="2" w:space="0"/>
            </w:tcBorders>
            <w:vAlign w:val="center"/>
          </w:tcPr>
          <w:p w14:paraId="09A7C58F">
            <w:pPr>
              <w:spacing w:line="240" w:lineRule="exact"/>
              <w:jc w:val="right"/>
              <w:rPr>
                <w:sz w:val="18"/>
                <w:szCs w:val="18"/>
              </w:rPr>
            </w:pPr>
            <w:r>
              <w:rPr>
                <w:sz w:val="18"/>
                <w:szCs w:val="18"/>
              </w:rPr>
              <w:t>0.00%</w:t>
            </w:r>
          </w:p>
        </w:tc>
      </w:tr>
      <w:tr w14:paraId="2A889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6B7E1A80">
            <w:pPr>
              <w:spacing w:before="40" w:after="40" w:line="240" w:lineRule="exact"/>
              <w:jc w:val="left"/>
              <w:rPr>
                <w:sz w:val="18"/>
                <w:szCs w:val="18"/>
              </w:rPr>
            </w:pPr>
            <w:r>
              <w:rPr>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318D2DCC">
            <w:pPr>
              <w:spacing w:line="240" w:lineRule="exact"/>
              <w:jc w:val="right"/>
              <w:rPr>
                <w:sz w:val="18"/>
                <w:szCs w:val="18"/>
              </w:rPr>
            </w:pPr>
            <w:r>
              <w:rPr>
                <w:sz w:val="18"/>
                <w:szCs w:val="18"/>
              </w:rPr>
              <w:t>3.6</w:t>
            </w:r>
            <w:r>
              <w:rPr>
                <w:rFonts w:hint="eastAsia"/>
                <w:sz w:val="18"/>
                <w:szCs w:val="18"/>
              </w:rPr>
              <w:t>8</w:t>
            </w:r>
            <w:r>
              <w:rPr>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14:paraId="12CE4E8E">
            <w:pPr>
              <w:spacing w:line="240" w:lineRule="exact"/>
              <w:jc w:val="right"/>
              <w:rPr>
                <w:sz w:val="18"/>
                <w:szCs w:val="18"/>
              </w:rPr>
            </w:pPr>
            <w:r>
              <w:rPr>
                <w:sz w:val="18"/>
                <w:szCs w:val="18"/>
              </w:rPr>
              <w:t>3.80%</w:t>
            </w:r>
          </w:p>
        </w:tc>
        <w:tc>
          <w:tcPr>
            <w:tcW w:w="1928" w:type="dxa"/>
            <w:tcBorders>
              <w:top w:val="single" w:color="auto" w:sz="2" w:space="0"/>
              <w:left w:val="single" w:color="auto" w:sz="2" w:space="0"/>
              <w:bottom w:val="single" w:color="auto" w:sz="2" w:space="0"/>
              <w:right w:val="single" w:color="auto" w:sz="2" w:space="0"/>
            </w:tcBorders>
            <w:vAlign w:val="center"/>
          </w:tcPr>
          <w:p w14:paraId="141BC6D9">
            <w:pPr>
              <w:spacing w:line="240" w:lineRule="exact"/>
              <w:jc w:val="right"/>
              <w:rPr>
                <w:sz w:val="18"/>
                <w:szCs w:val="18"/>
              </w:rPr>
            </w:pPr>
            <w:r>
              <w:rPr>
                <w:sz w:val="18"/>
                <w:szCs w:val="18"/>
              </w:rPr>
              <w:t>-0.1</w:t>
            </w:r>
            <w:r>
              <w:rPr>
                <w:rFonts w:hint="eastAsia"/>
                <w:sz w:val="18"/>
                <w:szCs w:val="18"/>
              </w:rPr>
              <w:t>2</w:t>
            </w:r>
            <w:r>
              <w:rPr>
                <w:sz w:val="18"/>
                <w:szCs w:val="18"/>
              </w:rPr>
              <w:t>%</w:t>
            </w:r>
          </w:p>
        </w:tc>
      </w:tr>
      <w:tr w14:paraId="55252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576E6D7C"/>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D21C25">
            <w:pPr>
              <w:spacing w:before="40" w:after="40" w:line="240" w:lineRule="exact"/>
              <w:jc w:val="center"/>
              <w:rPr>
                <w:sz w:val="18"/>
                <w:szCs w:val="18"/>
              </w:rPr>
            </w:pPr>
            <w:r>
              <w:rPr>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53956E">
            <w:pPr>
              <w:spacing w:before="40" w:after="40" w:line="240" w:lineRule="exact"/>
              <w:jc w:val="center"/>
              <w:rPr>
                <w:sz w:val="18"/>
                <w:szCs w:val="18"/>
              </w:rPr>
            </w:pPr>
            <w:r>
              <w:rPr>
                <w:sz w:val="18"/>
                <w:szCs w:val="18"/>
              </w:rPr>
              <w:t>上年度末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5CFFC9">
            <w:pPr>
              <w:spacing w:before="40" w:after="40" w:line="240" w:lineRule="exact"/>
              <w:jc w:val="center"/>
              <w:rPr>
                <w:sz w:val="18"/>
                <w:szCs w:val="18"/>
              </w:rPr>
            </w:pPr>
            <w:r>
              <w:rPr>
                <w:sz w:val="18"/>
                <w:szCs w:val="18"/>
              </w:rPr>
              <w:t>本报告期末比上年度末增减</w:t>
            </w:r>
          </w:p>
        </w:tc>
      </w:tr>
      <w:tr w14:paraId="7A8D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3902C37">
            <w:pPr>
              <w:spacing w:before="40" w:after="40" w:line="240" w:lineRule="exact"/>
              <w:jc w:val="left"/>
              <w:rPr>
                <w:sz w:val="18"/>
                <w:szCs w:val="18"/>
              </w:rPr>
            </w:pPr>
            <w:r>
              <w:rPr>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14:paraId="0C1C189E">
            <w:pPr>
              <w:spacing w:line="240" w:lineRule="exact"/>
              <w:jc w:val="right"/>
              <w:rPr>
                <w:sz w:val="18"/>
                <w:szCs w:val="18"/>
              </w:rPr>
            </w:pPr>
            <w:r>
              <w:rPr>
                <w:sz w:val="18"/>
                <w:szCs w:val="18"/>
              </w:rPr>
              <w:t>782,768,568.08</w:t>
            </w:r>
          </w:p>
        </w:tc>
        <w:tc>
          <w:tcPr>
            <w:tcW w:w="1928" w:type="dxa"/>
            <w:tcBorders>
              <w:top w:val="single" w:color="auto" w:sz="2" w:space="0"/>
              <w:left w:val="single" w:color="auto" w:sz="2" w:space="0"/>
              <w:bottom w:val="single" w:color="auto" w:sz="2" w:space="0"/>
              <w:right w:val="single" w:color="auto" w:sz="2" w:space="0"/>
            </w:tcBorders>
            <w:vAlign w:val="center"/>
          </w:tcPr>
          <w:p w14:paraId="52812DAB">
            <w:pPr>
              <w:spacing w:line="240" w:lineRule="exact"/>
              <w:jc w:val="right"/>
              <w:rPr>
                <w:sz w:val="18"/>
                <w:szCs w:val="18"/>
              </w:rPr>
            </w:pPr>
            <w:r>
              <w:rPr>
                <w:sz w:val="18"/>
                <w:szCs w:val="18"/>
              </w:rPr>
              <w:t>754,399,831.41</w:t>
            </w:r>
          </w:p>
        </w:tc>
        <w:tc>
          <w:tcPr>
            <w:tcW w:w="1928" w:type="dxa"/>
            <w:tcBorders>
              <w:top w:val="single" w:color="auto" w:sz="2" w:space="0"/>
              <w:left w:val="single" w:color="auto" w:sz="2" w:space="0"/>
              <w:bottom w:val="single" w:color="auto" w:sz="2" w:space="0"/>
              <w:right w:val="single" w:color="auto" w:sz="2" w:space="0"/>
            </w:tcBorders>
            <w:vAlign w:val="center"/>
          </w:tcPr>
          <w:p w14:paraId="6106C184">
            <w:pPr>
              <w:spacing w:line="240" w:lineRule="exact"/>
              <w:jc w:val="right"/>
              <w:rPr>
                <w:sz w:val="18"/>
                <w:szCs w:val="18"/>
              </w:rPr>
            </w:pPr>
            <w:r>
              <w:rPr>
                <w:sz w:val="18"/>
                <w:szCs w:val="18"/>
              </w:rPr>
              <w:t>3.76%</w:t>
            </w:r>
          </w:p>
        </w:tc>
      </w:tr>
      <w:tr w14:paraId="39D14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51B1414D">
            <w:pPr>
              <w:spacing w:before="40" w:after="40" w:line="240" w:lineRule="exact"/>
              <w:jc w:val="left"/>
              <w:rPr>
                <w:sz w:val="18"/>
                <w:szCs w:val="18"/>
              </w:rPr>
            </w:pPr>
            <w:r>
              <w:rPr>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14:paraId="3C9C9556">
            <w:pPr>
              <w:spacing w:line="240" w:lineRule="exact"/>
              <w:jc w:val="right"/>
              <w:rPr>
                <w:sz w:val="18"/>
                <w:szCs w:val="18"/>
              </w:rPr>
            </w:pPr>
            <w:r>
              <w:rPr>
                <w:sz w:val="18"/>
                <w:szCs w:val="18"/>
              </w:rPr>
              <w:t>565,800,826.75</w:t>
            </w:r>
          </w:p>
        </w:tc>
        <w:tc>
          <w:tcPr>
            <w:tcW w:w="1928" w:type="dxa"/>
            <w:tcBorders>
              <w:top w:val="single" w:color="auto" w:sz="2" w:space="0"/>
              <w:left w:val="single" w:color="auto" w:sz="2" w:space="0"/>
              <w:bottom w:val="single" w:color="auto" w:sz="2" w:space="0"/>
              <w:right w:val="single" w:color="auto" w:sz="2" w:space="0"/>
            </w:tcBorders>
            <w:vAlign w:val="center"/>
          </w:tcPr>
          <w:p w14:paraId="34DB0D09">
            <w:pPr>
              <w:spacing w:line="240" w:lineRule="exact"/>
              <w:jc w:val="right"/>
              <w:rPr>
                <w:sz w:val="18"/>
                <w:szCs w:val="18"/>
              </w:rPr>
            </w:pPr>
            <w:r>
              <w:rPr>
                <w:sz w:val="18"/>
                <w:szCs w:val="18"/>
              </w:rPr>
              <w:t>542,358,105.24</w:t>
            </w:r>
          </w:p>
        </w:tc>
        <w:tc>
          <w:tcPr>
            <w:tcW w:w="1928" w:type="dxa"/>
            <w:tcBorders>
              <w:top w:val="single" w:color="auto" w:sz="2" w:space="0"/>
              <w:left w:val="single" w:color="auto" w:sz="2" w:space="0"/>
              <w:bottom w:val="single" w:color="auto" w:sz="2" w:space="0"/>
              <w:right w:val="single" w:color="auto" w:sz="2" w:space="0"/>
            </w:tcBorders>
            <w:vAlign w:val="center"/>
          </w:tcPr>
          <w:p w14:paraId="3BB54834">
            <w:pPr>
              <w:spacing w:line="240" w:lineRule="exact"/>
              <w:jc w:val="right"/>
              <w:rPr>
                <w:sz w:val="18"/>
                <w:szCs w:val="18"/>
              </w:rPr>
            </w:pPr>
            <w:r>
              <w:rPr>
                <w:sz w:val="18"/>
                <w:szCs w:val="18"/>
              </w:rPr>
              <w:t>4.32%</w:t>
            </w:r>
          </w:p>
        </w:tc>
      </w:tr>
    </w:tbl>
    <w:p w14:paraId="7D0A980A">
      <w:pPr>
        <w:keepNext/>
        <w:keepLines/>
        <w:spacing w:before="300" w:after="300" w:line="280" w:lineRule="exact"/>
        <w:jc w:val="left"/>
        <w:outlineLvl w:val="2"/>
        <w:rPr>
          <w:rFonts w:hint="eastAsia" w:ascii="宋体" w:hAnsi="宋体" w:cs="宋体"/>
          <w:b/>
          <w:bCs/>
          <w:szCs w:val="21"/>
        </w:rPr>
      </w:pPr>
      <w:bookmarkStart w:id="4" w:name="_Toc988893"/>
      <w:r>
        <w:rPr>
          <w:b/>
          <w:bCs/>
          <w:szCs w:val="21"/>
        </w:rPr>
        <w:t>3</w:t>
      </w:r>
      <w:r>
        <w:rPr>
          <w:rFonts w:ascii="宋体" w:hAnsi="宋体" w:cs="宋体"/>
          <w:b/>
          <w:bCs/>
          <w:szCs w:val="21"/>
        </w:rPr>
        <w:t>、公司股东数量及持股情况</w:t>
      </w:r>
      <w:bookmarkEnd w:id="4"/>
    </w:p>
    <w:p w14:paraId="391AB7A6">
      <w:pPr>
        <w:spacing w:before="40" w:after="40" w:line="240" w:lineRule="exact"/>
        <w:jc w:val="right"/>
        <w:rPr>
          <w:rFonts w:hint="eastAsia" w:ascii="宋体" w:hAnsi="宋体" w:cs="宋体"/>
          <w:sz w:val="18"/>
          <w:szCs w:val="18"/>
        </w:rPr>
      </w:pPr>
      <w:r>
        <w:rPr>
          <w:rFonts w:ascii="宋体" w:hAnsi="宋体" w:cs="宋体"/>
          <w:sz w:val="18"/>
          <w:szCs w:val="18"/>
        </w:rPr>
        <w:t>单位：股</w:t>
      </w:r>
    </w:p>
    <w:tbl>
      <w:tblPr>
        <w:tblStyle w:val="3"/>
        <w:tblW w:w="9663" w:type="dxa"/>
        <w:tblInd w:w="-2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7"/>
        <w:gridCol w:w="1563"/>
        <w:gridCol w:w="1375"/>
        <w:gridCol w:w="1612"/>
        <w:gridCol w:w="1188"/>
        <w:gridCol w:w="1437"/>
        <w:gridCol w:w="1101"/>
      </w:tblGrid>
      <w:tr w14:paraId="7FC2D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shd w:val="clear" w:color="auto" w:fill="D3D3D3"/>
            <w:vAlign w:val="center"/>
          </w:tcPr>
          <w:p w14:paraId="01A30A25">
            <w:pPr>
              <w:spacing w:before="40" w:after="40" w:line="240" w:lineRule="exact"/>
              <w:jc w:val="left"/>
              <w:rPr>
                <w:sz w:val="18"/>
                <w:szCs w:val="18"/>
              </w:rPr>
            </w:pPr>
            <w:r>
              <w:rPr>
                <w:sz w:val="18"/>
                <w:szCs w:val="18"/>
              </w:rPr>
              <w:t>报告期末普通股股东总数</w:t>
            </w:r>
          </w:p>
        </w:tc>
        <w:tc>
          <w:tcPr>
            <w:tcW w:w="2938" w:type="dxa"/>
            <w:gridSpan w:val="2"/>
            <w:tcBorders>
              <w:top w:val="single" w:color="auto" w:sz="2" w:space="0"/>
              <w:left w:val="single" w:color="auto" w:sz="2" w:space="0"/>
              <w:bottom w:val="single" w:color="auto" w:sz="2" w:space="0"/>
              <w:right w:val="single" w:color="auto" w:sz="2" w:space="0"/>
            </w:tcBorders>
            <w:vAlign w:val="center"/>
          </w:tcPr>
          <w:p w14:paraId="30C6F669">
            <w:pPr>
              <w:spacing w:line="240" w:lineRule="exact"/>
              <w:jc w:val="right"/>
              <w:rPr>
                <w:sz w:val="18"/>
                <w:szCs w:val="18"/>
              </w:rPr>
            </w:pPr>
            <w:r>
              <w:rPr>
                <w:sz w:val="18"/>
                <w:szCs w:val="18"/>
              </w:rPr>
              <w:t>32,645</w:t>
            </w:r>
          </w:p>
        </w:tc>
        <w:tc>
          <w:tcPr>
            <w:tcW w:w="1612" w:type="dxa"/>
            <w:tcBorders>
              <w:top w:val="single" w:color="auto" w:sz="2" w:space="0"/>
              <w:left w:val="single" w:color="auto" w:sz="2" w:space="0"/>
              <w:bottom w:val="single" w:color="auto" w:sz="2" w:space="0"/>
              <w:right w:val="single" w:color="auto" w:sz="2" w:space="0"/>
            </w:tcBorders>
            <w:shd w:val="clear" w:color="auto" w:fill="D3D3D3"/>
            <w:vAlign w:val="center"/>
          </w:tcPr>
          <w:p w14:paraId="1F157358">
            <w:pPr>
              <w:spacing w:before="40" w:after="40" w:line="240" w:lineRule="exact"/>
              <w:jc w:val="left"/>
              <w:rPr>
                <w:sz w:val="18"/>
                <w:szCs w:val="18"/>
              </w:rPr>
            </w:pPr>
            <w:r>
              <w:rPr>
                <w:sz w:val="18"/>
                <w:szCs w:val="18"/>
              </w:rPr>
              <w:t>报告期末表决权恢复的优先股股东总数（如有）</w:t>
            </w:r>
          </w:p>
        </w:tc>
        <w:tc>
          <w:tcPr>
            <w:tcW w:w="1188" w:type="dxa"/>
            <w:tcBorders>
              <w:top w:val="single" w:color="auto" w:sz="2" w:space="0"/>
              <w:left w:val="single" w:color="auto" w:sz="2" w:space="0"/>
              <w:bottom w:val="single" w:color="auto" w:sz="2" w:space="0"/>
              <w:right w:val="single" w:color="auto" w:sz="2" w:space="0"/>
            </w:tcBorders>
            <w:vAlign w:val="center"/>
          </w:tcPr>
          <w:p w14:paraId="1EBD4B83">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shd w:val="clear" w:color="auto" w:fill="D3D3D3"/>
            <w:vAlign w:val="center"/>
          </w:tcPr>
          <w:p w14:paraId="1B549199">
            <w:pPr>
              <w:spacing w:before="40" w:after="40" w:line="240" w:lineRule="exact"/>
              <w:jc w:val="left"/>
              <w:rPr>
                <w:sz w:val="18"/>
                <w:szCs w:val="18"/>
              </w:rPr>
            </w:pPr>
            <w:r>
              <w:rPr>
                <w:sz w:val="18"/>
                <w:szCs w:val="18"/>
              </w:rPr>
              <w:t>持有特别表决权股份的股东总数（如有）</w:t>
            </w:r>
          </w:p>
        </w:tc>
        <w:tc>
          <w:tcPr>
            <w:tcW w:w="1101" w:type="dxa"/>
            <w:tcBorders>
              <w:top w:val="single" w:color="auto" w:sz="2" w:space="0"/>
              <w:left w:val="single" w:color="auto" w:sz="2" w:space="0"/>
              <w:bottom w:val="single" w:color="auto" w:sz="2" w:space="0"/>
              <w:right w:val="single" w:color="auto" w:sz="2" w:space="0"/>
            </w:tcBorders>
            <w:vAlign w:val="center"/>
          </w:tcPr>
          <w:p w14:paraId="64AAAD3B">
            <w:pPr>
              <w:spacing w:line="240" w:lineRule="exact"/>
              <w:jc w:val="right"/>
              <w:rPr>
                <w:sz w:val="18"/>
                <w:szCs w:val="18"/>
              </w:rPr>
            </w:pPr>
            <w:r>
              <w:rPr>
                <w:sz w:val="18"/>
                <w:szCs w:val="18"/>
              </w:rPr>
              <w:t>0</w:t>
            </w:r>
          </w:p>
        </w:tc>
      </w:tr>
      <w:tr w14:paraId="4A89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63"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144B3864">
            <w:pPr>
              <w:spacing w:before="40" w:after="40" w:line="240" w:lineRule="exact"/>
              <w:jc w:val="center"/>
              <w:rPr>
                <w:sz w:val="18"/>
                <w:szCs w:val="18"/>
              </w:rPr>
            </w:pPr>
            <w:r>
              <w:rPr>
                <w:sz w:val="18"/>
                <w:szCs w:val="18"/>
              </w:rPr>
              <w:t>前10名股东持股情况（不含通过转融通出借股份）</w:t>
            </w:r>
          </w:p>
        </w:tc>
      </w:tr>
      <w:tr w14:paraId="5448D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946F2A">
            <w:pPr>
              <w:spacing w:before="40" w:after="40" w:line="240" w:lineRule="exact"/>
              <w:jc w:val="center"/>
              <w:rPr>
                <w:sz w:val="18"/>
                <w:szCs w:val="18"/>
              </w:rPr>
            </w:pPr>
            <w:r>
              <w:rPr>
                <w:sz w:val="18"/>
                <w:szCs w:val="18"/>
              </w:rPr>
              <w:t>股东名称</w:t>
            </w:r>
          </w:p>
        </w:tc>
        <w:tc>
          <w:tcPr>
            <w:tcW w:w="1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CFCEC9">
            <w:pPr>
              <w:spacing w:before="40" w:after="40" w:line="240" w:lineRule="exact"/>
              <w:jc w:val="center"/>
              <w:rPr>
                <w:sz w:val="18"/>
                <w:szCs w:val="18"/>
              </w:rPr>
            </w:pPr>
            <w:r>
              <w:rPr>
                <w:sz w:val="18"/>
                <w:szCs w:val="18"/>
              </w:rPr>
              <w:t>股东性质</w:t>
            </w:r>
          </w:p>
        </w:tc>
        <w:tc>
          <w:tcPr>
            <w:tcW w:w="13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F579DA1">
            <w:pPr>
              <w:spacing w:before="40" w:after="40" w:line="240" w:lineRule="exact"/>
              <w:jc w:val="center"/>
              <w:rPr>
                <w:sz w:val="18"/>
                <w:szCs w:val="18"/>
              </w:rPr>
            </w:pPr>
            <w:r>
              <w:rPr>
                <w:sz w:val="18"/>
                <w:szCs w:val="18"/>
              </w:rPr>
              <w:t>持股比例</w:t>
            </w:r>
          </w:p>
        </w:tc>
        <w:tc>
          <w:tcPr>
            <w:tcW w:w="161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BA0F5ED">
            <w:pPr>
              <w:spacing w:before="40" w:after="40" w:line="240" w:lineRule="exact"/>
              <w:jc w:val="center"/>
              <w:rPr>
                <w:sz w:val="18"/>
                <w:szCs w:val="18"/>
              </w:rPr>
            </w:pPr>
            <w:r>
              <w:rPr>
                <w:sz w:val="18"/>
                <w:szCs w:val="18"/>
              </w:rPr>
              <w:t>持股数量</w:t>
            </w:r>
          </w:p>
        </w:tc>
        <w:tc>
          <w:tcPr>
            <w:tcW w:w="118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6786959">
            <w:pPr>
              <w:spacing w:before="40" w:after="40" w:line="240" w:lineRule="exact"/>
              <w:jc w:val="center"/>
              <w:rPr>
                <w:sz w:val="18"/>
                <w:szCs w:val="18"/>
              </w:rPr>
            </w:pPr>
            <w:r>
              <w:rPr>
                <w:sz w:val="18"/>
                <w:szCs w:val="18"/>
              </w:rPr>
              <w:t>持有有限售条件的股份数量</w:t>
            </w:r>
          </w:p>
        </w:tc>
        <w:tc>
          <w:tcPr>
            <w:tcW w:w="253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B9EDBC4">
            <w:pPr>
              <w:spacing w:before="40" w:after="40" w:line="240" w:lineRule="exact"/>
              <w:jc w:val="center"/>
              <w:rPr>
                <w:sz w:val="18"/>
                <w:szCs w:val="18"/>
              </w:rPr>
            </w:pPr>
            <w:r>
              <w:rPr>
                <w:sz w:val="18"/>
                <w:szCs w:val="18"/>
              </w:rPr>
              <w:t>质押、标记或冻结情况</w:t>
            </w:r>
          </w:p>
        </w:tc>
      </w:tr>
      <w:tr w14:paraId="037D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3BDED21"/>
        </w:tc>
        <w:tc>
          <w:tcPr>
            <w:tcW w:w="1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4AF2F76"/>
        </w:tc>
        <w:tc>
          <w:tcPr>
            <w:tcW w:w="13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E2F4D84"/>
        </w:tc>
        <w:tc>
          <w:tcPr>
            <w:tcW w:w="161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F3DE75D"/>
        </w:tc>
        <w:tc>
          <w:tcPr>
            <w:tcW w:w="118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CA4D5B7"/>
        </w:tc>
        <w:tc>
          <w:tcPr>
            <w:tcW w:w="1437" w:type="dxa"/>
            <w:tcBorders>
              <w:top w:val="single" w:color="auto" w:sz="2" w:space="0"/>
              <w:left w:val="single" w:color="auto" w:sz="2" w:space="0"/>
              <w:bottom w:val="single" w:color="auto" w:sz="2" w:space="0"/>
              <w:right w:val="single" w:color="auto" w:sz="2" w:space="0"/>
            </w:tcBorders>
            <w:shd w:val="clear" w:color="auto" w:fill="D3D3D3"/>
            <w:vAlign w:val="center"/>
          </w:tcPr>
          <w:p w14:paraId="144140F4">
            <w:pPr>
              <w:spacing w:before="40" w:after="40" w:line="240" w:lineRule="exact"/>
              <w:jc w:val="center"/>
              <w:rPr>
                <w:sz w:val="18"/>
                <w:szCs w:val="18"/>
              </w:rPr>
            </w:pPr>
            <w:r>
              <w:rPr>
                <w:sz w:val="18"/>
                <w:szCs w:val="18"/>
              </w:rPr>
              <w:t>股份状态</w:t>
            </w:r>
          </w:p>
        </w:tc>
        <w:tc>
          <w:tcPr>
            <w:tcW w:w="1101" w:type="dxa"/>
            <w:tcBorders>
              <w:top w:val="single" w:color="auto" w:sz="2" w:space="0"/>
              <w:left w:val="single" w:color="auto" w:sz="2" w:space="0"/>
              <w:bottom w:val="single" w:color="auto" w:sz="2" w:space="0"/>
              <w:right w:val="single" w:color="auto" w:sz="2" w:space="0"/>
            </w:tcBorders>
            <w:shd w:val="clear" w:color="auto" w:fill="D3D3D3"/>
            <w:vAlign w:val="center"/>
          </w:tcPr>
          <w:p w14:paraId="2F4D1CF6">
            <w:pPr>
              <w:spacing w:before="40" w:after="40" w:line="240" w:lineRule="exact"/>
              <w:jc w:val="center"/>
              <w:rPr>
                <w:sz w:val="18"/>
                <w:szCs w:val="18"/>
              </w:rPr>
            </w:pPr>
            <w:r>
              <w:rPr>
                <w:sz w:val="18"/>
                <w:szCs w:val="18"/>
              </w:rPr>
              <w:t>数量</w:t>
            </w:r>
          </w:p>
        </w:tc>
      </w:tr>
      <w:tr w14:paraId="19B94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7B1CFBA0">
            <w:pPr>
              <w:spacing w:line="240" w:lineRule="exact"/>
              <w:jc w:val="left"/>
              <w:rPr>
                <w:sz w:val="18"/>
                <w:szCs w:val="18"/>
              </w:rPr>
            </w:pPr>
            <w:r>
              <w:rPr>
                <w:sz w:val="18"/>
                <w:szCs w:val="18"/>
              </w:rPr>
              <w:t>北京世纪天富创业投资中心（有限合伙）</w:t>
            </w:r>
          </w:p>
        </w:tc>
        <w:tc>
          <w:tcPr>
            <w:tcW w:w="1563" w:type="dxa"/>
            <w:tcBorders>
              <w:top w:val="single" w:color="auto" w:sz="2" w:space="0"/>
              <w:left w:val="single" w:color="auto" w:sz="2" w:space="0"/>
              <w:bottom w:val="single" w:color="auto" w:sz="2" w:space="0"/>
              <w:right w:val="single" w:color="auto" w:sz="2" w:space="0"/>
            </w:tcBorders>
            <w:vAlign w:val="center"/>
          </w:tcPr>
          <w:p w14:paraId="42C05011">
            <w:pPr>
              <w:spacing w:line="240" w:lineRule="exact"/>
              <w:jc w:val="left"/>
              <w:rPr>
                <w:sz w:val="18"/>
                <w:szCs w:val="18"/>
              </w:rPr>
            </w:pPr>
            <w:r>
              <w:rPr>
                <w:sz w:val="18"/>
                <w:szCs w:val="18"/>
              </w:rPr>
              <w:t>境内非国有法人</w:t>
            </w:r>
          </w:p>
        </w:tc>
        <w:tc>
          <w:tcPr>
            <w:tcW w:w="1375" w:type="dxa"/>
            <w:tcBorders>
              <w:top w:val="single" w:color="auto" w:sz="2" w:space="0"/>
              <w:left w:val="single" w:color="auto" w:sz="2" w:space="0"/>
              <w:bottom w:val="single" w:color="auto" w:sz="2" w:space="0"/>
              <w:right w:val="single" w:color="auto" w:sz="2" w:space="0"/>
            </w:tcBorders>
            <w:vAlign w:val="center"/>
          </w:tcPr>
          <w:p w14:paraId="1AFA639D">
            <w:pPr>
              <w:spacing w:line="240" w:lineRule="exact"/>
              <w:jc w:val="right"/>
              <w:rPr>
                <w:sz w:val="18"/>
                <w:szCs w:val="18"/>
              </w:rPr>
            </w:pPr>
            <w:r>
              <w:rPr>
                <w:sz w:val="18"/>
                <w:szCs w:val="18"/>
              </w:rPr>
              <w:t>13.58%</w:t>
            </w:r>
          </w:p>
        </w:tc>
        <w:tc>
          <w:tcPr>
            <w:tcW w:w="1612" w:type="dxa"/>
            <w:tcBorders>
              <w:top w:val="single" w:color="auto" w:sz="2" w:space="0"/>
              <w:left w:val="single" w:color="auto" w:sz="2" w:space="0"/>
              <w:bottom w:val="single" w:color="auto" w:sz="2" w:space="0"/>
              <w:right w:val="single" w:color="auto" w:sz="2" w:space="0"/>
            </w:tcBorders>
            <w:vAlign w:val="center"/>
          </w:tcPr>
          <w:p w14:paraId="2BFA4B1C">
            <w:pPr>
              <w:spacing w:line="240" w:lineRule="exact"/>
              <w:jc w:val="right"/>
              <w:rPr>
                <w:sz w:val="18"/>
                <w:szCs w:val="18"/>
              </w:rPr>
            </w:pPr>
            <w:r>
              <w:rPr>
                <w:sz w:val="18"/>
                <w:szCs w:val="18"/>
              </w:rPr>
              <w:t>36,016,266</w:t>
            </w:r>
          </w:p>
        </w:tc>
        <w:tc>
          <w:tcPr>
            <w:tcW w:w="1188" w:type="dxa"/>
            <w:tcBorders>
              <w:top w:val="single" w:color="auto" w:sz="2" w:space="0"/>
              <w:left w:val="single" w:color="auto" w:sz="2" w:space="0"/>
              <w:bottom w:val="single" w:color="auto" w:sz="2" w:space="0"/>
              <w:right w:val="single" w:color="auto" w:sz="2" w:space="0"/>
            </w:tcBorders>
            <w:vAlign w:val="center"/>
          </w:tcPr>
          <w:p w14:paraId="5F01DB95">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22A7D887">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6BC93584">
            <w:pPr>
              <w:spacing w:line="240" w:lineRule="exact"/>
              <w:jc w:val="right"/>
              <w:rPr>
                <w:sz w:val="18"/>
                <w:szCs w:val="18"/>
              </w:rPr>
            </w:pPr>
            <w:r>
              <w:rPr>
                <w:sz w:val="18"/>
                <w:szCs w:val="18"/>
              </w:rPr>
              <w:t>0</w:t>
            </w:r>
          </w:p>
        </w:tc>
      </w:tr>
      <w:tr w14:paraId="7260E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7377A75D">
            <w:pPr>
              <w:spacing w:line="240" w:lineRule="exact"/>
              <w:jc w:val="left"/>
              <w:rPr>
                <w:sz w:val="18"/>
                <w:szCs w:val="18"/>
              </w:rPr>
            </w:pPr>
            <w:r>
              <w:rPr>
                <w:sz w:val="18"/>
                <w:szCs w:val="18"/>
              </w:rPr>
              <w:t>北京天佑瑞元医药科技有限公司</w:t>
            </w:r>
          </w:p>
        </w:tc>
        <w:tc>
          <w:tcPr>
            <w:tcW w:w="1563" w:type="dxa"/>
            <w:tcBorders>
              <w:top w:val="single" w:color="auto" w:sz="2" w:space="0"/>
              <w:left w:val="single" w:color="auto" w:sz="2" w:space="0"/>
              <w:bottom w:val="single" w:color="auto" w:sz="2" w:space="0"/>
              <w:right w:val="single" w:color="auto" w:sz="2" w:space="0"/>
            </w:tcBorders>
            <w:vAlign w:val="center"/>
          </w:tcPr>
          <w:p w14:paraId="74A6B9C1">
            <w:pPr>
              <w:spacing w:line="240" w:lineRule="exact"/>
              <w:jc w:val="left"/>
              <w:rPr>
                <w:sz w:val="18"/>
                <w:szCs w:val="18"/>
              </w:rPr>
            </w:pPr>
            <w:r>
              <w:rPr>
                <w:sz w:val="18"/>
                <w:szCs w:val="18"/>
              </w:rPr>
              <w:t>境内非国有法人</w:t>
            </w:r>
          </w:p>
        </w:tc>
        <w:tc>
          <w:tcPr>
            <w:tcW w:w="1375" w:type="dxa"/>
            <w:tcBorders>
              <w:top w:val="single" w:color="auto" w:sz="2" w:space="0"/>
              <w:left w:val="single" w:color="auto" w:sz="2" w:space="0"/>
              <w:bottom w:val="single" w:color="auto" w:sz="2" w:space="0"/>
              <w:right w:val="single" w:color="auto" w:sz="2" w:space="0"/>
            </w:tcBorders>
            <w:vAlign w:val="center"/>
          </w:tcPr>
          <w:p w14:paraId="0B59AD25">
            <w:pPr>
              <w:spacing w:line="240" w:lineRule="exact"/>
              <w:jc w:val="right"/>
              <w:rPr>
                <w:sz w:val="18"/>
                <w:szCs w:val="18"/>
              </w:rPr>
            </w:pPr>
            <w:r>
              <w:rPr>
                <w:sz w:val="18"/>
                <w:szCs w:val="18"/>
              </w:rPr>
              <w:t>6.44%</w:t>
            </w:r>
          </w:p>
        </w:tc>
        <w:tc>
          <w:tcPr>
            <w:tcW w:w="1612" w:type="dxa"/>
            <w:tcBorders>
              <w:top w:val="single" w:color="auto" w:sz="2" w:space="0"/>
              <w:left w:val="single" w:color="auto" w:sz="2" w:space="0"/>
              <w:bottom w:val="single" w:color="auto" w:sz="2" w:space="0"/>
              <w:right w:val="single" w:color="auto" w:sz="2" w:space="0"/>
            </w:tcBorders>
            <w:vAlign w:val="center"/>
          </w:tcPr>
          <w:p w14:paraId="0FEDFD41">
            <w:pPr>
              <w:spacing w:line="240" w:lineRule="exact"/>
              <w:jc w:val="right"/>
              <w:rPr>
                <w:sz w:val="18"/>
                <w:szCs w:val="18"/>
              </w:rPr>
            </w:pPr>
            <w:r>
              <w:rPr>
                <w:sz w:val="18"/>
                <w:szCs w:val="18"/>
              </w:rPr>
              <w:t>17,084,822</w:t>
            </w:r>
          </w:p>
        </w:tc>
        <w:tc>
          <w:tcPr>
            <w:tcW w:w="1188" w:type="dxa"/>
            <w:tcBorders>
              <w:top w:val="single" w:color="auto" w:sz="2" w:space="0"/>
              <w:left w:val="single" w:color="auto" w:sz="2" w:space="0"/>
              <w:bottom w:val="single" w:color="auto" w:sz="2" w:space="0"/>
              <w:right w:val="single" w:color="auto" w:sz="2" w:space="0"/>
            </w:tcBorders>
            <w:vAlign w:val="center"/>
          </w:tcPr>
          <w:p w14:paraId="66B09669">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41FF85E3">
            <w:pPr>
              <w:spacing w:line="240" w:lineRule="exact"/>
              <w:jc w:val="center"/>
              <w:rPr>
                <w:sz w:val="18"/>
                <w:szCs w:val="18"/>
              </w:rPr>
            </w:pPr>
            <w:r>
              <w:rPr>
                <w:sz w:val="18"/>
                <w:szCs w:val="18"/>
              </w:rPr>
              <w:t>质押</w:t>
            </w:r>
          </w:p>
        </w:tc>
        <w:tc>
          <w:tcPr>
            <w:tcW w:w="1101" w:type="dxa"/>
            <w:tcBorders>
              <w:top w:val="single" w:color="auto" w:sz="2" w:space="0"/>
              <w:left w:val="single" w:color="auto" w:sz="2" w:space="0"/>
              <w:bottom w:val="single" w:color="auto" w:sz="2" w:space="0"/>
              <w:right w:val="single" w:color="auto" w:sz="2" w:space="0"/>
            </w:tcBorders>
            <w:vAlign w:val="center"/>
          </w:tcPr>
          <w:p w14:paraId="60D8F313">
            <w:pPr>
              <w:spacing w:line="240" w:lineRule="exact"/>
              <w:jc w:val="right"/>
              <w:rPr>
                <w:sz w:val="18"/>
                <w:szCs w:val="18"/>
              </w:rPr>
            </w:pPr>
            <w:r>
              <w:rPr>
                <w:sz w:val="18"/>
                <w:szCs w:val="18"/>
              </w:rPr>
              <w:t>17,084,822</w:t>
            </w:r>
          </w:p>
        </w:tc>
      </w:tr>
      <w:tr w14:paraId="2E809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3AB8328C">
            <w:pPr>
              <w:spacing w:line="240" w:lineRule="exact"/>
              <w:jc w:val="left"/>
              <w:rPr>
                <w:sz w:val="18"/>
                <w:szCs w:val="18"/>
              </w:rPr>
            </w:pPr>
            <w:r>
              <w:rPr>
                <w:sz w:val="18"/>
                <w:szCs w:val="18"/>
              </w:rPr>
              <w:t>西藏金淦企业管理咨询有限公司</w:t>
            </w:r>
          </w:p>
        </w:tc>
        <w:tc>
          <w:tcPr>
            <w:tcW w:w="1563" w:type="dxa"/>
            <w:tcBorders>
              <w:top w:val="single" w:color="auto" w:sz="2" w:space="0"/>
              <w:left w:val="single" w:color="auto" w:sz="2" w:space="0"/>
              <w:bottom w:val="single" w:color="auto" w:sz="2" w:space="0"/>
              <w:right w:val="single" w:color="auto" w:sz="2" w:space="0"/>
            </w:tcBorders>
            <w:vAlign w:val="center"/>
          </w:tcPr>
          <w:p w14:paraId="24504135">
            <w:pPr>
              <w:spacing w:line="240" w:lineRule="exact"/>
              <w:jc w:val="left"/>
              <w:rPr>
                <w:sz w:val="18"/>
                <w:szCs w:val="18"/>
              </w:rPr>
            </w:pPr>
            <w:r>
              <w:rPr>
                <w:sz w:val="18"/>
                <w:szCs w:val="18"/>
              </w:rPr>
              <w:t>境内非国有法人</w:t>
            </w:r>
          </w:p>
        </w:tc>
        <w:tc>
          <w:tcPr>
            <w:tcW w:w="1375" w:type="dxa"/>
            <w:tcBorders>
              <w:top w:val="single" w:color="auto" w:sz="2" w:space="0"/>
              <w:left w:val="single" w:color="auto" w:sz="2" w:space="0"/>
              <w:bottom w:val="single" w:color="auto" w:sz="2" w:space="0"/>
              <w:right w:val="single" w:color="auto" w:sz="2" w:space="0"/>
            </w:tcBorders>
            <w:vAlign w:val="center"/>
          </w:tcPr>
          <w:p w14:paraId="2CFFC223">
            <w:pPr>
              <w:spacing w:line="240" w:lineRule="exact"/>
              <w:jc w:val="right"/>
              <w:rPr>
                <w:sz w:val="18"/>
                <w:szCs w:val="18"/>
              </w:rPr>
            </w:pPr>
            <w:r>
              <w:rPr>
                <w:sz w:val="18"/>
                <w:szCs w:val="18"/>
              </w:rPr>
              <w:t>3.77%</w:t>
            </w:r>
          </w:p>
        </w:tc>
        <w:tc>
          <w:tcPr>
            <w:tcW w:w="1612" w:type="dxa"/>
            <w:tcBorders>
              <w:top w:val="single" w:color="auto" w:sz="2" w:space="0"/>
              <w:left w:val="single" w:color="auto" w:sz="2" w:space="0"/>
              <w:bottom w:val="single" w:color="auto" w:sz="2" w:space="0"/>
              <w:right w:val="single" w:color="auto" w:sz="2" w:space="0"/>
            </w:tcBorders>
            <w:vAlign w:val="center"/>
          </w:tcPr>
          <w:p w14:paraId="0047363B">
            <w:pPr>
              <w:spacing w:line="240" w:lineRule="exact"/>
              <w:jc w:val="right"/>
              <w:rPr>
                <w:sz w:val="18"/>
                <w:szCs w:val="18"/>
              </w:rPr>
            </w:pPr>
            <w:r>
              <w:rPr>
                <w:sz w:val="18"/>
                <w:szCs w:val="18"/>
              </w:rPr>
              <w:t>10,000,000</w:t>
            </w:r>
          </w:p>
        </w:tc>
        <w:tc>
          <w:tcPr>
            <w:tcW w:w="1188" w:type="dxa"/>
            <w:tcBorders>
              <w:top w:val="single" w:color="auto" w:sz="2" w:space="0"/>
              <w:left w:val="single" w:color="auto" w:sz="2" w:space="0"/>
              <w:bottom w:val="single" w:color="auto" w:sz="2" w:space="0"/>
              <w:right w:val="single" w:color="auto" w:sz="2" w:space="0"/>
            </w:tcBorders>
            <w:vAlign w:val="center"/>
          </w:tcPr>
          <w:p w14:paraId="33C1A605">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3053F008">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268AEC72">
            <w:pPr>
              <w:spacing w:line="240" w:lineRule="exact"/>
              <w:jc w:val="right"/>
              <w:rPr>
                <w:sz w:val="18"/>
                <w:szCs w:val="18"/>
              </w:rPr>
            </w:pPr>
            <w:r>
              <w:rPr>
                <w:sz w:val="18"/>
                <w:szCs w:val="18"/>
              </w:rPr>
              <w:t>0</w:t>
            </w:r>
          </w:p>
        </w:tc>
      </w:tr>
      <w:tr w14:paraId="794C8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vMerge w:val="restart"/>
            <w:tcBorders>
              <w:top w:val="single" w:color="auto" w:sz="2" w:space="0"/>
              <w:left w:val="single" w:color="auto" w:sz="2" w:space="0"/>
              <w:bottom w:val="single" w:color="auto" w:sz="2" w:space="0"/>
              <w:right w:val="single" w:color="auto" w:sz="2" w:space="0"/>
            </w:tcBorders>
            <w:vAlign w:val="center"/>
          </w:tcPr>
          <w:p w14:paraId="78D2D8A9">
            <w:pPr>
              <w:spacing w:line="240" w:lineRule="exact"/>
              <w:jc w:val="left"/>
              <w:rPr>
                <w:sz w:val="18"/>
                <w:szCs w:val="18"/>
              </w:rPr>
            </w:pPr>
            <w:r>
              <w:rPr>
                <w:sz w:val="18"/>
                <w:szCs w:val="18"/>
              </w:rPr>
              <w:t>广东知光生物科技有限公司</w:t>
            </w:r>
          </w:p>
        </w:tc>
        <w:tc>
          <w:tcPr>
            <w:tcW w:w="1563" w:type="dxa"/>
            <w:vMerge w:val="restart"/>
            <w:tcBorders>
              <w:top w:val="single" w:color="auto" w:sz="2" w:space="0"/>
              <w:left w:val="single" w:color="auto" w:sz="2" w:space="0"/>
              <w:bottom w:val="single" w:color="auto" w:sz="2" w:space="0"/>
              <w:right w:val="single" w:color="auto" w:sz="2" w:space="0"/>
            </w:tcBorders>
            <w:vAlign w:val="center"/>
          </w:tcPr>
          <w:p w14:paraId="73D16B6C">
            <w:pPr>
              <w:spacing w:line="240" w:lineRule="exact"/>
              <w:jc w:val="left"/>
              <w:rPr>
                <w:sz w:val="18"/>
                <w:szCs w:val="18"/>
              </w:rPr>
            </w:pPr>
            <w:r>
              <w:rPr>
                <w:sz w:val="18"/>
                <w:szCs w:val="18"/>
              </w:rPr>
              <w:t>境内非国有法人</w:t>
            </w:r>
          </w:p>
        </w:tc>
        <w:tc>
          <w:tcPr>
            <w:tcW w:w="1375" w:type="dxa"/>
            <w:vMerge w:val="restart"/>
            <w:tcBorders>
              <w:top w:val="single" w:color="auto" w:sz="2" w:space="0"/>
              <w:left w:val="single" w:color="auto" w:sz="2" w:space="0"/>
              <w:bottom w:val="single" w:color="auto" w:sz="2" w:space="0"/>
              <w:right w:val="single" w:color="auto" w:sz="2" w:space="0"/>
            </w:tcBorders>
            <w:vAlign w:val="center"/>
          </w:tcPr>
          <w:p w14:paraId="310A03C6">
            <w:pPr>
              <w:spacing w:line="240" w:lineRule="exact"/>
              <w:jc w:val="right"/>
              <w:rPr>
                <w:sz w:val="18"/>
                <w:szCs w:val="18"/>
              </w:rPr>
            </w:pPr>
            <w:r>
              <w:rPr>
                <w:sz w:val="18"/>
                <w:szCs w:val="18"/>
              </w:rPr>
              <w:t>2.76%</w:t>
            </w:r>
          </w:p>
        </w:tc>
        <w:tc>
          <w:tcPr>
            <w:tcW w:w="1612" w:type="dxa"/>
            <w:vMerge w:val="restart"/>
            <w:tcBorders>
              <w:top w:val="single" w:color="auto" w:sz="2" w:space="0"/>
              <w:left w:val="single" w:color="auto" w:sz="2" w:space="0"/>
              <w:bottom w:val="single" w:color="auto" w:sz="2" w:space="0"/>
              <w:right w:val="single" w:color="auto" w:sz="2" w:space="0"/>
            </w:tcBorders>
            <w:vAlign w:val="center"/>
          </w:tcPr>
          <w:p w14:paraId="09FD99E7">
            <w:pPr>
              <w:spacing w:line="240" w:lineRule="exact"/>
              <w:jc w:val="right"/>
              <w:rPr>
                <w:sz w:val="18"/>
                <w:szCs w:val="18"/>
              </w:rPr>
            </w:pPr>
            <w:r>
              <w:rPr>
                <w:sz w:val="18"/>
                <w:szCs w:val="18"/>
              </w:rPr>
              <w:t>7,310,000</w:t>
            </w:r>
          </w:p>
        </w:tc>
        <w:tc>
          <w:tcPr>
            <w:tcW w:w="1188" w:type="dxa"/>
            <w:vMerge w:val="restart"/>
            <w:tcBorders>
              <w:top w:val="single" w:color="auto" w:sz="2" w:space="0"/>
              <w:left w:val="single" w:color="auto" w:sz="2" w:space="0"/>
              <w:bottom w:val="single" w:color="auto" w:sz="2" w:space="0"/>
              <w:right w:val="single" w:color="auto" w:sz="2" w:space="0"/>
            </w:tcBorders>
            <w:vAlign w:val="center"/>
          </w:tcPr>
          <w:p w14:paraId="498DE924">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30A75B5E">
            <w:pPr>
              <w:spacing w:line="240" w:lineRule="exact"/>
              <w:jc w:val="center"/>
              <w:rPr>
                <w:sz w:val="18"/>
                <w:szCs w:val="18"/>
              </w:rPr>
            </w:pPr>
            <w:r>
              <w:rPr>
                <w:sz w:val="18"/>
                <w:szCs w:val="18"/>
              </w:rPr>
              <w:t>质押</w:t>
            </w:r>
          </w:p>
        </w:tc>
        <w:tc>
          <w:tcPr>
            <w:tcW w:w="1101" w:type="dxa"/>
            <w:tcBorders>
              <w:top w:val="single" w:color="auto" w:sz="2" w:space="0"/>
              <w:left w:val="single" w:color="auto" w:sz="2" w:space="0"/>
              <w:bottom w:val="single" w:color="auto" w:sz="2" w:space="0"/>
              <w:right w:val="single" w:color="auto" w:sz="2" w:space="0"/>
            </w:tcBorders>
            <w:vAlign w:val="center"/>
          </w:tcPr>
          <w:p w14:paraId="423E4F54">
            <w:pPr>
              <w:spacing w:line="240" w:lineRule="exact"/>
              <w:jc w:val="right"/>
              <w:rPr>
                <w:sz w:val="18"/>
                <w:szCs w:val="18"/>
              </w:rPr>
            </w:pPr>
            <w:r>
              <w:rPr>
                <w:sz w:val="18"/>
                <w:szCs w:val="18"/>
              </w:rPr>
              <w:t>7,310,000</w:t>
            </w:r>
          </w:p>
        </w:tc>
      </w:tr>
      <w:tr w14:paraId="2E82F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vMerge w:val="continue"/>
            <w:tcBorders>
              <w:top w:val="single" w:color="auto" w:sz="2" w:space="0"/>
              <w:left w:val="single" w:color="auto" w:sz="2" w:space="0"/>
              <w:bottom w:val="single" w:color="auto" w:sz="2" w:space="0"/>
              <w:right w:val="single" w:color="auto" w:sz="2" w:space="0"/>
            </w:tcBorders>
            <w:vAlign w:val="center"/>
          </w:tcPr>
          <w:p w14:paraId="6CFF130C">
            <w:pPr>
              <w:spacing w:line="240" w:lineRule="exact"/>
              <w:jc w:val="left"/>
              <w:rPr>
                <w:sz w:val="18"/>
                <w:szCs w:val="18"/>
              </w:rPr>
            </w:pPr>
            <w:r>
              <w:rPr>
                <w:sz w:val="18"/>
                <w:szCs w:val="18"/>
              </w:rPr>
              <w:t>广东知光生物科技有限公司</w:t>
            </w:r>
          </w:p>
        </w:tc>
        <w:tc>
          <w:tcPr>
            <w:tcW w:w="1563" w:type="dxa"/>
            <w:vMerge w:val="continue"/>
            <w:tcBorders>
              <w:top w:val="single" w:color="auto" w:sz="2" w:space="0"/>
              <w:left w:val="single" w:color="auto" w:sz="2" w:space="0"/>
              <w:bottom w:val="single" w:color="auto" w:sz="2" w:space="0"/>
              <w:right w:val="single" w:color="auto" w:sz="2" w:space="0"/>
            </w:tcBorders>
            <w:vAlign w:val="center"/>
          </w:tcPr>
          <w:p w14:paraId="5EBD8F5C">
            <w:pPr>
              <w:spacing w:line="240" w:lineRule="exact"/>
              <w:jc w:val="left"/>
              <w:rPr>
                <w:sz w:val="18"/>
                <w:szCs w:val="18"/>
              </w:rPr>
            </w:pPr>
            <w:r>
              <w:rPr>
                <w:sz w:val="18"/>
                <w:szCs w:val="18"/>
              </w:rPr>
              <w:t>境内非国有法人</w:t>
            </w:r>
          </w:p>
        </w:tc>
        <w:tc>
          <w:tcPr>
            <w:tcW w:w="1375" w:type="dxa"/>
            <w:vMerge w:val="continue"/>
            <w:tcBorders>
              <w:top w:val="single" w:color="auto" w:sz="2" w:space="0"/>
              <w:left w:val="single" w:color="auto" w:sz="2" w:space="0"/>
              <w:bottom w:val="single" w:color="auto" w:sz="2" w:space="0"/>
              <w:right w:val="single" w:color="auto" w:sz="2" w:space="0"/>
            </w:tcBorders>
            <w:vAlign w:val="center"/>
          </w:tcPr>
          <w:p w14:paraId="4557BBFD">
            <w:pPr>
              <w:spacing w:line="240" w:lineRule="exact"/>
              <w:jc w:val="right"/>
              <w:rPr>
                <w:sz w:val="18"/>
                <w:szCs w:val="18"/>
              </w:rPr>
            </w:pPr>
            <w:r>
              <w:rPr>
                <w:sz w:val="18"/>
                <w:szCs w:val="18"/>
              </w:rPr>
              <w:t>2.76%</w:t>
            </w:r>
          </w:p>
        </w:tc>
        <w:tc>
          <w:tcPr>
            <w:tcW w:w="1612" w:type="dxa"/>
            <w:vMerge w:val="continue"/>
            <w:tcBorders>
              <w:top w:val="single" w:color="auto" w:sz="2" w:space="0"/>
              <w:left w:val="single" w:color="auto" w:sz="2" w:space="0"/>
              <w:bottom w:val="single" w:color="auto" w:sz="2" w:space="0"/>
              <w:right w:val="single" w:color="auto" w:sz="2" w:space="0"/>
            </w:tcBorders>
            <w:vAlign w:val="center"/>
          </w:tcPr>
          <w:p w14:paraId="445AA6AF">
            <w:pPr>
              <w:spacing w:line="240" w:lineRule="exact"/>
              <w:jc w:val="right"/>
              <w:rPr>
                <w:sz w:val="18"/>
                <w:szCs w:val="18"/>
              </w:rPr>
            </w:pPr>
            <w:r>
              <w:rPr>
                <w:sz w:val="18"/>
                <w:szCs w:val="18"/>
              </w:rPr>
              <w:t>7,310,000</w:t>
            </w:r>
          </w:p>
        </w:tc>
        <w:tc>
          <w:tcPr>
            <w:tcW w:w="1188" w:type="dxa"/>
            <w:vMerge w:val="continue"/>
            <w:tcBorders>
              <w:top w:val="single" w:color="auto" w:sz="2" w:space="0"/>
              <w:left w:val="single" w:color="auto" w:sz="2" w:space="0"/>
              <w:bottom w:val="single" w:color="auto" w:sz="2" w:space="0"/>
              <w:right w:val="single" w:color="auto" w:sz="2" w:space="0"/>
            </w:tcBorders>
            <w:vAlign w:val="center"/>
          </w:tcPr>
          <w:p w14:paraId="62AC68A0">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7635A1F3">
            <w:pPr>
              <w:spacing w:line="240" w:lineRule="exact"/>
              <w:jc w:val="center"/>
              <w:rPr>
                <w:sz w:val="18"/>
                <w:szCs w:val="18"/>
              </w:rPr>
            </w:pPr>
            <w:r>
              <w:rPr>
                <w:sz w:val="18"/>
                <w:szCs w:val="18"/>
              </w:rPr>
              <w:t>冻结</w:t>
            </w:r>
          </w:p>
        </w:tc>
        <w:tc>
          <w:tcPr>
            <w:tcW w:w="1101" w:type="dxa"/>
            <w:tcBorders>
              <w:top w:val="single" w:color="auto" w:sz="2" w:space="0"/>
              <w:left w:val="single" w:color="auto" w:sz="2" w:space="0"/>
              <w:bottom w:val="single" w:color="auto" w:sz="2" w:space="0"/>
              <w:right w:val="single" w:color="auto" w:sz="2" w:space="0"/>
            </w:tcBorders>
            <w:vAlign w:val="center"/>
          </w:tcPr>
          <w:p w14:paraId="33C0B6C3">
            <w:pPr>
              <w:spacing w:line="240" w:lineRule="exact"/>
              <w:jc w:val="right"/>
              <w:rPr>
                <w:sz w:val="18"/>
                <w:szCs w:val="18"/>
              </w:rPr>
            </w:pPr>
            <w:r>
              <w:rPr>
                <w:sz w:val="18"/>
                <w:szCs w:val="18"/>
              </w:rPr>
              <w:t>7,310,000</w:t>
            </w:r>
          </w:p>
        </w:tc>
      </w:tr>
      <w:tr w14:paraId="6E451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001FA8CF">
            <w:pPr>
              <w:spacing w:line="240" w:lineRule="exact"/>
              <w:jc w:val="left"/>
              <w:rPr>
                <w:sz w:val="18"/>
                <w:szCs w:val="18"/>
              </w:rPr>
            </w:pPr>
            <w:r>
              <w:rPr>
                <w:sz w:val="18"/>
                <w:szCs w:val="18"/>
              </w:rPr>
              <w:t>蒋仕波</w:t>
            </w:r>
          </w:p>
        </w:tc>
        <w:tc>
          <w:tcPr>
            <w:tcW w:w="1563" w:type="dxa"/>
            <w:tcBorders>
              <w:top w:val="single" w:color="auto" w:sz="2" w:space="0"/>
              <w:left w:val="single" w:color="auto" w:sz="2" w:space="0"/>
              <w:bottom w:val="single" w:color="auto" w:sz="2" w:space="0"/>
              <w:right w:val="single" w:color="auto" w:sz="2" w:space="0"/>
            </w:tcBorders>
            <w:vAlign w:val="center"/>
          </w:tcPr>
          <w:p w14:paraId="3310DFEE">
            <w:pPr>
              <w:spacing w:line="240" w:lineRule="exact"/>
              <w:jc w:val="left"/>
              <w:rPr>
                <w:sz w:val="18"/>
                <w:szCs w:val="18"/>
              </w:rPr>
            </w:pPr>
            <w:r>
              <w:rPr>
                <w:sz w:val="18"/>
                <w:szCs w:val="18"/>
              </w:rPr>
              <w:t>境内自然人</w:t>
            </w:r>
          </w:p>
        </w:tc>
        <w:tc>
          <w:tcPr>
            <w:tcW w:w="1375" w:type="dxa"/>
            <w:tcBorders>
              <w:top w:val="single" w:color="auto" w:sz="2" w:space="0"/>
              <w:left w:val="single" w:color="auto" w:sz="2" w:space="0"/>
              <w:bottom w:val="single" w:color="auto" w:sz="2" w:space="0"/>
              <w:right w:val="single" w:color="auto" w:sz="2" w:space="0"/>
            </w:tcBorders>
            <w:vAlign w:val="center"/>
          </w:tcPr>
          <w:p w14:paraId="208B32C5">
            <w:pPr>
              <w:spacing w:line="240" w:lineRule="exact"/>
              <w:jc w:val="right"/>
              <w:rPr>
                <w:sz w:val="18"/>
                <w:szCs w:val="18"/>
              </w:rPr>
            </w:pPr>
            <w:r>
              <w:rPr>
                <w:sz w:val="18"/>
                <w:szCs w:val="18"/>
              </w:rPr>
              <w:t>1.87%</w:t>
            </w:r>
          </w:p>
        </w:tc>
        <w:tc>
          <w:tcPr>
            <w:tcW w:w="1612" w:type="dxa"/>
            <w:tcBorders>
              <w:top w:val="single" w:color="auto" w:sz="2" w:space="0"/>
              <w:left w:val="single" w:color="auto" w:sz="2" w:space="0"/>
              <w:bottom w:val="single" w:color="auto" w:sz="2" w:space="0"/>
              <w:right w:val="single" w:color="auto" w:sz="2" w:space="0"/>
            </w:tcBorders>
            <w:vAlign w:val="center"/>
          </w:tcPr>
          <w:p w14:paraId="6AD7D5A4">
            <w:pPr>
              <w:spacing w:line="240" w:lineRule="exact"/>
              <w:jc w:val="right"/>
              <w:rPr>
                <w:sz w:val="18"/>
                <w:szCs w:val="18"/>
              </w:rPr>
            </w:pPr>
            <w:r>
              <w:rPr>
                <w:sz w:val="18"/>
                <w:szCs w:val="18"/>
              </w:rPr>
              <w:t>4,958,440</w:t>
            </w:r>
          </w:p>
        </w:tc>
        <w:tc>
          <w:tcPr>
            <w:tcW w:w="1188" w:type="dxa"/>
            <w:tcBorders>
              <w:top w:val="single" w:color="auto" w:sz="2" w:space="0"/>
              <w:left w:val="single" w:color="auto" w:sz="2" w:space="0"/>
              <w:bottom w:val="single" w:color="auto" w:sz="2" w:space="0"/>
              <w:right w:val="single" w:color="auto" w:sz="2" w:space="0"/>
            </w:tcBorders>
            <w:vAlign w:val="center"/>
          </w:tcPr>
          <w:p w14:paraId="416D6736">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3CC85643">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03B07167">
            <w:pPr>
              <w:spacing w:line="240" w:lineRule="exact"/>
              <w:jc w:val="right"/>
              <w:rPr>
                <w:sz w:val="18"/>
                <w:szCs w:val="18"/>
              </w:rPr>
            </w:pPr>
            <w:r>
              <w:rPr>
                <w:sz w:val="18"/>
                <w:szCs w:val="18"/>
              </w:rPr>
              <w:t>0</w:t>
            </w:r>
          </w:p>
        </w:tc>
      </w:tr>
      <w:tr w14:paraId="1C8BF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026B8A49">
            <w:pPr>
              <w:spacing w:line="240" w:lineRule="exact"/>
              <w:jc w:val="left"/>
              <w:rPr>
                <w:sz w:val="18"/>
                <w:szCs w:val="18"/>
              </w:rPr>
            </w:pPr>
            <w:r>
              <w:rPr>
                <w:sz w:val="18"/>
                <w:szCs w:val="18"/>
              </w:rPr>
              <w:t>兴宝国际信托有限责任公司－华融·汇盈32号证券投资单一资金信托</w:t>
            </w:r>
          </w:p>
        </w:tc>
        <w:tc>
          <w:tcPr>
            <w:tcW w:w="1563" w:type="dxa"/>
            <w:tcBorders>
              <w:top w:val="single" w:color="auto" w:sz="2" w:space="0"/>
              <w:left w:val="single" w:color="auto" w:sz="2" w:space="0"/>
              <w:bottom w:val="single" w:color="auto" w:sz="2" w:space="0"/>
              <w:right w:val="single" w:color="auto" w:sz="2" w:space="0"/>
            </w:tcBorders>
            <w:vAlign w:val="center"/>
          </w:tcPr>
          <w:p w14:paraId="0261B513">
            <w:pPr>
              <w:spacing w:line="240" w:lineRule="exact"/>
              <w:jc w:val="left"/>
              <w:rPr>
                <w:sz w:val="18"/>
                <w:szCs w:val="18"/>
              </w:rPr>
            </w:pPr>
            <w:r>
              <w:rPr>
                <w:sz w:val="18"/>
                <w:szCs w:val="18"/>
              </w:rPr>
              <w:t>其他</w:t>
            </w:r>
          </w:p>
        </w:tc>
        <w:tc>
          <w:tcPr>
            <w:tcW w:w="1375" w:type="dxa"/>
            <w:tcBorders>
              <w:top w:val="single" w:color="auto" w:sz="2" w:space="0"/>
              <w:left w:val="single" w:color="auto" w:sz="2" w:space="0"/>
              <w:bottom w:val="single" w:color="auto" w:sz="2" w:space="0"/>
              <w:right w:val="single" w:color="auto" w:sz="2" w:space="0"/>
            </w:tcBorders>
            <w:vAlign w:val="center"/>
          </w:tcPr>
          <w:p w14:paraId="1612150E">
            <w:pPr>
              <w:spacing w:line="240" w:lineRule="exact"/>
              <w:jc w:val="right"/>
              <w:rPr>
                <w:sz w:val="18"/>
                <w:szCs w:val="18"/>
              </w:rPr>
            </w:pPr>
            <w:r>
              <w:rPr>
                <w:sz w:val="18"/>
                <w:szCs w:val="18"/>
              </w:rPr>
              <w:t>1.55%</w:t>
            </w:r>
          </w:p>
        </w:tc>
        <w:tc>
          <w:tcPr>
            <w:tcW w:w="1612" w:type="dxa"/>
            <w:tcBorders>
              <w:top w:val="single" w:color="auto" w:sz="2" w:space="0"/>
              <w:left w:val="single" w:color="auto" w:sz="2" w:space="0"/>
              <w:bottom w:val="single" w:color="auto" w:sz="2" w:space="0"/>
              <w:right w:val="single" w:color="auto" w:sz="2" w:space="0"/>
            </w:tcBorders>
            <w:vAlign w:val="center"/>
          </w:tcPr>
          <w:p w14:paraId="3922710F">
            <w:pPr>
              <w:spacing w:line="240" w:lineRule="exact"/>
              <w:jc w:val="right"/>
              <w:rPr>
                <w:sz w:val="18"/>
                <w:szCs w:val="18"/>
              </w:rPr>
            </w:pPr>
            <w:r>
              <w:rPr>
                <w:sz w:val="18"/>
                <w:szCs w:val="18"/>
              </w:rPr>
              <w:t>4,110,000</w:t>
            </w:r>
          </w:p>
        </w:tc>
        <w:tc>
          <w:tcPr>
            <w:tcW w:w="1188" w:type="dxa"/>
            <w:tcBorders>
              <w:top w:val="single" w:color="auto" w:sz="2" w:space="0"/>
              <w:left w:val="single" w:color="auto" w:sz="2" w:space="0"/>
              <w:bottom w:val="single" w:color="auto" w:sz="2" w:space="0"/>
              <w:right w:val="single" w:color="auto" w:sz="2" w:space="0"/>
            </w:tcBorders>
            <w:vAlign w:val="center"/>
          </w:tcPr>
          <w:p w14:paraId="79C5BD8E">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780B1991">
            <w:pPr>
              <w:spacing w:line="240" w:lineRule="exact"/>
              <w:jc w:val="center"/>
              <w:rPr>
                <w:sz w:val="18"/>
                <w:szCs w:val="18"/>
              </w:rPr>
            </w:pPr>
            <w:r>
              <w:rPr>
                <w:sz w:val="18"/>
                <w:szCs w:val="18"/>
              </w:rPr>
              <w:t>不适用</w:t>
            </w:r>
            <w:bookmarkStart w:id="9" w:name="_GoBack"/>
            <w:bookmarkEnd w:id="9"/>
          </w:p>
        </w:tc>
        <w:tc>
          <w:tcPr>
            <w:tcW w:w="1101" w:type="dxa"/>
            <w:tcBorders>
              <w:top w:val="single" w:color="auto" w:sz="2" w:space="0"/>
              <w:left w:val="single" w:color="auto" w:sz="2" w:space="0"/>
              <w:bottom w:val="single" w:color="auto" w:sz="2" w:space="0"/>
              <w:right w:val="single" w:color="auto" w:sz="2" w:space="0"/>
            </w:tcBorders>
            <w:vAlign w:val="center"/>
          </w:tcPr>
          <w:p w14:paraId="5A9D2F52">
            <w:pPr>
              <w:spacing w:line="240" w:lineRule="exact"/>
              <w:jc w:val="right"/>
              <w:rPr>
                <w:sz w:val="18"/>
                <w:szCs w:val="18"/>
              </w:rPr>
            </w:pPr>
            <w:r>
              <w:rPr>
                <w:sz w:val="18"/>
                <w:szCs w:val="18"/>
              </w:rPr>
              <w:t>0</w:t>
            </w:r>
          </w:p>
        </w:tc>
      </w:tr>
      <w:tr w14:paraId="0E69E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0C2F6CAC">
            <w:pPr>
              <w:spacing w:line="240" w:lineRule="exact"/>
              <w:jc w:val="left"/>
              <w:rPr>
                <w:sz w:val="18"/>
                <w:szCs w:val="18"/>
              </w:rPr>
            </w:pPr>
            <w:r>
              <w:rPr>
                <w:sz w:val="18"/>
                <w:szCs w:val="18"/>
              </w:rPr>
              <w:t>万美琴</w:t>
            </w:r>
          </w:p>
        </w:tc>
        <w:tc>
          <w:tcPr>
            <w:tcW w:w="1563" w:type="dxa"/>
            <w:tcBorders>
              <w:top w:val="single" w:color="auto" w:sz="2" w:space="0"/>
              <w:left w:val="single" w:color="auto" w:sz="2" w:space="0"/>
              <w:bottom w:val="single" w:color="auto" w:sz="2" w:space="0"/>
              <w:right w:val="single" w:color="auto" w:sz="2" w:space="0"/>
            </w:tcBorders>
            <w:vAlign w:val="center"/>
          </w:tcPr>
          <w:p w14:paraId="716D4095">
            <w:pPr>
              <w:spacing w:line="240" w:lineRule="exact"/>
              <w:jc w:val="left"/>
              <w:rPr>
                <w:sz w:val="18"/>
                <w:szCs w:val="18"/>
              </w:rPr>
            </w:pPr>
            <w:r>
              <w:rPr>
                <w:sz w:val="18"/>
                <w:szCs w:val="18"/>
              </w:rPr>
              <w:t>境内自然人</w:t>
            </w:r>
          </w:p>
        </w:tc>
        <w:tc>
          <w:tcPr>
            <w:tcW w:w="1375" w:type="dxa"/>
            <w:tcBorders>
              <w:top w:val="single" w:color="auto" w:sz="2" w:space="0"/>
              <w:left w:val="single" w:color="auto" w:sz="2" w:space="0"/>
              <w:bottom w:val="single" w:color="auto" w:sz="2" w:space="0"/>
              <w:right w:val="single" w:color="auto" w:sz="2" w:space="0"/>
            </w:tcBorders>
            <w:vAlign w:val="center"/>
          </w:tcPr>
          <w:p w14:paraId="4AB795AD">
            <w:pPr>
              <w:spacing w:line="240" w:lineRule="exact"/>
              <w:jc w:val="right"/>
              <w:rPr>
                <w:sz w:val="18"/>
                <w:szCs w:val="18"/>
              </w:rPr>
            </w:pPr>
            <w:r>
              <w:rPr>
                <w:sz w:val="18"/>
                <w:szCs w:val="18"/>
              </w:rPr>
              <w:t>0.97%</w:t>
            </w:r>
          </w:p>
        </w:tc>
        <w:tc>
          <w:tcPr>
            <w:tcW w:w="1612" w:type="dxa"/>
            <w:tcBorders>
              <w:top w:val="single" w:color="auto" w:sz="2" w:space="0"/>
              <w:left w:val="single" w:color="auto" w:sz="2" w:space="0"/>
              <w:bottom w:val="single" w:color="auto" w:sz="2" w:space="0"/>
              <w:right w:val="single" w:color="auto" w:sz="2" w:space="0"/>
            </w:tcBorders>
            <w:vAlign w:val="center"/>
          </w:tcPr>
          <w:p w14:paraId="1BF451B9">
            <w:pPr>
              <w:spacing w:line="240" w:lineRule="exact"/>
              <w:jc w:val="right"/>
              <w:rPr>
                <w:sz w:val="18"/>
                <w:szCs w:val="18"/>
              </w:rPr>
            </w:pPr>
            <w:r>
              <w:rPr>
                <w:sz w:val="18"/>
                <w:szCs w:val="18"/>
              </w:rPr>
              <w:t>2,576,000</w:t>
            </w:r>
          </w:p>
        </w:tc>
        <w:tc>
          <w:tcPr>
            <w:tcW w:w="1188" w:type="dxa"/>
            <w:tcBorders>
              <w:top w:val="single" w:color="auto" w:sz="2" w:space="0"/>
              <w:left w:val="single" w:color="auto" w:sz="2" w:space="0"/>
              <w:bottom w:val="single" w:color="auto" w:sz="2" w:space="0"/>
              <w:right w:val="single" w:color="auto" w:sz="2" w:space="0"/>
            </w:tcBorders>
            <w:vAlign w:val="center"/>
          </w:tcPr>
          <w:p w14:paraId="5CD22E38">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0438D0CD">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6CFAB0C1">
            <w:pPr>
              <w:spacing w:line="240" w:lineRule="exact"/>
              <w:jc w:val="right"/>
              <w:rPr>
                <w:sz w:val="18"/>
                <w:szCs w:val="18"/>
              </w:rPr>
            </w:pPr>
            <w:r>
              <w:rPr>
                <w:sz w:val="18"/>
                <w:szCs w:val="18"/>
              </w:rPr>
              <w:t>0</w:t>
            </w:r>
          </w:p>
        </w:tc>
      </w:tr>
      <w:tr w14:paraId="14DA6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06D183EC">
            <w:pPr>
              <w:spacing w:line="240" w:lineRule="exact"/>
              <w:jc w:val="left"/>
              <w:rPr>
                <w:sz w:val="18"/>
                <w:szCs w:val="18"/>
              </w:rPr>
            </w:pPr>
            <w:r>
              <w:rPr>
                <w:sz w:val="18"/>
                <w:szCs w:val="18"/>
              </w:rPr>
              <w:t>BARCLAYS BANK PLC</w:t>
            </w:r>
          </w:p>
        </w:tc>
        <w:tc>
          <w:tcPr>
            <w:tcW w:w="1563" w:type="dxa"/>
            <w:tcBorders>
              <w:top w:val="single" w:color="auto" w:sz="2" w:space="0"/>
              <w:left w:val="single" w:color="auto" w:sz="2" w:space="0"/>
              <w:bottom w:val="single" w:color="auto" w:sz="2" w:space="0"/>
              <w:right w:val="single" w:color="auto" w:sz="2" w:space="0"/>
            </w:tcBorders>
            <w:vAlign w:val="center"/>
          </w:tcPr>
          <w:p w14:paraId="5AD91081">
            <w:pPr>
              <w:spacing w:line="240" w:lineRule="exact"/>
              <w:jc w:val="left"/>
              <w:rPr>
                <w:sz w:val="18"/>
                <w:szCs w:val="18"/>
              </w:rPr>
            </w:pPr>
            <w:r>
              <w:rPr>
                <w:sz w:val="18"/>
                <w:szCs w:val="18"/>
              </w:rPr>
              <w:t>境外法人</w:t>
            </w:r>
          </w:p>
        </w:tc>
        <w:tc>
          <w:tcPr>
            <w:tcW w:w="1375" w:type="dxa"/>
            <w:tcBorders>
              <w:top w:val="single" w:color="auto" w:sz="2" w:space="0"/>
              <w:left w:val="single" w:color="auto" w:sz="2" w:space="0"/>
              <w:bottom w:val="single" w:color="auto" w:sz="2" w:space="0"/>
              <w:right w:val="single" w:color="auto" w:sz="2" w:space="0"/>
            </w:tcBorders>
            <w:vAlign w:val="center"/>
          </w:tcPr>
          <w:p w14:paraId="19696919">
            <w:pPr>
              <w:spacing w:line="240" w:lineRule="exact"/>
              <w:jc w:val="right"/>
              <w:rPr>
                <w:sz w:val="18"/>
                <w:szCs w:val="18"/>
              </w:rPr>
            </w:pPr>
            <w:r>
              <w:rPr>
                <w:sz w:val="18"/>
                <w:szCs w:val="18"/>
              </w:rPr>
              <w:t>0.72%</w:t>
            </w:r>
          </w:p>
        </w:tc>
        <w:tc>
          <w:tcPr>
            <w:tcW w:w="1612" w:type="dxa"/>
            <w:tcBorders>
              <w:top w:val="single" w:color="auto" w:sz="2" w:space="0"/>
              <w:left w:val="single" w:color="auto" w:sz="2" w:space="0"/>
              <w:bottom w:val="single" w:color="auto" w:sz="2" w:space="0"/>
              <w:right w:val="single" w:color="auto" w:sz="2" w:space="0"/>
            </w:tcBorders>
            <w:vAlign w:val="center"/>
          </w:tcPr>
          <w:p w14:paraId="29021B8A">
            <w:pPr>
              <w:spacing w:line="240" w:lineRule="exact"/>
              <w:jc w:val="right"/>
              <w:rPr>
                <w:sz w:val="18"/>
                <w:szCs w:val="18"/>
              </w:rPr>
            </w:pPr>
            <w:r>
              <w:rPr>
                <w:sz w:val="18"/>
                <w:szCs w:val="18"/>
              </w:rPr>
              <w:t>1,917,044</w:t>
            </w:r>
          </w:p>
        </w:tc>
        <w:tc>
          <w:tcPr>
            <w:tcW w:w="1188" w:type="dxa"/>
            <w:tcBorders>
              <w:top w:val="single" w:color="auto" w:sz="2" w:space="0"/>
              <w:left w:val="single" w:color="auto" w:sz="2" w:space="0"/>
              <w:bottom w:val="single" w:color="auto" w:sz="2" w:space="0"/>
              <w:right w:val="single" w:color="auto" w:sz="2" w:space="0"/>
            </w:tcBorders>
            <w:vAlign w:val="center"/>
          </w:tcPr>
          <w:p w14:paraId="4B0485E1">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4A1F9C2B">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59118B1E">
            <w:pPr>
              <w:spacing w:line="240" w:lineRule="exact"/>
              <w:jc w:val="right"/>
              <w:rPr>
                <w:sz w:val="18"/>
                <w:szCs w:val="18"/>
              </w:rPr>
            </w:pPr>
            <w:r>
              <w:rPr>
                <w:sz w:val="18"/>
                <w:szCs w:val="18"/>
              </w:rPr>
              <w:t>0</w:t>
            </w:r>
          </w:p>
        </w:tc>
      </w:tr>
      <w:tr w14:paraId="4248C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4BC7BFB2">
            <w:pPr>
              <w:spacing w:line="240" w:lineRule="exact"/>
              <w:jc w:val="left"/>
              <w:rPr>
                <w:sz w:val="18"/>
                <w:szCs w:val="18"/>
              </w:rPr>
            </w:pPr>
            <w:r>
              <w:rPr>
                <w:sz w:val="18"/>
                <w:szCs w:val="18"/>
              </w:rPr>
              <w:t>李珊</w:t>
            </w:r>
          </w:p>
        </w:tc>
        <w:tc>
          <w:tcPr>
            <w:tcW w:w="1563" w:type="dxa"/>
            <w:tcBorders>
              <w:top w:val="single" w:color="auto" w:sz="2" w:space="0"/>
              <w:left w:val="single" w:color="auto" w:sz="2" w:space="0"/>
              <w:bottom w:val="single" w:color="auto" w:sz="2" w:space="0"/>
              <w:right w:val="single" w:color="auto" w:sz="2" w:space="0"/>
            </w:tcBorders>
            <w:vAlign w:val="center"/>
          </w:tcPr>
          <w:p w14:paraId="289B7FEB">
            <w:pPr>
              <w:spacing w:line="240" w:lineRule="exact"/>
              <w:jc w:val="left"/>
              <w:rPr>
                <w:sz w:val="18"/>
                <w:szCs w:val="18"/>
              </w:rPr>
            </w:pPr>
            <w:r>
              <w:rPr>
                <w:sz w:val="18"/>
                <w:szCs w:val="18"/>
              </w:rPr>
              <w:t>境内自然人</w:t>
            </w:r>
          </w:p>
        </w:tc>
        <w:tc>
          <w:tcPr>
            <w:tcW w:w="1375" w:type="dxa"/>
            <w:tcBorders>
              <w:top w:val="single" w:color="auto" w:sz="2" w:space="0"/>
              <w:left w:val="single" w:color="auto" w:sz="2" w:space="0"/>
              <w:bottom w:val="single" w:color="auto" w:sz="2" w:space="0"/>
              <w:right w:val="single" w:color="auto" w:sz="2" w:space="0"/>
            </w:tcBorders>
            <w:vAlign w:val="center"/>
          </w:tcPr>
          <w:p w14:paraId="40C789BB">
            <w:pPr>
              <w:spacing w:line="240" w:lineRule="exact"/>
              <w:jc w:val="right"/>
              <w:rPr>
                <w:sz w:val="18"/>
                <w:szCs w:val="18"/>
              </w:rPr>
            </w:pPr>
            <w:r>
              <w:rPr>
                <w:sz w:val="18"/>
                <w:szCs w:val="18"/>
              </w:rPr>
              <w:t>0.63%</w:t>
            </w:r>
          </w:p>
        </w:tc>
        <w:tc>
          <w:tcPr>
            <w:tcW w:w="1612" w:type="dxa"/>
            <w:tcBorders>
              <w:top w:val="single" w:color="auto" w:sz="2" w:space="0"/>
              <w:left w:val="single" w:color="auto" w:sz="2" w:space="0"/>
              <w:bottom w:val="single" w:color="auto" w:sz="2" w:space="0"/>
              <w:right w:val="single" w:color="auto" w:sz="2" w:space="0"/>
            </w:tcBorders>
            <w:vAlign w:val="center"/>
          </w:tcPr>
          <w:p w14:paraId="2CD8E81D">
            <w:pPr>
              <w:spacing w:line="240" w:lineRule="exact"/>
              <w:jc w:val="right"/>
              <w:rPr>
                <w:sz w:val="18"/>
                <w:szCs w:val="18"/>
              </w:rPr>
            </w:pPr>
            <w:r>
              <w:rPr>
                <w:sz w:val="18"/>
                <w:szCs w:val="18"/>
              </w:rPr>
              <w:t>1,657,499</w:t>
            </w:r>
          </w:p>
        </w:tc>
        <w:tc>
          <w:tcPr>
            <w:tcW w:w="1188" w:type="dxa"/>
            <w:tcBorders>
              <w:top w:val="single" w:color="auto" w:sz="2" w:space="0"/>
              <w:left w:val="single" w:color="auto" w:sz="2" w:space="0"/>
              <w:bottom w:val="single" w:color="auto" w:sz="2" w:space="0"/>
              <w:right w:val="single" w:color="auto" w:sz="2" w:space="0"/>
            </w:tcBorders>
            <w:vAlign w:val="center"/>
          </w:tcPr>
          <w:p w14:paraId="30EAA756">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021660F8">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10F8D1CE">
            <w:pPr>
              <w:spacing w:line="240" w:lineRule="exact"/>
              <w:jc w:val="right"/>
              <w:rPr>
                <w:sz w:val="18"/>
                <w:szCs w:val="18"/>
              </w:rPr>
            </w:pPr>
            <w:r>
              <w:rPr>
                <w:sz w:val="18"/>
                <w:szCs w:val="18"/>
              </w:rPr>
              <w:t>0</w:t>
            </w:r>
          </w:p>
        </w:tc>
      </w:tr>
      <w:tr w14:paraId="72CE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87" w:type="dxa"/>
            <w:tcBorders>
              <w:top w:val="single" w:color="auto" w:sz="2" w:space="0"/>
              <w:left w:val="single" w:color="auto" w:sz="2" w:space="0"/>
              <w:bottom w:val="single" w:color="auto" w:sz="2" w:space="0"/>
              <w:right w:val="single" w:color="auto" w:sz="2" w:space="0"/>
            </w:tcBorders>
            <w:vAlign w:val="center"/>
          </w:tcPr>
          <w:p w14:paraId="624CB371">
            <w:pPr>
              <w:spacing w:line="240" w:lineRule="exact"/>
              <w:jc w:val="left"/>
              <w:rPr>
                <w:sz w:val="18"/>
                <w:szCs w:val="18"/>
              </w:rPr>
            </w:pPr>
            <w:r>
              <w:rPr>
                <w:sz w:val="18"/>
                <w:szCs w:val="18"/>
              </w:rPr>
              <w:t>王若亭</w:t>
            </w:r>
          </w:p>
        </w:tc>
        <w:tc>
          <w:tcPr>
            <w:tcW w:w="1563" w:type="dxa"/>
            <w:tcBorders>
              <w:top w:val="single" w:color="auto" w:sz="2" w:space="0"/>
              <w:left w:val="single" w:color="auto" w:sz="2" w:space="0"/>
              <w:bottom w:val="single" w:color="auto" w:sz="2" w:space="0"/>
              <w:right w:val="single" w:color="auto" w:sz="2" w:space="0"/>
            </w:tcBorders>
            <w:vAlign w:val="center"/>
          </w:tcPr>
          <w:p w14:paraId="5AADFFB5">
            <w:pPr>
              <w:spacing w:line="240" w:lineRule="exact"/>
              <w:jc w:val="left"/>
              <w:rPr>
                <w:sz w:val="18"/>
                <w:szCs w:val="18"/>
              </w:rPr>
            </w:pPr>
            <w:r>
              <w:rPr>
                <w:sz w:val="18"/>
                <w:szCs w:val="18"/>
              </w:rPr>
              <w:t>境外自然人</w:t>
            </w:r>
          </w:p>
        </w:tc>
        <w:tc>
          <w:tcPr>
            <w:tcW w:w="1375" w:type="dxa"/>
            <w:tcBorders>
              <w:top w:val="single" w:color="auto" w:sz="2" w:space="0"/>
              <w:left w:val="single" w:color="auto" w:sz="2" w:space="0"/>
              <w:bottom w:val="single" w:color="auto" w:sz="2" w:space="0"/>
              <w:right w:val="single" w:color="auto" w:sz="2" w:space="0"/>
            </w:tcBorders>
            <w:vAlign w:val="center"/>
          </w:tcPr>
          <w:p w14:paraId="0C008C35">
            <w:pPr>
              <w:spacing w:line="240" w:lineRule="exact"/>
              <w:jc w:val="right"/>
              <w:rPr>
                <w:sz w:val="18"/>
                <w:szCs w:val="18"/>
              </w:rPr>
            </w:pPr>
            <w:r>
              <w:rPr>
                <w:sz w:val="18"/>
                <w:szCs w:val="18"/>
              </w:rPr>
              <w:t>0.55%</w:t>
            </w:r>
          </w:p>
        </w:tc>
        <w:tc>
          <w:tcPr>
            <w:tcW w:w="1612" w:type="dxa"/>
            <w:tcBorders>
              <w:top w:val="single" w:color="auto" w:sz="2" w:space="0"/>
              <w:left w:val="single" w:color="auto" w:sz="2" w:space="0"/>
              <w:bottom w:val="single" w:color="auto" w:sz="2" w:space="0"/>
              <w:right w:val="single" w:color="auto" w:sz="2" w:space="0"/>
            </w:tcBorders>
            <w:vAlign w:val="center"/>
          </w:tcPr>
          <w:p w14:paraId="53C06E1F">
            <w:pPr>
              <w:spacing w:line="240" w:lineRule="exact"/>
              <w:jc w:val="right"/>
              <w:rPr>
                <w:sz w:val="18"/>
                <w:szCs w:val="18"/>
              </w:rPr>
            </w:pPr>
            <w:r>
              <w:rPr>
                <w:sz w:val="18"/>
                <w:szCs w:val="18"/>
              </w:rPr>
              <w:t>1,453,500</w:t>
            </w:r>
          </w:p>
        </w:tc>
        <w:tc>
          <w:tcPr>
            <w:tcW w:w="1188" w:type="dxa"/>
            <w:tcBorders>
              <w:top w:val="single" w:color="auto" w:sz="2" w:space="0"/>
              <w:left w:val="single" w:color="auto" w:sz="2" w:space="0"/>
              <w:bottom w:val="single" w:color="auto" w:sz="2" w:space="0"/>
              <w:right w:val="single" w:color="auto" w:sz="2" w:space="0"/>
            </w:tcBorders>
            <w:vAlign w:val="center"/>
          </w:tcPr>
          <w:p w14:paraId="21674E44">
            <w:pPr>
              <w:spacing w:line="240" w:lineRule="exact"/>
              <w:jc w:val="right"/>
              <w:rPr>
                <w:sz w:val="18"/>
                <w:szCs w:val="18"/>
              </w:rPr>
            </w:pPr>
            <w:r>
              <w:rPr>
                <w:sz w:val="18"/>
                <w:szCs w:val="18"/>
              </w:rPr>
              <w:t>0</w:t>
            </w:r>
          </w:p>
        </w:tc>
        <w:tc>
          <w:tcPr>
            <w:tcW w:w="1437" w:type="dxa"/>
            <w:tcBorders>
              <w:top w:val="single" w:color="auto" w:sz="2" w:space="0"/>
              <w:left w:val="single" w:color="auto" w:sz="2" w:space="0"/>
              <w:bottom w:val="single" w:color="auto" w:sz="2" w:space="0"/>
              <w:right w:val="single" w:color="auto" w:sz="2" w:space="0"/>
            </w:tcBorders>
            <w:vAlign w:val="center"/>
          </w:tcPr>
          <w:p w14:paraId="4E530FAE">
            <w:pPr>
              <w:spacing w:line="240" w:lineRule="exact"/>
              <w:jc w:val="center"/>
              <w:rPr>
                <w:sz w:val="18"/>
                <w:szCs w:val="18"/>
              </w:rPr>
            </w:pPr>
            <w:r>
              <w:rPr>
                <w:sz w:val="18"/>
                <w:szCs w:val="18"/>
              </w:rPr>
              <w:t>不适用</w:t>
            </w:r>
          </w:p>
        </w:tc>
        <w:tc>
          <w:tcPr>
            <w:tcW w:w="1101" w:type="dxa"/>
            <w:tcBorders>
              <w:top w:val="single" w:color="auto" w:sz="2" w:space="0"/>
              <w:left w:val="single" w:color="auto" w:sz="2" w:space="0"/>
              <w:bottom w:val="single" w:color="auto" w:sz="2" w:space="0"/>
              <w:right w:val="single" w:color="auto" w:sz="2" w:space="0"/>
            </w:tcBorders>
            <w:vAlign w:val="center"/>
          </w:tcPr>
          <w:p w14:paraId="2A2E1A66">
            <w:pPr>
              <w:spacing w:line="240" w:lineRule="exact"/>
              <w:jc w:val="right"/>
              <w:rPr>
                <w:sz w:val="18"/>
                <w:szCs w:val="18"/>
              </w:rPr>
            </w:pPr>
            <w:r>
              <w:rPr>
                <w:sz w:val="18"/>
                <w:szCs w:val="18"/>
              </w:rPr>
              <w:t>0</w:t>
            </w:r>
          </w:p>
        </w:tc>
      </w:tr>
      <w:tr w14:paraId="7EE6E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792EF00">
            <w:pPr>
              <w:spacing w:before="40" w:after="40" w:line="240" w:lineRule="exact"/>
              <w:jc w:val="left"/>
              <w:rPr>
                <w:sz w:val="18"/>
                <w:szCs w:val="18"/>
              </w:rPr>
            </w:pPr>
            <w:r>
              <w:rPr>
                <w:sz w:val="18"/>
                <w:szCs w:val="18"/>
              </w:rPr>
              <w:t>上述股东关联关系或一致行动的说明</w:t>
            </w:r>
          </w:p>
        </w:tc>
        <w:tc>
          <w:tcPr>
            <w:tcW w:w="6713" w:type="dxa"/>
            <w:gridSpan w:val="5"/>
            <w:tcBorders>
              <w:top w:val="single" w:color="auto" w:sz="2" w:space="0"/>
              <w:left w:val="single" w:color="auto" w:sz="2" w:space="0"/>
              <w:bottom w:val="single" w:color="auto" w:sz="2" w:space="0"/>
              <w:right w:val="single" w:color="auto" w:sz="2" w:space="0"/>
            </w:tcBorders>
            <w:vAlign w:val="center"/>
          </w:tcPr>
          <w:p w14:paraId="7044A060">
            <w:pPr>
              <w:spacing w:line="240" w:lineRule="exact"/>
              <w:jc w:val="left"/>
              <w:rPr>
                <w:sz w:val="18"/>
                <w:szCs w:val="18"/>
              </w:rPr>
            </w:pPr>
            <w:r>
              <w:rPr>
                <w:sz w:val="18"/>
                <w:szCs w:val="18"/>
              </w:rPr>
              <w:t>张永明、林玲夫妇是公司的实际控制人，其通过北京世纪天富创业投资中心（有限合伙）、北京天佑瑞元医药科技有限公司、西藏金淦企业管理咨询有限公司、广东知光生物科技有限公司间接持有公司股份；除此之外公司未知其他股东间是否存在关联关系，也未知其他股东是否属于上市公司持股变动信息披露管理办法中规定的一致行动人。</w:t>
            </w:r>
          </w:p>
        </w:tc>
      </w:tr>
      <w:tr w14:paraId="3A029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E5B3F43">
            <w:pPr>
              <w:spacing w:before="40" w:after="40" w:line="240" w:lineRule="exact"/>
              <w:jc w:val="left"/>
              <w:rPr>
                <w:sz w:val="18"/>
                <w:szCs w:val="18"/>
              </w:rPr>
            </w:pPr>
            <w:r>
              <w:rPr>
                <w:sz w:val="18"/>
                <w:szCs w:val="18"/>
              </w:rPr>
              <w:t>前10名普通股股东参与融资融券业务股东情况说明（如有）</w:t>
            </w:r>
          </w:p>
        </w:tc>
        <w:tc>
          <w:tcPr>
            <w:tcW w:w="6713" w:type="dxa"/>
            <w:gridSpan w:val="5"/>
            <w:tcBorders>
              <w:top w:val="single" w:color="auto" w:sz="2" w:space="0"/>
              <w:left w:val="single" w:color="auto" w:sz="2" w:space="0"/>
              <w:bottom w:val="single" w:color="auto" w:sz="2" w:space="0"/>
              <w:right w:val="single" w:color="auto" w:sz="2" w:space="0"/>
            </w:tcBorders>
            <w:vAlign w:val="center"/>
          </w:tcPr>
          <w:p w14:paraId="7F03F008">
            <w:pPr>
              <w:spacing w:line="240" w:lineRule="exact"/>
              <w:jc w:val="left"/>
              <w:rPr>
                <w:sz w:val="18"/>
                <w:szCs w:val="18"/>
              </w:rPr>
            </w:pPr>
            <w:r>
              <w:rPr>
                <w:sz w:val="18"/>
                <w:szCs w:val="18"/>
              </w:rPr>
              <w:t>公司股东北京世纪天富创业投资中心（有限合伙）除通过普通证券账户持有20,650,000股外，还通过东兴证券股份有限公司客户信用交易担保证券账户持有15,366,266股，合计持有36,016,266股；公司股东李珊除通过普通证券账户持有3,700股外，还通过浙商证券股份有限公司客户信用交易担保证券账户持有1,653,799股，合计持有1,657,499股；公司股东王若亭通过广发证券股份有限公司客户信用交易担保证券账户持有1,453,500股。</w:t>
            </w:r>
          </w:p>
        </w:tc>
      </w:tr>
    </w:tbl>
    <w:p w14:paraId="048A5048">
      <w:pPr>
        <w:spacing w:before="100" w:after="100" w:line="240" w:lineRule="exact"/>
        <w:jc w:val="left"/>
        <w:rPr>
          <w:rFonts w:hint="eastAsia" w:ascii="宋体" w:hAnsi="宋体" w:cs="宋体"/>
          <w:sz w:val="18"/>
          <w:szCs w:val="18"/>
        </w:rPr>
      </w:pPr>
      <w:r>
        <w:rPr>
          <w:rFonts w:ascii="宋体" w:hAnsi="宋体" w:cs="宋体"/>
          <w:sz w:val="18"/>
          <w:szCs w:val="18"/>
        </w:rPr>
        <w:t>持股</w:t>
      </w:r>
      <w:r>
        <w:rPr>
          <w:sz w:val="18"/>
          <w:szCs w:val="18"/>
        </w:rPr>
        <w:t>5%</w:t>
      </w:r>
      <w:r>
        <w:rPr>
          <w:rFonts w:ascii="宋体" w:hAnsi="宋体" w:cs="宋体"/>
          <w:sz w:val="18"/>
          <w:szCs w:val="18"/>
        </w:rPr>
        <w:t>以上股东、前</w:t>
      </w:r>
      <w:r>
        <w:rPr>
          <w:sz w:val="18"/>
          <w:szCs w:val="18"/>
        </w:rPr>
        <w:t>10</w:t>
      </w:r>
      <w:r>
        <w:rPr>
          <w:rFonts w:ascii="宋体" w:hAnsi="宋体" w:cs="宋体"/>
          <w:sz w:val="18"/>
          <w:szCs w:val="18"/>
        </w:rPr>
        <w:t>名股东及前</w:t>
      </w:r>
      <w:r>
        <w:rPr>
          <w:sz w:val="18"/>
          <w:szCs w:val="18"/>
        </w:rPr>
        <w:t>10</w:t>
      </w:r>
      <w:r>
        <w:rPr>
          <w:rFonts w:ascii="宋体" w:hAnsi="宋体" w:cs="宋体"/>
          <w:sz w:val="18"/>
          <w:szCs w:val="18"/>
        </w:rPr>
        <w:t>名无限售流通股股东参与转融通业务出借股份情况</w:t>
      </w:r>
    </w:p>
    <w:p w14:paraId="70C86536">
      <w:pPr>
        <w:spacing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981C086">
      <w:pPr>
        <w:spacing w:before="100" w:after="100" w:line="240" w:lineRule="exact"/>
        <w:jc w:val="left"/>
        <w:rPr>
          <w:rFonts w:hint="eastAsia" w:ascii="宋体" w:hAnsi="宋体" w:cs="宋体"/>
          <w:sz w:val="18"/>
          <w:szCs w:val="18"/>
        </w:rPr>
      </w:pPr>
      <w:r>
        <w:rPr>
          <w:rFonts w:ascii="宋体" w:hAnsi="宋体" w:cs="宋体"/>
          <w:sz w:val="18"/>
          <w:szCs w:val="18"/>
        </w:rPr>
        <w:t>前</w:t>
      </w:r>
      <w:r>
        <w:rPr>
          <w:sz w:val="18"/>
          <w:szCs w:val="18"/>
        </w:rPr>
        <w:t>10</w:t>
      </w:r>
      <w:r>
        <w:rPr>
          <w:rFonts w:ascii="宋体" w:hAnsi="宋体" w:cs="宋体"/>
          <w:sz w:val="18"/>
          <w:szCs w:val="18"/>
        </w:rPr>
        <w:t>名股东及前</w:t>
      </w:r>
      <w:r>
        <w:rPr>
          <w:sz w:val="18"/>
          <w:szCs w:val="18"/>
        </w:rPr>
        <w:t>10</w:t>
      </w:r>
      <w:r>
        <w:rPr>
          <w:rFonts w:ascii="宋体" w:hAnsi="宋体" w:cs="宋体"/>
          <w:sz w:val="18"/>
          <w:szCs w:val="18"/>
        </w:rPr>
        <w:t>名无限售流通股股东因转融通出借/归还原因导致较上期发生变化</w:t>
      </w:r>
    </w:p>
    <w:p w14:paraId="0640E399">
      <w:pPr>
        <w:spacing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05F798B7">
      <w:pPr>
        <w:spacing w:before="100" w:after="100" w:line="240" w:lineRule="exact"/>
        <w:jc w:val="left"/>
        <w:rPr>
          <w:rFonts w:hint="eastAsia" w:ascii="宋体" w:hAnsi="宋体" w:cs="宋体"/>
          <w:sz w:val="18"/>
          <w:szCs w:val="18"/>
        </w:rPr>
      </w:pPr>
      <w:r>
        <w:rPr>
          <w:rFonts w:ascii="宋体" w:hAnsi="宋体" w:cs="宋体"/>
          <w:sz w:val="18"/>
          <w:szCs w:val="18"/>
        </w:rPr>
        <w:t>公司是否具有表决权差异安排</w:t>
      </w:r>
    </w:p>
    <w:p w14:paraId="4D3AC8B9">
      <w:pPr>
        <w:spacing w:before="100" w:after="100" w:line="240" w:lineRule="exact"/>
        <w:jc w:val="lef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14:paraId="2201EBBB">
      <w:pPr>
        <w:keepNext/>
        <w:keepLines/>
        <w:spacing w:before="300" w:after="300" w:line="280" w:lineRule="exact"/>
        <w:jc w:val="left"/>
        <w:outlineLvl w:val="2"/>
        <w:rPr>
          <w:rFonts w:hint="eastAsia" w:ascii="宋体" w:hAnsi="宋体" w:cs="宋体"/>
          <w:b/>
          <w:bCs/>
          <w:szCs w:val="21"/>
        </w:rPr>
      </w:pPr>
      <w:bookmarkStart w:id="5" w:name="_Toc988894"/>
      <w:r>
        <w:rPr>
          <w:b/>
          <w:bCs/>
          <w:szCs w:val="21"/>
        </w:rPr>
        <w:t>4</w:t>
      </w:r>
      <w:r>
        <w:rPr>
          <w:rFonts w:ascii="宋体" w:hAnsi="宋体" w:cs="宋体"/>
          <w:b/>
          <w:bCs/>
          <w:szCs w:val="21"/>
        </w:rPr>
        <w:t>、控股股东或实际控制人变更情况</w:t>
      </w:r>
      <w:bookmarkEnd w:id="5"/>
    </w:p>
    <w:p w14:paraId="3C780C32">
      <w:pPr>
        <w:spacing w:before="40" w:after="40" w:line="240" w:lineRule="exact"/>
        <w:jc w:val="left"/>
        <w:rPr>
          <w:rFonts w:hint="eastAsia" w:ascii="宋体" w:hAnsi="宋体" w:cs="宋体"/>
          <w:sz w:val="18"/>
          <w:szCs w:val="18"/>
        </w:rPr>
      </w:pPr>
      <w:r>
        <w:rPr>
          <w:rFonts w:ascii="宋体" w:hAnsi="宋体" w:cs="宋体"/>
          <w:sz w:val="18"/>
          <w:szCs w:val="18"/>
        </w:rPr>
        <w:t>控股股东报告期内变更</w:t>
      </w:r>
    </w:p>
    <w:p w14:paraId="1B3A9758">
      <w:pPr>
        <w:spacing w:before="100" w:after="10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68D8F30E">
      <w:pPr>
        <w:spacing w:before="40" w:after="40" w:line="240" w:lineRule="exact"/>
        <w:jc w:val="left"/>
        <w:rPr>
          <w:rFonts w:hint="eastAsia" w:ascii="宋体" w:hAnsi="宋体" w:cs="宋体"/>
          <w:sz w:val="18"/>
          <w:szCs w:val="18"/>
        </w:rPr>
      </w:pPr>
      <w:r>
        <w:rPr>
          <w:rFonts w:ascii="宋体" w:hAnsi="宋体" w:cs="宋体"/>
          <w:sz w:val="18"/>
          <w:szCs w:val="18"/>
        </w:rPr>
        <w:t>公司报告期控股股东未发生变更。</w:t>
      </w:r>
    </w:p>
    <w:p w14:paraId="6D5705F7">
      <w:pPr>
        <w:spacing w:before="40" w:after="40" w:line="240" w:lineRule="exact"/>
        <w:jc w:val="left"/>
        <w:rPr>
          <w:rFonts w:hint="eastAsia" w:ascii="宋体" w:hAnsi="宋体" w:cs="宋体"/>
          <w:sz w:val="18"/>
          <w:szCs w:val="18"/>
        </w:rPr>
      </w:pPr>
      <w:r>
        <w:rPr>
          <w:rFonts w:ascii="宋体" w:hAnsi="宋体" w:cs="宋体"/>
          <w:sz w:val="18"/>
          <w:szCs w:val="18"/>
        </w:rPr>
        <w:t>实际控制人报告期内变更</w:t>
      </w:r>
    </w:p>
    <w:p w14:paraId="0E380270">
      <w:pPr>
        <w:spacing w:before="100" w:after="10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752430B1">
      <w:pPr>
        <w:spacing w:before="40" w:after="40" w:line="240" w:lineRule="exact"/>
        <w:jc w:val="left"/>
        <w:rPr>
          <w:rFonts w:hint="eastAsia" w:ascii="宋体" w:hAnsi="宋体" w:cs="宋体"/>
          <w:sz w:val="18"/>
          <w:szCs w:val="18"/>
        </w:rPr>
      </w:pPr>
      <w:r>
        <w:rPr>
          <w:rFonts w:ascii="宋体" w:hAnsi="宋体" w:cs="宋体"/>
          <w:sz w:val="18"/>
          <w:szCs w:val="18"/>
        </w:rPr>
        <w:t>公司报告期实际控制人未发生变更。</w:t>
      </w:r>
    </w:p>
    <w:p w14:paraId="78701EF2">
      <w:pPr>
        <w:keepNext/>
        <w:keepLines/>
        <w:spacing w:before="300" w:after="300" w:line="280" w:lineRule="exact"/>
        <w:jc w:val="left"/>
        <w:outlineLvl w:val="2"/>
        <w:rPr>
          <w:rFonts w:hint="eastAsia" w:ascii="宋体" w:hAnsi="宋体" w:cs="宋体"/>
          <w:b/>
          <w:bCs/>
          <w:szCs w:val="21"/>
        </w:rPr>
      </w:pPr>
      <w:bookmarkStart w:id="6" w:name="_Toc988895"/>
      <w:r>
        <w:rPr>
          <w:b/>
          <w:bCs/>
          <w:szCs w:val="21"/>
        </w:rPr>
        <w:t>5</w:t>
      </w:r>
      <w:r>
        <w:rPr>
          <w:rFonts w:ascii="宋体" w:hAnsi="宋体" w:cs="宋体"/>
          <w:b/>
          <w:bCs/>
          <w:szCs w:val="21"/>
        </w:rPr>
        <w:t>、公司优先股股东总数及前</w:t>
      </w:r>
      <w:r>
        <w:rPr>
          <w:b/>
          <w:bCs/>
          <w:szCs w:val="21"/>
        </w:rPr>
        <w:t>10</w:t>
      </w:r>
      <w:r>
        <w:rPr>
          <w:rFonts w:ascii="宋体" w:hAnsi="宋体" w:cs="宋体"/>
          <w:b/>
          <w:bCs/>
          <w:szCs w:val="21"/>
        </w:rPr>
        <w:t>名优先股股东持股情况表</w:t>
      </w:r>
      <w:bookmarkEnd w:id="6"/>
    </w:p>
    <w:p w14:paraId="5C8B05C6">
      <w:pPr>
        <w:spacing w:line="240" w:lineRule="exact"/>
        <w:jc w:val="left"/>
        <w:rPr>
          <w:rFonts w:hint="eastAsia" w:ascii="宋体" w:hAnsi="宋体" w:cs="宋体"/>
          <w:sz w:val="18"/>
          <w:szCs w:val="18"/>
        </w:rPr>
      </w:pPr>
      <w:r>
        <w:rPr>
          <w:rFonts w:ascii="宋体" w:hAnsi="宋体" w:cs="宋体"/>
          <w:sz w:val="18"/>
          <w:szCs w:val="18"/>
        </w:rPr>
        <w:t>公司报告期无优先股股东持股情况。</w:t>
      </w:r>
    </w:p>
    <w:p w14:paraId="0705E583">
      <w:pPr>
        <w:keepNext/>
        <w:keepLines/>
        <w:spacing w:before="300" w:after="300" w:line="280" w:lineRule="exact"/>
        <w:jc w:val="left"/>
        <w:outlineLvl w:val="2"/>
        <w:rPr>
          <w:rFonts w:hint="eastAsia" w:ascii="宋体" w:hAnsi="宋体" w:cs="宋体"/>
          <w:b/>
          <w:bCs/>
          <w:szCs w:val="21"/>
        </w:rPr>
      </w:pPr>
      <w:bookmarkStart w:id="7" w:name="_Toc988896"/>
      <w:r>
        <w:rPr>
          <w:b/>
          <w:bCs/>
          <w:szCs w:val="21"/>
        </w:rPr>
        <w:t>6</w:t>
      </w:r>
      <w:r>
        <w:rPr>
          <w:rFonts w:ascii="宋体" w:hAnsi="宋体" w:cs="宋体"/>
          <w:b/>
          <w:bCs/>
          <w:szCs w:val="21"/>
        </w:rPr>
        <w:t>、在半年度报告批准报出日存续的债券情况</w:t>
      </w:r>
      <w:bookmarkEnd w:id="7"/>
    </w:p>
    <w:p w14:paraId="6AEACE78">
      <w:pPr>
        <w:spacing w:before="40" w:after="4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8C621A1">
      <w:pPr>
        <w:keepNext/>
        <w:keepLines/>
        <w:spacing w:before="300" w:after="300" w:line="320" w:lineRule="exact"/>
        <w:jc w:val="left"/>
        <w:outlineLvl w:val="1"/>
        <w:rPr>
          <w:rFonts w:hint="eastAsia" w:ascii="宋体" w:hAnsi="宋体" w:cs="宋体"/>
          <w:b/>
          <w:bCs/>
          <w:sz w:val="24"/>
          <w:szCs w:val="24"/>
        </w:rPr>
      </w:pPr>
      <w:bookmarkStart w:id="8" w:name="_Toc988897"/>
      <w:r>
        <w:rPr>
          <w:rFonts w:ascii="宋体" w:hAnsi="宋体" w:cs="宋体"/>
          <w:b/>
          <w:bCs/>
          <w:sz w:val="24"/>
          <w:szCs w:val="24"/>
        </w:rPr>
        <w:t>三、重要事项</w:t>
      </w:r>
      <w:bookmarkEnd w:id="8"/>
    </w:p>
    <w:p w14:paraId="72CB039A">
      <w:pPr>
        <w:pStyle w:val="2"/>
        <w:widowControl/>
      </w:pPr>
      <w:r>
        <w:rPr>
          <w:rFonts w:hint="eastAsia" w:ascii="宋体" w:hAnsi="宋体" w:cs="宋体"/>
          <w:sz w:val="18"/>
          <w:szCs w:val="18"/>
        </w:rPr>
        <w:t>详见公司</w:t>
      </w:r>
      <w:r>
        <w:rPr>
          <w:sz w:val="18"/>
          <w:szCs w:val="18"/>
        </w:rPr>
        <w:t>2025</w:t>
      </w:r>
      <w:r>
        <w:rPr>
          <w:rFonts w:hint="eastAsia" w:ascii="宋体" w:hAnsi="宋体" w:cs="宋体"/>
          <w:sz w:val="18"/>
          <w:szCs w:val="18"/>
        </w:rPr>
        <w:t>年半年度报告“第五节 重要事项”。</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5C80">
    <w:pPr>
      <w:jc w:val="right"/>
    </w:pPr>
    <w:r>
      <w:rPr>
        <w:rFonts w:ascii="宋体"/>
        <w:sz w:val="18"/>
        <w:szCs w:val="18"/>
      </w:rPr>
      <w:fldChar w:fldCharType="begin"/>
    </w:r>
    <w:r>
      <w:rPr>
        <w:rFonts w:ascii="宋体"/>
        <w:sz w:val="18"/>
        <w:szCs w:val="18"/>
      </w:rPr>
      <w:instrText xml:space="preserve">PAGE   \* MERGEFORMAT</w:instrText>
    </w:r>
    <w:r>
      <w:rPr>
        <w:rFonts w:ascii="宋体"/>
        <w:sz w:val="18"/>
        <w:szCs w:val="18"/>
      </w:rPr>
      <w:fldChar w:fldCharType="separate"/>
    </w:r>
    <w:r>
      <w:rPr>
        <w:rFonts w:ascii="宋体"/>
        <w:sz w:val="18"/>
        <w:szCs w:val="18"/>
      </w:rPr>
      <w:t>1</w:t>
    </w:r>
    <w:r>
      <w:rPr>
        <w:rFonts w:ascii="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0C76">
    <w:pPr>
      <w:pBdr>
        <w:bottom w:val="single" w:color="auto" w:sz="6" w:space="1"/>
      </w:pBdr>
      <w:jc w:val="right"/>
    </w:pPr>
    <w:r>
      <w:rPr>
        <w:rFonts w:ascii="宋体"/>
        <w:sz w:val="18"/>
        <w:szCs w:val="18"/>
      </w:rPr>
      <w:t>冠昊生物科技股份有限公司2025年半年度报告摘要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4"/>
  </w:compat>
  <w:rsids>
    <w:rsidRoot w:val="00276E92"/>
    <w:rsid w:val="00276E92"/>
    <w:rsid w:val="00477826"/>
    <w:rsid w:val="009D5117"/>
    <w:rsid w:val="00D45A06"/>
    <w:rsid w:val="00DB7EAD"/>
    <w:rsid w:val="00E57EAE"/>
    <w:rsid w:val="131B3181"/>
    <w:rsid w:val="3E50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1594</Words>
  <Characters>2123</Characters>
  <Lines>198</Lines>
  <Paragraphs>160</Paragraphs>
  <TotalTime>6</TotalTime>
  <ScaleCrop>false</ScaleCrop>
  <LinksUpToDate>false</LinksUpToDate>
  <CharactersWithSpaces>2162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2025-08-22T08:49:00Z</dcterms:created>
  <dc:creator>Administrator</dc:creator>
  <cp:lastModifiedBy>李群</cp:lastModifiedBy>
  <dcterms:modified xsi:type="dcterms:W3CDTF">2025-08-26T03:52:38Z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eyJoZGlkIjoiYWRlOTk1ZDM4MjkzZjgxMjZiN2M3ZjNmNDQ5NGIzZGYiLCJ1c2VySWQiOiIzNDI3ODI2OTEifQ==</vt:lpwstr>
  </property>
  <property fmtid="{D5CDD505-2E9C-101B-9397-08002B2CF9AE}" pid="3" name="KSOProductBuildVer">
    <vt:lpwstr>2052-12.1.0.22529</vt:lpwstr>
  </property>
  <property fmtid="{D5CDD505-2E9C-101B-9397-08002B2CF9AE}" pid="4" name="ICV">
    <vt:lpwstr>D7B9DD98996245AFA5DF1556D94E486E_12</vt:lpwstr>
  </property>
</Properties>
</file>